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1255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1255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275/2026/0665/VFI-CT.53.A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THỦY ĐIỆN CAO NGUYÊN - SÔNG ĐÀ 7</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số: 73, tờ bản đồ số 27 có địa chỉ: Lô V6A-01, Khu nhà ở Văn Phú, Khu đô thị Văn Phú, Phường Kiến Hưng, Thành phố</w:t>
                            </w:r>
                            <w:r>
                              <w:rPr>
                                <w:color w:val="000000"/>
                              </w:rPr>
                              <w:t xml:space="preserve"> </w:t>
                            </w:r>
                            <w:r>
                              <w:rPr>
                                <w:color w:val="000000"/>
                              </w:rPr>
                              <w:t xml:space="preserve">Hà Nội  theo Giấy chứng nhận quyền sử dụng đất, quyền sở hữu tài sản gắn liền với đất  số: AA 05988989, số vào sổ cấp GCN: VP 53639 do Văn phòng Đăng ký đất đai Hà Nội cấp ngày 30/12/2025; Chủ sử dụng đất là Công ty Cổ phần Thủy điện Cao Nguyên - Sông Đà 7</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24.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275/2026/0665/VFI-CT.53.A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THỦY ĐIỆN CAO NGUYÊN - SÔNG ĐÀ 7</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số: 73, tờ bản đồ số 27 có địa chỉ: Lô V6A-01, Khu nhà ở Văn Phú, Khu đô thị Văn Phú, Phường Kiến Hưng, Thành phố</w:t>
                      </w:r>
                      <w:r>
                        <w:rPr>
                          <w:color w:val="000000"/>
                        </w:rPr>
                        <w:t xml:space="preserve"> </w:t>
                      </w:r>
                      <w:r>
                        <w:rPr>
                          <w:color w:val="000000"/>
                        </w:rPr>
                        <w:t xml:space="preserve">Hà Nội  theo Giấy chứng nhận quyền sử dụng đất, quyền sở hữu tài sản gắn liền với đất  số: AA 05988989, số vào sổ cấp GCN: VP 53639 do Văn phòng Đăng ký đất đai Hà Nội cấp ngày 30/12/2025; Chủ sử dụng đất là Công ty Cổ phần Thủy điện Cao Nguyên - Sông Đà 7</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732"/>
        <w:gridCol w:w="12826"/>
      </w:tblGrid>
      <w:tr>
        <w:trPr>
          <w:trHeight w:val="1152"/>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82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275/2026/0665/VFI-CT.53.A</w:t>
            </w:r>
            <w:r>
              <w:rPr>
                <w:color w:val="000000" w:themeColor="text1"/>
                <w:sz w:val="24"/>
                <w:szCs w:val="24"/>
              </w:rPr>
            </w:r>
            <w:r>
              <w:rPr>
                <w:color w:val="000000" w:themeColor="text1"/>
                <w:sz w:val="24"/>
                <w:szCs w:val="24"/>
              </w:rPr>
            </w:r>
          </w:p>
          <w:p>
            <w:pPr>
              <w:pStyle w:val="1032"/>
              <w:pBdr/>
              <w:spacing w:after="60"/>
              <w:ind w:right="-56"/>
              <w:jc w:val="center"/>
              <w:rPr>
                <w:color w:val="000000" w:themeColor="text1"/>
                <w:sz w:val="24"/>
                <w:szCs w:val="24"/>
                <w:lang w:val="vi-VN"/>
              </w:rPr>
            </w:pP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4 tháng 5 năm 2026</w:t>
            </w:r>
            <w:r>
              <w:rPr>
                <w:color w:val="000000" w:themeColor="text1"/>
                <w:sz w:val="24"/>
                <w:szCs w:val="24"/>
                <w:lang w:val="vi-VN"/>
              </w:rPr>
            </w:r>
            <w:r>
              <w:rPr>
                <w:color w:val="000000" w:themeColor="text1"/>
                <w:sz w:val="24"/>
                <w:szCs w:val="24"/>
                <w:lang w:val="vi-VN"/>
              </w:rPr>
            </w:r>
          </w:p>
        </w:tc>
      </w:tr>
    </w:tbl>
    <w:p>
      <w:pPr>
        <w:pStyle w:val="1032"/>
        <w:pBdr/>
        <w:spacing w:after="120" w:before="200" w:line="288" w:lineRule="auto"/>
        <w:ind/>
        <w:jc w:val="center"/>
        <w:rPr>
          <w:rStyle w:val="1031"/>
          <w:rFonts w:ascii="Times New Roman" w:hAnsi="Times New Roman"/>
          <w:b/>
          <w:bCs/>
          <w:color w:val="auto"/>
          <w:sz w:val="30"/>
          <w:szCs w:val="30"/>
          <w:lang w:val="vi-VN"/>
        </w:rPr>
      </w:pPr>
      <w:r>
        <w:rPr>
          <w:rStyle w:val="1031"/>
          <w:rFonts w:ascii="Times New Roman" w:hAnsi="Times New Roman"/>
          <w:b/>
          <w:bCs/>
          <w:color w:val="auto"/>
          <w:sz w:val="30"/>
          <w:szCs w:val="30"/>
          <w:lang w:val="vi-VN"/>
        </w:rPr>
        <w:t xml:space="preserve">CHỨNG THƯ THẨM ĐỊNH GIÁ</w:t>
      </w:r>
      <w:r>
        <w:rPr>
          <w:rStyle w:val="1031"/>
          <w:rFonts w:ascii="Times New Roman" w:hAnsi="Times New Roman"/>
          <w:b/>
          <w:bCs/>
          <w:color w:val="auto"/>
          <w:sz w:val="30"/>
          <w:szCs w:val="30"/>
          <w:lang w:val="vi-VN"/>
        </w:rPr>
      </w:r>
      <w:r>
        <w:rPr>
          <w:rStyle w:val="1031"/>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THỦY ĐIỆN CAO NGUYÊN- SÔNG ĐÀ 7</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275/2026/0665/VFI-HĐTĐ.53.A</w:t>
      </w:r>
      <w:r>
        <w:rPr>
          <w:spacing w:val="-4"/>
          <w:lang w:val="vi-VN"/>
        </w:rPr>
        <w:t xml:space="preserve"> ký ngày 03 tháng 5 </w:t>
      </w:r>
      <w:r>
        <w:rPr>
          <w:color w:val="000000" w:themeColor="text1"/>
          <w:spacing w:val="-4"/>
        </w:rPr>
        <w:t xml:space="preserve">năm 2026</w:t>
      </w:r>
      <w:r>
        <w:rPr>
          <w:spacing w:val="-4"/>
          <w:lang w:val="vi-VN"/>
        </w:rPr>
        <w:t xml:space="preserve"> </w:t>
      </w:r>
      <w:r>
        <w:rPr>
          <w:spacing w:val="-4"/>
          <w:lang w:val="vi-VN"/>
        </w:rPr>
        <w:t xml:space="preserve">giữa </w:t>
      </w:r>
      <w:r>
        <w:rPr>
          <w:color w:val="000000" w:themeColor="text1"/>
          <w:spacing w:val="-4"/>
        </w:rPr>
        <w:t xml:space="preserve">CÔNG TY CỔ PHẦN THỦY ĐIỆN CAO NGUYÊN- SÔNG ĐÀ 7</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275/2026/0665/VFI-BC.53.A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4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Style w:val="1037"/>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154"/>
        <w:gridCol w:w="425"/>
        <w:gridCol w:w="6946"/>
      </w:tblGrid>
      <w:tr>
        <w:trPr>
          <w:trHeight w:val="20"/>
        </w:trPr>
        <w:tc>
          <w:tcPr>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4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CÔNG TY CỔ PHẦN THỦY ĐIỆN CAO NGUYÊN- SÔNG ĐÀ 7</w:t>
            </w:r>
            <w:r/>
          </w:p>
        </w:tc>
      </w:tr>
      <w:tr>
        <w:trPr>
          <w:trHeight w:val="20"/>
        </w:trPr>
        <w:tc>
          <w:tcPr>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4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5800519428</w:t>
            </w:r>
            <w:r/>
          </w:p>
        </w:tc>
      </w:tr>
      <w:tr>
        <w:trPr>
          <w:trHeight w:val="20"/>
        </w:trPr>
        <w:tc>
          <w:tcPr>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Địa chỉ trụ sở chính</w:t>
            </w:r>
            <w:r/>
          </w:p>
        </w:tc>
        <w:tc>
          <w:tcPr>
            <w:tcBorders/>
            <w:tcMar>
              <w:left w:w="108" w:type="dxa"/>
              <w:top w:w="0" w:type="dxa"/>
              <w:right w:w="108" w:type="dxa"/>
              <w:bottom w:w="0" w:type="dxa"/>
            </w:tcMar>
            <w:tcW w:w="4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6" w:type="dxa"/>
            <w:vAlign w:val="bottom"/>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Thôn Lán Tranh, Xã Đam Rông 4, Tỉnh Lâm Đồng, Việt Nam</w:t>
            </w:r>
            <w:r/>
          </w:p>
        </w:tc>
      </w:tr>
      <w:tr>
        <w:trPr>
          <w:trHeight w:val="20"/>
        </w:trPr>
        <w:tc>
          <w:tcPr>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left"/>
              <w:rPr/>
            </w:pPr>
            <w:r>
              <w:rPr>
                <w:rFonts w:ascii="Times New Roman" w:hAnsi="Times New Roman" w:eastAsia="Times New Roman" w:cs="Times New Roman"/>
                <w:color w:val="000000"/>
                <w:sz w:val="24"/>
              </w:rPr>
              <w:t xml:space="preserve">Người đại diện                    </w:t>
            </w:r>
            <w:r/>
          </w:p>
        </w:tc>
        <w:tc>
          <w:tcPr>
            <w:tcBorders/>
            <w:tcMar>
              <w:left w:w="108" w:type="dxa"/>
              <w:top w:w="0" w:type="dxa"/>
              <w:right w:w="108" w:type="dxa"/>
              <w:bottom w:w="0" w:type="dxa"/>
            </w:tcMar>
            <w:tcW w:w="4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6" w:type="dxa"/>
            <w:vAlign w:val="bottom"/>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 Nguyễn Hữu Doanh    Chức vụ: Chủ tịch HĐQT kiêm Giám dốc</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và tài sản gắn liền với đất tại thửa đất số: 73, tờ bản đồ số 27 có địa chỉ: Lô V6A-01, Khu nhà ở Văn Phú, Khu đô thị Văn Phú, Phường Kiến Hưng, Thành phố</w:t>
      </w:r>
      <w:r>
        <w:rPr>
          <w:color w:val="000000" w:themeColor="text1"/>
        </w:rPr>
        <w:t xml:space="preserve"> Hà Nội  theo Giấy chứng nhận quyền sử dụng đất, quyền sở hữu tài sản gắn liền với đất  số: AA 05988989, số vào sổ cấp GCN: VP 53639 do Văn phòng Đăng ký đất đai Hà Nội cấp ngày 30/12/2025; Chủ sử dụng đất là Công ty Cổ phần Thủy điện Cao Nguyên- Sông Đà 7</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6"/>
        <w:gridCol w:w="3986"/>
        <w:gridCol w:w="1389"/>
        <w:gridCol w:w="1377"/>
        <w:gridCol w:w="1211"/>
        <w:gridCol w:w="1776"/>
      </w:tblGrid>
      <w:tr>
        <w:trPr>
          <w:trHeight w:val="729"/>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39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3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37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21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CLCL </w:t>
              <w:br/>
              <w:t xml:space="preserve">(%)</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77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208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7963" w:type="dxa"/>
            <w:vAlign w:val="center"/>
            <w:textDirection w:val="lrTb"/>
            <w:noWrap w:val="false"/>
          </w:tcPr>
          <w:p>
            <w:pPr>
              <w:pBdr/>
              <w:spacing w:after="0" w:before="0" w:line="360" w:lineRule="auto"/>
              <w:ind/>
              <w:jc w:val="both"/>
              <w:rPr>
                <w:b/>
                <w:bCs/>
              </w:rPr>
            </w:pPr>
            <w:r>
              <w:rPr>
                <w:rFonts w:ascii="Times New Roman" w:hAnsi="Times New Roman" w:eastAsia="Times New Roman" w:cs="Times New Roman"/>
                <w:b/>
                <w:color w:val="000000"/>
                <w:sz w:val="24"/>
              </w:rPr>
            </w:r>
            <w:r>
              <w:rPr>
                <w:b/>
              </w:rPr>
              <w:t xml:space="preserve"> </w:t>
            </w:r>
            <w:r>
              <w:rPr>
                <w:b/>
                <w:bCs/>
                <w:color w:val="000000"/>
              </w:rPr>
              <w:t xml:space="preserve">Quyền sử dụng đất và tài sản gắn liền với đất tại thửa đất số: 73, tờ bản đồ số 27 có địa chỉ: Lô V6A-01, Khu nhà ở Văn Phú, Khu đô thị Văn Phú, Phường Kiến Hưng, Thành phố</w:t>
            </w:r>
            <w:r>
              <w:rPr>
                <w:b/>
                <w:bCs/>
                <w:color w:val="000000"/>
              </w:rPr>
              <w:t xml:space="preserve"> Hà Nội  theo Giấy chứng nhận quyền sử dụng đất, quyền sở hữu tài sản gắn liền với đất  số: AA 05988989, số vào sổ cấp GCN: VP 53639 do Văn phòng Đăng ký đất đai Hà Nội cấp ngày 30/12/2025; Chủ sử dụng đất là Công ty Cổ phần Thủy điện Cao Nguyên- Sông Đà 7</w:t>
            </w:r>
            <w:r>
              <w:rPr>
                <w:b/>
                <w:bCs/>
                <w:i/>
                <w:iCs/>
              </w:rPr>
              <w:t xml:space="preserve">.</w:t>
            </w:r>
            <w:r>
              <w:rPr>
                <w:b/>
                <w:bCs/>
              </w:rPr>
            </w:r>
            <w:r>
              <w:rPr>
                <w:b/>
                <w:bCs/>
              </w:rPr>
            </w:r>
          </w:p>
        </w:tc>
        <w:tc>
          <w:tcPr>
            <w:shd w:val="clear" w:color="ffffff" w:fill="ffffff"/>
            <w:tcBorders>
              <w:bottom w:val="single" w:color="000000" w:sz="5" w:space="0"/>
              <w:right w:val="single" w:color="000000" w:sz="5" w:space="0"/>
            </w:tcBorders>
            <w:tcMar>
              <w:left w:w="0" w:type="dxa"/>
              <w:top w:w="0" w:type="dxa"/>
              <w:right w:w="0" w:type="dxa"/>
              <w:bottom w:w="0" w:type="dxa"/>
            </w:tcMar>
            <w:tcW w:w="1776"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5" w:space="0"/>
              <w:right w:val="single" w:color="000000" w:sz="5" w:space="0"/>
            </w:tcBorders>
            <w:tcMar>
              <w:left w:w="0" w:type="dxa"/>
              <w:top w:w="0" w:type="dxa"/>
              <w:right w:w="0" w:type="dxa"/>
              <w:bottom w:w="0" w:type="dxa"/>
            </w:tcMar>
            <w:tcW w:w="39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ở tại đô thị </w:t>
            </w:r>
            <w:r/>
          </w:p>
        </w:tc>
        <w:tc>
          <w:tcPr>
            <w:tcBorders>
              <w:bottom w:val="single" w:color="000000" w:sz="5" w:space="0"/>
              <w:right w:val="single" w:color="000000" w:sz="5" w:space="0"/>
            </w:tcBorders>
            <w:tcMar>
              <w:left w:w="0" w:type="dxa"/>
              <w:top w:w="0" w:type="dxa"/>
              <w:right w:w="0" w:type="dxa"/>
              <w:bottom w:w="0" w:type="dxa"/>
            </w:tcMar>
            <w:tcW w:w="13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215,7</w:t>
            </w:r>
            <w:r/>
          </w:p>
        </w:tc>
        <w:tc>
          <w:tcPr>
            <w:shd w:val="clear" w:color="ffffff" w:fill="ffffff"/>
            <w:tcBorders>
              <w:bottom w:val="single" w:color="000000" w:sz="5" w:space="0"/>
              <w:right w:val="single" w:color="000000" w:sz="5" w:space="0"/>
            </w:tcBorders>
            <w:tcMar>
              <w:left w:w="0" w:type="dxa"/>
              <w:top w:w="0" w:type="dxa"/>
              <w:right w:w="0" w:type="dxa"/>
              <w:bottom w:w="0" w:type="dxa"/>
            </w:tcMar>
            <w:tcW w:w="137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320.000.000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2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6"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69.024.000.000</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5" w:space="0"/>
              <w:right w:val="single" w:color="000000" w:sz="5" w:space="0"/>
            </w:tcBorders>
            <w:tcMar>
              <w:left w:w="0" w:type="dxa"/>
              <w:top w:w="0" w:type="dxa"/>
              <w:right w:w="0" w:type="dxa"/>
              <w:bottom w:w="0" w:type="dxa"/>
            </w:tcMar>
            <w:tcW w:w="39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liền kề 6 tầng 1 tum, 1 tầng hầm (xây thô, hoàn thiện mặt ngoài) </w:t>
            </w:r>
            <w:r/>
          </w:p>
        </w:tc>
        <w:tc>
          <w:tcPr>
            <w:tcBorders>
              <w:bottom w:val="single" w:color="000000" w:sz="5" w:space="0"/>
              <w:right w:val="single" w:color="000000" w:sz="5" w:space="0"/>
            </w:tcBorders>
            <w:tcMar>
              <w:left w:w="0" w:type="dxa"/>
              <w:top w:w="0" w:type="dxa"/>
              <w:right w:w="0" w:type="dxa"/>
              <w:bottom w:w="0" w:type="dxa"/>
            </w:tcMar>
            <w:tcW w:w="13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1.181,3</w:t>
            </w:r>
            <w:r/>
          </w:p>
        </w:tc>
        <w:tc>
          <w:tcPr>
            <w:shd w:val="clear" w:color="ffffff" w:fill="ffffff"/>
            <w:tcBorders>
              <w:bottom w:val="single" w:color="000000" w:sz="5" w:space="0"/>
              <w:right w:val="single" w:color="000000" w:sz="5" w:space="0"/>
            </w:tcBorders>
            <w:tcMar>
              <w:left w:w="0" w:type="dxa"/>
              <w:top w:w="0" w:type="dxa"/>
              <w:right w:w="0" w:type="dxa"/>
              <w:bottom w:w="0" w:type="dxa"/>
            </w:tcMar>
            <w:tcW w:w="1377" w:type="dxa"/>
            <w:vAlign w:val="center"/>
            <w:textDirection w:val="lrTb"/>
            <w:noWrap w:val="false"/>
          </w:tcPr>
          <w:p>
            <w:pPr>
              <w:pBdr/>
              <w:spacing w:after="0" w:before="0" w:line="240" w:lineRule="auto"/>
              <w:ind/>
              <w:jc w:val="center"/>
              <w:rPr>
                <w:b w:val="0"/>
                <w:bCs w:val="0"/>
                <w:i w:val="0"/>
              </w:rPr>
            </w:pPr>
            <w:r>
              <w:rPr>
                <w:rFonts w:ascii="Times New Roman" w:hAnsi="Times New Roman" w:eastAsia="Times New Roman" w:cs="Times New Roman"/>
                <w:b w:val="0"/>
                <w:bCs w:val="0"/>
                <w:i w:val="0"/>
                <w:iCs w:val="0"/>
                <w:color w:val="000000"/>
                <w:sz w:val="24"/>
              </w:rPr>
            </w:r>
            <w:r>
              <w:rPr>
                <w:rFonts w:ascii="Times New Roman" w:hAnsi="Times New Roman" w:eastAsia="Times New Roman" w:cs="Times New Roman"/>
                <w:b w:val="0"/>
                <w:bCs w:val="0"/>
                <w:i w:val="0"/>
                <w:iCs w:val="0"/>
                <w:color w:val="000000"/>
                <w:spacing w:val="3"/>
                <w:sz w:val="24"/>
                <w:highlight w:val="none"/>
              </w:rPr>
              <w:t xml:space="preserve">5.599.759</w:t>
            </w:r>
            <w:r>
              <w:rPr>
                <w:b w:val="0"/>
                <w:bCs w:val="0"/>
                <w:i w:val="0"/>
              </w:rPr>
            </w:r>
            <w:r>
              <w:rPr>
                <w:b w:val="0"/>
                <w:bCs w:val="0"/>
                <w:i w:val="0"/>
              </w:rPr>
            </w:r>
          </w:p>
        </w:tc>
        <w:tc>
          <w:tcPr>
            <w:shd w:val="clear" w:color="ffffff" w:fill="ffffff"/>
            <w:tcBorders>
              <w:bottom w:val="single" w:color="000000" w:sz="5" w:space="0"/>
              <w:right w:val="single" w:color="000000" w:sz="5" w:space="0"/>
            </w:tcBorders>
            <w:tcMar>
              <w:left w:w="0" w:type="dxa"/>
              <w:top w:w="0" w:type="dxa"/>
              <w:right w:w="0" w:type="dxa"/>
              <w:bottom w:w="0" w:type="dxa"/>
            </w:tcMar>
            <w:tcW w:w="1211" w:type="dxa"/>
            <w:vAlign w:val="center"/>
            <w:textDirection w:val="lrTb"/>
            <w:noWrap w:val="false"/>
          </w:tcPr>
          <w:p>
            <w:pPr>
              <w:pBdr/>
              <w:spacing w:after="0" w:before="0" w:line="240" w:lineRule="auto"/>
              <w:ind/>
              <w:jc w:val="center"/>
              <w:rPr>
                <w:b w:val="0"/>
                <w:bCs w:val="0"/>
                <w:i w:val="0"/>
              </w:rPr>
            </w:pPr>
            <w:r>
              <w:rPr>
                <w:rFonts w:ascii="Times New Roman" w:hAnsi="Times New Roman" w:eastAsia="Times New Roman" w:cs="Times New Roman"/>
                <w:b w:val="0"/>
                <w:bCs w:val="0"/>
                <w:i w:val="0"/>
                <w:iCs w:val="0"/>
                <w:color w:val="000000"/>
                <w:sz w:val="24"/>
              </w:rPr>
            </w:r>
            <w:r>
              <w:rPr>
                <w:rFonts w:ascii="Times New Roman" w:hAnsi="Times New Roman" w:eastAsia="Times New Roman" w:cs="Times New Roman"/>
                <w:b w:val="0"/>
                <w:bCs w:val="0"/>
                <w:i w:val="0"/>
                <w:iCs w:val="0"/>
                <w:color w:val="000000"/>
                <w:sz w:val="24"/>
              </w:rPr>
              <w:t xml:space="preserve">100</w:t>
            </w:r>
            <w:r>
              <w:rPr>
                <w:rFonts w:ascii="Times New Roman" w:hAnsi="Times New Roman" w:eastAsia="Times New Roman" w:cs="Times New Roman"/>
                <w:b w:val="0"/>
                <w:bCs w:val="0"/>
                <w:i w:val="0"/>
                <w:iCs w:val="0"/>
                <w:color w:val="000000"/>
                <w:sz w:val="24"/>
              </w:rPr>
              <w:t xml:space="preserve">%</w:t>
            </w:r>
            <w:r>
              <w:rPr>
                <w:b w:val="0"/>
                <w:bCs w:val="0"/>
                <w:i w:val="0"/>
              </w:rPr>
            </w:r>
            <w:r>
              <w:rPr>
                <w:b w:val="0"/>
                <w:bCs w:val="0"/>
                <w:i w:val="0"/>
              </w:rPr>
            </w:r>
          </w:p>
        </w:tc>
        <w:tc>
          <w:tcPr>
            <w:shd w:val="clear" w:color="ffffff" w:fill="ffffff"/>
            <w:tcBorders>
              <w:bottom w:val="single" w:color="000000" w:sz="5" w:space="0"/>
              <w:right w:val="single" w:color="000000" w:sz="5" w:space="0"/>
            </w:tcBorders>
            <w:tcMar>
              <w:left w:w="0" w:type="dxa"/>
              <w:top w:w="0" w:type="dxa"/>
              <w:right w:w="0" w:type="dxa"/>
              <w:bottom w:w="0" w:type="dxa"/>
            </w:tcMar>
            <w:tcW w:w="1776"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6.614.995.543</w:t>
            </w:r>
            <w:r/>
          </w:p>
        </w:tc>
      </w:tr>
      <w:tr>
        <w:trPr>
          <w:trHeight w:val="312"/>
        </w:trPr>
        <w:tc>
          <w:tcPr>
            <w:gridSpan w:val="5"/>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850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5" w:space="0"/>
              <w:right w:val="single" w:color="000000" w:sz="5" w:space="0"/>
            </w:tcBorders>
            <w:tcMar>
              <w:left w:w="0" w:type="dxa"/>
              <w:top w:w="0" w:type="dxa"/>
              <w:right w:w="0" w:type="dxa"/>
              <w:bottom w:w="0" w:type="dxa"/>
            </w:tcMar>
            <w:tcW w:w="1776"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75.638.995.543</w:t>
            </w:r>
            <w:r/>
          </w:p>
        </w:tc>
      </w:tr>
      <w:tr>
        <w:trPr>
          <w:trHeight w:val="312"/>
        </w:trPr>
        <w:tc>
          <w:tcPr>
            <w:gridSpan w:val="5"/>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850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5" w:space="0"/>
              <w:right w:val="single" w:color="000000" w:sz="5" w:space="0"/>
            </w:tcBorders>
            <w:tcMar>
              <w:left w:w="0" w:type="dxa"/>
              <w:top w:w="0" w:type="dxa"/>
              <w:right w:w="0" w:type="dxa"/>
              <w:bottom w:w="0" w:type="dxa"/>
            </w:tcMar>
            <w:tcW w:w="1776"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75.639.000.000</w:t>
            </w:r>
            <w:r/>
          </w:p>
        </w:tc>
      </w:tr>
      <w:tr>
        <w:trPr>
          <w:trHeight w:val="309"/>
        </w:trPr>
        <w:tc>
          <w:tcPr>
            <w:gridSpan w:val="6"/>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10276"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Bảy mươi lăm tỷ sáu trăm ba mươi chín triệu đồng chẵn./.)</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590"/>
        <w:gridCol w:w="12971"/>
      </w:tblGrid>
      <w:tr>
        <w:trPr>
          <w:trHeight w:val="1843"/>
        </w:trPr>
        <w:tc>
          <w:tcPr>
            <w:gridSpan w:val="2"/>
            <w:tcBorders/>
            <w:tcW w:w="144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97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3562" w:type="dxa"/>
            <w:textDirection w:val="lrTb"/>
            <w:noWrap w:val="false"/>
          </w:tcPr>
          <w:p>
            <w:pPr>
              <w:pStyle w:val="1032"/>
              <w:pBdr/>
              <w:spacing w:after="60"/>
              <w:ind/>
              <w:rPr>
                <w:color w:val="000000" w:themeColor="text1"/>
                <w:sz w:val="24"/>
                <w:szCs w:val="24"/>
                <w:highlight w:val="white"/>
              </w:rPr>
            </w:pPr>
            <w:r>
              <w:rPr>
                <w:rStyle w:val="1031"/>
                <w:rFonts w:ascii="Times New Roman" w:hAnsi="Times New Roman"/>
                <w:color w:val="000000" w:themeColor="text1"/>
                <w:highlight w:val="white"/>
                <w:lang w:val="pt-BR"/>
              </w:rPr>
              <w:t xml:space="preserve">Số: </w:t>
            </w:r>
            <w:r>
              <w:rPr>
                <w:rStyle w:val="1031"/>
                <w:rFonts w:ascii="Times New Roman" w:hAnsi="Times New Roman"/>
                <w:color w:val="000000" w:themeColor="text1"/>
                <w:highlight w:val="white"/>
                <w:lang w:val="pt-BR"/>
              </w:rPr>
              <w:t xml:space="preserve">275/2026/0665/VFI-BC.53.A</w:t>
            </w:r>
            <w:r>
              <w:rPr>
                <w:color w:val="000000" w:themeColor="text1"/>
                <w:sz w:val="24"/>
                <w:szCs w:val="24"/>
                <w:highlight w:val="white"/>
              </w:rPr>
            </w:r>
            <w:r>
              <w:rPr>
                <w:color w:val="000000" w:themeColor="text1"/>
                <w:sz w:val="24"/>
                <w:szCs w:val="24"/>
                <w:highlight w:val="white"/>
              </w:rPr>
            </w:r>
          </w:p>
          <w:p>
            <w:pPr>
              <w:pStyle w:val="1032"/>
              <w:pBdr/>
              <w:spacing w:after="60"/>
              <w:ind w:right="-56"/>
              <w:jc w:val="center"/>
              <w:rPr>
                <w:color w:val="000000" w:themeColor="text1"/>
                <w:sz w:val="24"/>
                <w:szCs w:val="24"/>
                <w:highlight w:val="white"/>
              </w:rPr>
            </w:pPr>
            <w:r>
              <w:rPr>
                <w:rStyle w:val="1031"/>
                <w:rFonts w:ascii="Times New Roman" w:hAnsi="Times New Roman"/>
                <w:i/>
                <w:color w:val="auto"/>
                <w:highlight w:val="white"/>
              </w:rPr>
              <w:t xml:space="preserve">TP. Hà Nội</w:t>
            </w:r>
            <w:r>
              <w:rPr>
                <w:rStyle w:val="1031"/>
                <w:rFonts w:ascii="Times New Roman" w:hAnsi="Times New Roman"/>
                <w:i/>
                <w:color w:val="auto"/>
                <w:highlight w:val="white"/>
                <w:lang w:val="vi-VN"/>
              </w:rPr>
              <w:t xml:space="preserve">, </w:t>
            </w:r>
            <w:r>
              <w:rPr>
                <w:rStyle w:val="1031"/>
                <w:rFonts w:ascii="Times New Roman" w:hAnsi="Times New Roman"/>
                <w:i/>
                <w:color w:val="000000" w:themeColor="text1"/>
                <w:highlight w:val="white"/>
                <w:lang w:val="vi-VN"/>
              </w:rPr>
              <w:t xml:space="preserve">ngày 4 tháng 5 năm 2026</w:t>
            </w:r>
            <w:r>
              <w:rPr>
                <w:color w:val="000000" w:themeColor="text1"/>
                <w:sz w:val="24"/>
                <w:szCs w:val="24"/>
                <w:highlight w:val="white"/>
              </w:rPr>
            </w:r>
            <w:r>
              <w:rPr>
                <w:color w:val="000000" w:themeColor="text1"/>
                <w:sz w:val="24"/>
                <w:szCs w:val="24"/>
                <w:highlight w:val="white"/>
              </w:rPr>
            </w:r>
          </w:p>
        </w:tc>
      </w:tr>
      <w:tr>
        <w:trPr>
          <w:gridBefore w:val="1"/>
          <w:trHeight w:val="84"/>
        </w:trPr>
        <w:tc>
          <w:tcPr>
            <w:shd w:val="clear" w:color="auto" w:fill="auto"/>
            <w:tcBorders/>
            <w:tcMar>
              <w:left w:w="108" w:type="dxa"/>
              <w:top w:w="0" w:type="dxa"/>
              <w:right w:w="108" w:type="dxa"/>
              <w:bottom w:w="0" w:type="dxa"/>
            </w:tcMar>
            <w:tcW w:w="590" w:type="dxa"/>
            <w:textDirection w:val="lrTb"/>
            <w:noWrap w:val="false"/>
          </w:tcPr>
          <w:p>
            <w:pPr>
              <w:pStyle w:val="1032"/>
              <w:pBdr/>
              <w:spacing w:after="60"/>
              <w:ind/>
              <w:rPr>
                <w:rStyle w:val="1031"/>
                <w:rFonts w:ascii="Times New Roman" w:hAnsi="Times New Roman"/>
                <w:color w:val="000000" w:themeColor="text1"/>
                <w:lang w:val="pt-BR"/>
              </w:rPr>
            </w:pPr>
            <w:r>
              <w:rPr>
                <w:rStyle w:val="1031"/>
                <w:rFonts w:ascii="Times New Roman" w:hAnsi="Times New Roman"/>
                <w:color w:val="000000" w:themeColor="text1"/>
                <w:lang w:val="pt-BR"/>
              </w:rPr>
            </w:r>
            <w:r>
              <w:rPr>
                <w:rStyle w:val="1031"/>
                <w:rFonts w:ascii="Times New Roman" w:hAnsi="Times New Roman"/>
                <w:color w:val="000000" w:themeColor="text1"/>
                <w:lang w:val="pt-BR"/>
              </w:rPr>
            </w:r>
            <w:r>
              <w:rPr>
                <w:rStyle w:val="1031"/>
                <w:rFonts w:ascii="Times New Roman" w:hAnsi="Times New Roman"/>
                <w:color w:val="000000" w:themeColor="text1"/>
                <w:lang w:val="pt-BR"/>
              </w:rPr>
            </w:r>
          </w:p>
        </w:tc>
        <w:tc>
          <w:tcPr>
            <w:shd w:val="clear" w:color="auto" w:fill="auto"/>
            <w:tcBorders/>
            <w:tcMar>
              <w:left w:w="108" w:type="dxa"/>
              <w:top w:w="0" w:type="dxa"/>
              <w:right w:w="108" w:type="dxa"/>
              <w:bottom w:w="0" w:type="dxa"/>
            </w:tcMar>
            <w:tcW w:w="12971" w:type="dxa"/>
            <w:textDirection w:val="lrTb"/>
            <w:noWrap w:val="false"/>
          </w:tcPr>
          <w:p>
            <w:pPr>
              <w:pStyle w:val="1032"/>
              <w:pBdr/>
              <w:spacing w:after="60"/>
              <w:ind w:right="-56"/>
              <w:rPr>
                <w:rStyle w:val="1031"/>
                <w:rFonts w:ascii="Times New Roman" w:hAnsi="Times New Roman"/>
                <w:i/>
                <w:color w:val="auto"/>
              </w:rPr>
            </w:pPr>
            <w:r>
              <w:rPr>
                <w:rFonts w:ascii="Times New Roman" w:hAnsi="Times New Roman"/>
                <w:i/>
                <w:color w:val="auto"/>
              </w:rPr>
            </w:r>
            <w:r>
              <w:rPr>
                <w:rStyle w:val="1031"/>
                <w:rFonts w:ascii="Times New Roman" w:hAnsi="Times New Roman"/>
                <w:i/>
                <w:color w:val="auto"/>
              </w:rPr>
            </w:r>
            <w:r>
              <w:rPr>
                <w:rStyle w:val="1031"/>
                <w:rFonts w:ascii="Times New Roman" w:hAnsi="Times New Roman"/>
                <w:i/>
                <w:color w:val="auto"/>
              </w:rPr>
            </w:r>
          </w:p>
        </w:tc>
      </w:tr>
    </w:tbl>
    <w:p>
      <w:pPr>
        <w:pStyle w:val="1032"/>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275/2026/0665/VFI-CT.53.A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4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CÔNG TY CỔ PHẦN THỦY ĐIỆN CAO NGUYÊN- SÔNG ĐÀ 7</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Mã số thuế</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5800519428</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Địa chỉ trụ sở chính</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Thôn Lán Tranh, Xã Đam Rông 4, Tỉnh Lâm Đồng, Việt Nam</w:t>
            </w:r>
            <w:r/>
          </w:p>
        </w:tc>
      </w:tr>
      <w:tr>
        <w:trPr>
          <w:trHeight w:val="381"/>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left"/>
              <w:rPr/>
            </w:pPr>
            <w:r>
              <w:rPr>
                <w:rFonts w:ascii="Times New Roman" w:hAnsi="Times New Roman" w:eastAsia="Times New Roman" w:cs="Times New Roman"/>
                <w:color w:val="000000"/>
                <w:sz w:val="24"/>
              </w:rPr>
              <w:t xml:space="preserve">Người đại diện                    </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 Nguyễn Hữu Doanh    Chức vụ: Chủ tịch HĐQT kiêm Giám dốc</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tài sản gắn liền với đất tại thửa đất số: 73, tờ bản đồ số 27 có địa chỉ: Lô V6A-01, Khu nhà ở Văn Phú, Khu đô thị Văn Phú, Phường Kiến Hưng, Thành phố</w:t>
            </w:r>
            <w:r>
              <w:rPr>
                <w:bCs/>
                <w:color w:val="000000" w:themeColor="text1"/>
                <w:lang w:val="pt-BR"/>
              </w:rPr>
              <w:t xml:space="preserve"> Hà Nội  theo Giấy chứng nhận quyền sử dụng đất, quyền sở hữu tài sản gắn liền với đất  số: AA 05988989, số vào sổ cấp GCN: VP 53639 do Văn phòng Đăng ký đất đai Hà Nội cấp ngày 30/12/2025; Chủ sử dụng đất là Công ty Cổ phần Thủy điện Cao Nguyên- Sông Đà 7</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Khu đô thị Văn Phú, phường Kiến Hưng,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3"/>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20.957083333333, 105.76897222222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3"/>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3"/>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3"/>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3"/>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numPr>
          <w:ilvl w:val="0"/>
          <w:numId w:val="39"/>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color w:val="000000"/>
          <w:sz w:val="24"/>
        </w:rPr>
        <w:t xml:space="preserve">Quyết định số 425/QĐ-BXD ngày 30/03/2026 của Bộ Xây dựng về việc Công bố suất vốn đầu tư xây dựng công trình và giá xây dựng tổng hợp bộ phận kết cấu công trình năm 2025</w:t>
      </w:r>
      <w:r>
        <w:rPr>
          <w:rFonts w:ascii="Times New Roman" w:hAnsi="Times New Roman" w:eastAsia="Times New Roman" w:cs="Times New Roman"/>
          <w:color w:val="000000"/>
          <w:spacing w:val="-4"/>
          <w:sz w:val="24"/>
        </w:rPr>
        <w:t xml:space="preserve">;</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300" w:lineRule="auto"/>
        <w:ind/>
        <w:jc w:val="both"/>
        <w:rPr/>
      </w:pPr>
      <w:r>
        <w:rPr>
          <w:rFonts w:ascii="Times New Roman" w:hAnsi="Times New Roman" w:eastAsia="Times New Roman" w:cs="Times New Roman"/>
          <w:color w:val="000000"/>
          <w:sz w:val="24"/>
        </w:rPr>
        <w:t xml:space="preserve">Công văn số 1326/BXD-QLN của Bộ Xây dựng ban hành ngày 08/8/2011 về việc hướng dẫn kiểm kê, đánh giá lại giá trị tài sản cố định là nhà, vật kiến trúc;</w:t>
      </w:r>
      <w:r>
        <w:rPr>
          <w:rFonts w:ascii="Times New Roman" w:hAnsi="Times New Roman" w:eastAsia="Times New Roman" w:cs="Times New Roman"/>
          <w:sz w:val="24"/>
        </w:rPr>
      </w:r>
      <w:r/>
    </w:p>
    <w:p>
      <w:pPr>
        <w:pStyle w:val="1033"/>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3"/>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05988989, số vào sổ cấp GCN: VP 53639 do Văn phòng Đăng ký đất đai Hà Nội cấp ngày 30/12/2025; Chủ sử dụng đất là Công ty Cổ phần Thủy điện Cao Nguyên- Sông Đà 7</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3"/>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275/2026/0665/VFI-HĐTĐ.53.A ngày 28/01/2026 giữa CÔNG TY CỔ PHẦN THỦY ĐIỆN CAO NGUYÊN- SÔNG ĐÀ 7với Công ty Cổ phần Thẩm định và Đầu tư Tài chính Hoa Sen.</w:t>
      </w:r>
      <w:r>
        <w:rPr>
          <w:b/>
          <w:lang w:val="pt-BR"/>
        </w:rPr>
      </w:r>
      <w:r>
        <w:rPr>
          <w:b/>
          <w:lang w:val="pt-BR"/>
        </w:rPr>
      </w:r>
    </w:p>
    <w:p>
      <w:pPr>
        <w:pStyle w:val="1033"/>
        <w:numPr>
          <w:ilvl w:val="0"/>
          <w:numId w:val="2"/>
        </w:numPr>
        <w:pBdr/>
        <w:tabs>
          <w:tab w:val="left" w:leader="none" w:pos="993"/>
        </w:tabs>
        <w:spacing w:after="120" w:before="120" w:line="276" w:lineRule="auto"/>
        <w:ind/>
        <w:jc w:val="both"/>
        <w:rPr>
          <w:b/>
          <w:highlight w:val="white"/>
        </w:rPr>
      </w:pPr>
      <w:r>
        <w:rPr>
          <w:highlight w:val="white"/>
          <w:lang w:val="pt-BR"/>
        </w:rPr>
        <w:t xml:space="preserve">Hồ sơ, tài liệu, chứng từ liên quan đến tài sản thẩm định giá.</w:t>
      </w:r>
      <w:r>
        <w:rPr>
          <w:b/>
          <w:highlight w:val="white"/>
        </w:rPr>
      </w:r>
      <w:r>
        <w:rPr>
          <w:b/>
          <w:highlight w:val="white"/>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rPr>
      </w:r>
      <w:r>
        <w:rPr>
          <w:b/>
          <w:bCs/>
          <w:highlight w:val="white"/>
        </w:rPr>
      </w:r>
    </w:p>
    <w:p>
      <w:pPr>
        <w:pBdr>
          <w:top w:val="single" w:color="e5e5ea" w:sz="0" w:space="0"/>
          <w:left w:val="single" w:color="e5e5ea" w:sz="0" w:space="0"/>
          <w:bottom w:val="single" w:color="e5e5ea" w:sz="0" w:space="0"/>
          <w:right w:val="single" w:color="e5e5ea" w:sz="0" w:space="0"/>
        </w:pBdr>
        <w:spacing w:after="299" w:before="0"/>
        <w:ind w:right="0" w:firstLine="0" w:left="0"/>
        <w:rPr>
          <w:rFonts w:ascii="Times New Roman" w:hAnsi="Times New Roman" w:cs="Times New Roman"/>
          <w:color w:val="000000" w:themeColor="text1"/>
          <w:sz w:val="24"/>
          <w:szCs w:val="24"/>
        </w:rPr>
      </w:pPr>
      <w:r>
        <w:rPr>
          <w:lang w:val="pt-BR"/>
        </w:rPr>
        <w:tab/>
      </w:r>
      <w:r>
        <w:rPr>
          <w:rFonts w:ascii="Times New Roman" w:hAnsi="Times New Roman" w:eastAsia="Times New Roman" w:cs="Times New Roman"/>
          <w:color w:val="000000" w:themeColor="text1"/>
          <w:sz w:val="24"/>
          <w:szCs w:val="24"/>
        </w:rPr>
        <w:t xml:space="preserve">Quận Hà Đông đang bước vào giai đoạn phát triển đô thị mạnh mẽ với định hướng rõ ràng từ thành phố Hà Nội. Khu vực từ phía Nam sông Hồng đến đường vành đai 2 sẽ được phát triển gắn với bảo tồn, nhằm giữ lại vẻ đẹp văn hóa - lịch sử vốn có mà không làm mất </w:t>
      </w:r>
      <w:r>
        <w:rPr>
          <w:rFonts w:ascii="Times New Roman" w:hAnsi="Times New Roman" w:eastAsia="Times New Roman" w:cs="Times New Roman"/>
          <w:color w:val="000000" w:themeColor="text1"/>
          <w:sz w:val="24"/>
          <w:szCs w:val="24"/>
        </w:rPr>
        <w:t xml:space="preserve">đi sự năng động của khu vực.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Trong khi đó, khu nội đô mở rộng kéo dài đến vành đai 4 sẽ là nơi hình thành các khu đô thị, dịch vụ, thương mại hiện đại, hứa hẹn trở thành trung tâm sôi động trong tương lai. Khu vực hai bên sông Hồng cũng được xác định là không gian đô thị công cộng, nơ</w:t>
      </w:r>
      <w:r>
        <w:rPr>
          <w:rFonts w:ascii="Times New Roman" w:hAnsi="Times New Roman" w:eastAsia="Times New Roman" w:cs="Times New Roman"/>
          <w:color w:val="000000" w:themeColor="text1"/>
          <w:sz w:val="24"/>
          <w:szCs w:val="24"/>
        </w:rPr>
        <w:t xml:space="preserve">i bố trí các công trình văn hóa và sinh hoạt chung.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0"/>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Sau khi quy hoạch quận Hà Đông được công bố, thị trường bất động sản tại khu vực này đã ghi nhận nhiều cơ hội hấp dẫn: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3"/>
        <w:numPr>
          <w:ilvl w:val="0"/>
          <w:numId w:val="40"/>
        </w:numPr>
        <w:pBdr>
          <w:top w:val="single" w:color="e5e5ea" w:sz="0" w:space="0"/>
          <w:left w:val="single" w:color="e5e5ea" w:sz="0" w:space="0"/>
          <w:bottom w:val="single" w:color="e5e5ea" w:sz="0" w:space="0"/>
          <w:right w:val="single" w:color="e5e5ea" w:sz="0" w:space="0"/>
        </w:pBdr>
        <w:spacing w:after="120" w:before="120"/>
        <w:ind w:righ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Quy hoạch mới tập trung phát triển các tuyến đường trọng điểm như đường vành đai, tuyến metro, cao tốc, giúp tăng giá trị bất động sản tại các khu vực như Dương Nội, Kiến Hưng, Yên Nghĩa.</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3"/>
        <w:numPr>
          <w:ilvl w:val="0"/>
          <w:numId w:val="40"/>
        </w:numPr>
        <w:pBdr>
          <w:top w:val="single" w:color="e5e5ea" w:sz="0" w:space="0"/>
          <w:left w:val="single" w:color="e5e5ea" w:sz="0" w:space="0"/>
          <w:bottom w:val="single" w:color="e5e5ea" w:sz="0" w:space="0"/>
          <w:right w:val="single" w:color="e5e5ea" w:sz="0" w:space="0"/>
        </w:pBdr>
        <w:spacing w:after="120" w:before="120"/>
        <w:ind w:righ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Hà Đông được quy hoạch trở thành khu đô thị trung tâm của Hà Nội vào năm 2050, với mục tiêu phát triển bền vững và hiện đại hóa đô thị.</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3"/>
        <w:numPr>
          <w:ilvl w:val="0"/>
          <w:numId w:val="40"/>
        </w:numPr>
        <w:pBdr>
          <w:top w:val="single" w:color="e5e5ea" w:sz="0" w:space="0"/>
          <w:left w:val="single" w:color="e5e5ea" w:sz="0" w:space="0"/>
          <w:bottom w:val="single" w:color="e5e5ea" w:sz="0" w:space="0"/>
          <w:right w:val="single" w:color="e5e5ea" w:sz="0" w:space="0"/>
        </w:pBdr>
        <w:spacing w:after="120" w:before="120"/>
        <w:ind w:righ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Giá đất tại Hà Đông tăng mạnh so với trước đây, đặc biệt tại các tuyến đường như Nguyễn Trãi và Trần Phú.</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Bên cạnh đó, các nhà đầu tư cũng cần lưu ý đến một số rủi ro khi quy hoạch quận Hà Đông được công bố:</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3"/>
        <w:numPr>
          <w:ilvl w:val="0"/>
          <w:numId w:val="41"/>
        </w:numPr>
        <w:pBdr>
          <w:top w:val="single" w:color="e5e5ea" w:sz="0" w:space="0"/>
          <w:left w:val="single" w:color="e5e5ea" w:sz="0" w:space="0"/>
          <w:bottom w:val="single" w:color="e5e5ea" w:sz="0" w:space="0"/>
          <w:right w:val="single" w:color="e5e5ea" w:sz="0" w:space="0"/>
        </w:pBdr>
        <w:spacing w:after="120" w:before="120"/>
        <w:ind w:righ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Một số khu vực có thể gặp rủi ro nếu nằm trong diện quy hoạch như đất công cộng, đất cây xanh hoặc đất giao thông.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3"/>
        <w:numPr>
          <w:ilvl w:val="0"/>
          <w:numId w:val="41"/>
        </w:numPr>
        <w:pBdr>
          <w:top w:val="single" w:color="e5e5ea" w:sz="0" w:space="0"/>
          <w:left w:val="single" w:color="e5e5ea" w:sz="0" w:space="0"/>
          <w:bottom w:val="single" w:color="e5e5ea" w:sz="0" w:space="0"/>
          <w:right w:val="single" w:color="e5e5ea" w:sz="0" w:space="0"/>
        </w:pBdr>
        <w:spacing w:after="120" w:before="120"/>
        <w:ind w:righ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Sự phát triển nhanh chóng có thể dẫn đến nguồn cung bất động sản tăng mạnh, tạo áp lực cạnh tranh và ảnh hưởng đến lợi nhuận đầu tư.</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3"/>
        <w:numPr>
          <w:ilvl w:val="0"/>
          <w:numId w:val="41"/>
        </w:numPr>
        <w:pBdr>
          <w:top w:val="single" w:color="e5e5ea" w:sz="0" w:space="0"/>
          <w:left w:val="single" w:color="e5e5ea" w:sz="0" w:space="0"/>
          <w:bottom w:val="single" w:color="e5e5ea" w:sz="0" w:space="0"/>
          <w:right w:val="single" w:color="e5e5ea" w:sz="0" w:space="0"/>
        </w:pBdr>
        <w:spacing w:after="120" w:before="120"/>
        <w:ind w:righ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Giá trị bất động sản có thể bị ảnh hưởng nếu các dự án hạ tầng chậm tiến độ hoặc không được triển khai như kế hoạch.</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Quy hoạch quận Hà Đông không chỉ giúp nâng cao chất lượng cuộc sống mà còn tạo ra động lực mạnh mẽ cho sự phát triển kinh tế và thị trường bất động sản, đồng thời góp phần xây dựng một cộng đồng dân cư ổn định, văn minh.</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abs>
          <w:tab w:val="left" w:leader="none" w:pos="426"/>
        </w:tabs>
        <w:spacing w:after="120" w:before="120" w:line="276" w:lineRule="auto"/>
        <w:ind/>
        <w:rPr>
          <w:bCs/>
          <w:i/>
          <w:color w:val="000000" w:themeColor="text1"/>
          <w:u w:val="single"/>
        </w:rPr>
      </w:pPr>
      <w:r>
        <w:rPr>
          <w:i/>
          <w:iCs/>
          <w:color w:val="000000" w:themeColor="text1"/>
          <w:sz w:val="24"/>
          <w:u w:val="single"/>
        </w:rPr>
        <w:t xml:space="preserve">(Nguồn:</w:t>
      </w:r>
      <w:r>
        <w:rPr>
          <w:i/>
          <w:iCs/>
          <w:color w:val="000000" w:themeColor="text1"/>
          <w:sz w:val="24"/>
          <w:u w:val="single"/>
        </w:rPr>
        <w:t xml:space="preserve">https://onehousing.vn/blog/quy-hoach-quan-ha-dong-ha-noi-sau-khi-sap-xep-lai-don-vi-hanh-chinh-n17t</w:t>
      </w:r>
      <w:r>
        <w:rPr>
          <w:i/>
          <w:iCs/>
          <w:color w:val="000000" w:themeColor="text1"/>
          <w:sz w:val="24"/>
          <w:u w:val="single"/>
        </w:rPr>
        <w:t xml:space="preserve">)</w:t>
      </w:r>
      <w:r>
        <w:rPr>
          <w:bCs/>
          <w:i/>
          <w:color w:val="000000" w:themeColor="text1"/>
          <w:u w:val="single"/>
        </w:rPr>
      </w:r>
      <w:r>
        <w:rPr>
          <w:bCs/>
          <w:i/>
          <w:color w:val="000000" w:themeColor="text1"/>
          <w:u w:val="single"/>
        </w:rPr>
      </w:r>
    </w:p>
    <w:p>
      <w:pPr>
        <w:pStyle w:val="1033"/>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3"/>
        <w:gridCol w:w="2304"/>
        <w:gridCol w:w="2051"/>
        <w:gridCol w:w="2451"/>
        <w:gridCol w:w="2406"/>
      </w:tblGrid>
      <w:tr>
        <w:trPr>
          <w:trHeight w:val="1821"/>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11" w:type="dxa"/>
            <w:vAlign w:val="center"/>
            <w:textDirection w:val="lrTb"/>
            <w:noWrap w:val="false"/>
          </w:tcPr>
          <w:p>
            <w:pPr>
              <w:pBdr/>
              <w:tabs>
                <w:tab w:val="left" w:leader="none" w:pos="1399"/>
              </w:tabs>
              <w:spacing w:after="0" w:before="0" w:line="276" w:lineRule="auto"/>
              <w:ind/>
              <w:jc w:val="both"/>
              <w:rPr/>
            </w:pPr>
            <w:r>
              <w:rPr>
                <w:rFonts w:ascii="Times New Roman" w:hAnsi="Times New Roman" w:eastAsia="Times New Roman" w:cs="Times New Roman"/>
                <w:b/>
                <w:color w:val="000000"/>
                <w:sz w:val="24"/>
              </w:rPr>
              <w:t xml:space="preserve">Quyền sử dụng đất và tài sản gắn liền với đất tại thửa đất số: 73, tờ bản đồ số 27 có địa chỉ: Lô V6A-01, Khu nhà ở Văn Phú, Khu đô thị Văn Phú, Phường Kiến Hưng, Thành phố Hà Nội  theo Giấy chứng nhận quyền sử dụng đất, quyền sở hữu tài sản gắn liền với đ</w:t>
            </w:r>
            <w:r>
              <w:rPr>
                <w:rFonts w:ascii="Times New Roman" w:hAnsi="Times New Roman" w:eastAsia="Times New Roman" w:cs="Times New Roman"/>
                <w:b/>
                <w:color w:val="000000"/>
                <w:sz w:val="24"/>
              </w:rPr>
              <w:t xml:space="preserve">ất  số: AA 05988989, số vào sổ cấp GCN: VP 53639 do Văn phòng Đăng ký đất đai Hà Nội cấp ngày 30/12/2025; Chủ sử dụng đất là Công ty Cổ phần Thủy điện Cao Nguyên- Sông Đà 7</w:t>
            </w:r>
            <w:r>
              <w:tab/>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6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1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0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5" w:space="0"/>
              <w:right w:val="single" w:color="000000" w:sz="5" w:space="0"/>
            </w:tcBorders>
            <w:tcMar>
              <w:left w:w="0" w:type="dxa"/>
              <w:top w:w="0" w:type="dxa"/>
              <w:right w:w="0" w:type="dxa"/>
              <w:bottom w:w="0" w:type="dxa"/>
            </w:tcMar>
            <w:tcW w:w="205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73</w:t>
            </w:r>
            <w:r/>
          </w:p>
        </w:tc>
        <w:tc>
          <w:tcPr>
            <w:tcBorders>
              <w:bottom w:val="single" w:color="000000" w:sz="5" w:space="0"/>
              <w:right w:val="single" w:color="000000" w:sz="5" w:space="0"/>
            </w:tcBorders>
            <w:tcMar>
              <w:left w:w="0" w:type="dxa"/>
              <w:top w:w="0" w:type="dxa"/>
              <w:right w:w="0" w:type="dxa"/>
              <w:bottom w:w="0" w:type="dxa"/>
            </w:tcMar>
            <w:tcW w:w="245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5" w:space="0"/>
              <w:right w:val="single" w:color="000000" w:sz="5" w:space="0"/>
            </w:tcBorders>
            <w:tcMar>
              <w:left w:w="0" w:type="dxa"/>
              <w:top w:w="0" w:type="dxa"/>
              <w:right w:w="0" w:type="dxa"/>
              <w:bottom w:w="0" w:type="dxa"/>
            </w:tcMar>
            <w:tcW w:w="24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27</w:t>
            </w:r>
            <w:r/>
          </w:p>
        </w:tc>
      </w:tr>
      <w:tr>
        <w:trPr>
          <w:trHeight w:val="960"/>
        </w:trPr>
        <w:tc>
          <w:tcPr>
            <w:tcBorders>
              <w:left w:val="single" w:color="000000" w:sz="5" w:space="0"/>
              <w:bottom w:val="single" w:color="000000" w:sz="5" w:space="0"/>
              <w:right w:val="single" w:color="000000" w:sz="5" w:space="0"/>
            </w:tcBorders>
            <w:tcMar>
              <w:left w:w="0" w:type="dxa"/>
              <w:top w:w="0" w:type="dxa"/>
              <w:right w:w="0" w:type="dxa"/>
              <w:bottom w:w="0" w:type="dxa"/>
            </w:tcMar>
            <w:tcW w:w="6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0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907"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Lô V6A-01, Khu nhà ở Văn Phú, Khu đô thị Văn Phú, Phường Kiến Hưng, Thành phố Hà Nội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0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5" w:space="0"/>
              <w:right w:val="single" w:color="000000" w:sz="5" w:space="0"/>
            </w:tcBorders>
            <w:tcMar>
              <w:left w:w="0" w:type="dxa"/>
              <w:top w:w="0" w:type="dxa"/>
              <w:right w:w="0" w:type="dxa"/>
              <w:bottom w:w="0" w:type="dxa"/>
            </w:tcMar>
            <w:tcW w:w="205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215,7</w:t>
            </w:r>
            <w:r/>
          </w:p>
        </w:tc>
        <w:tc>
          <w:tcPr>
            <w:tcBorders>
              <w:bottom w:val="single" w:color="000000" w:sz="5" w:space="0"/>
              <w:right w:val="single" w:color="000000" w:sz="5" w:space="0"/>
            </w:tcBorders>
            <w:tcMar>
              <w:left w:w="0" w:type="dxa"/>
              <w:top w:w="0" w:type="dxa"/>
              <w:right w:w="0" w:type="dxa"/>
              <w:bottom w:w="0" w:type="dxa"/>
            </w:tcMar>
            <w:tcW w:w="245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5" w:space="0"/>
              <w:right w:val="single" w:color="000000" w:sz="5" w:space="0"/>
            </w:tcBorders>
            <w:tcMar>
              <w:left w:w="0" w:type="dxa"/>
              <w:top w:w="0" w:type="dxa"/>
              <w:right w:w="0" w:type="dxa"/>
              <w:bottom w:w="0" w:type="dxa"/>
            </w:tcMar>
            <w:tcW w:w="240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Sử dụng riêng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0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205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đô thị  </w:t>
            </w:r>
            <w:r/>
          </w:p>
        </w:tc>
        <w:tc>
          <w:tcPr>
            <w:tcBorders>
              <w:bottom w:val="single" w:color="000000" w:sz="5" w:space="0"/>
              <w:right w:val="single" w:color="000000" w:sz="5" w:space="0"/>
            </w:tcBorders>
            <w:tcMar>
              <w:left w:w="0" w:type="dxa"/>
              <w:top w:w="0" w:type="dxa"/>
              <w:right w:w="0" w:type="dxa"/>
              <w:bottom w:w="0" w:type="dxa"/>
            </w:tcMar>
            <w:tcW w:w="245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5" w:space="0"/>
              <w:right w:val="single" w:color="000000" w:sz="5" w:space="0"/>
            </w:tcBorders>
            <w:tcMar>
              <w:left w:w="0" w:type="dxa"/>
              <w:top w:w="0" w:type="dxa"/>
              <w:right w:w="0" w:type="dxa"/>
              <w:bottom w:w="0" w:type="dxa"/>
            </w:tcMar>
            <w:tcW w:w="24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1423"/>
        </w:trPr>
        <w:tc>
          <w:tcPr>
            <w:tcBorders>
              <w:left w:val="single" w:color="000000" w:sz="5" w:space="0"/>
              <w:bottom w:val="single" w:color="000000" w:sz="5" w:space="0"/>
              <w:right w:val="single" w:color="000000" w:sz="5" w:space="0"/>
            </w:tcBorders>
            <w:tcMar>
              <w:left w:w="0" w:type="dxa"/>
              <w:top w:w="0" w:type="dxa"/>
              <w:right w:w="0" w:type="dxa"/>
              <w:bottom w:w="0" w:type="dxa"/>
            </w:tcMar>
            <w:tcW w:w="6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04"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Ghi chú:</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907" w:type="dxa"/>
            <w:vAlign w:val="center"/>
            <w:textDirection w:val="lrTb"/>
            <w:noWrap w:val="false"/>
          </w:tcPr>
          <w:p>
            <w:pPr>
              <w:pBdr/>
              <w:spacing w:after="0" w:before="0" w:line="276"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Thửa đất số 73, tờ bản đồ số 27 thuộc phường Phú La, quận Hà Đông, Hà Nội ( cũ)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76" w:lineRule="auto"/>
              <w:ind/>
              <w:jc w:val="both"/>
              <w:rPr/>
            </w:pPr>
            <w:r>
              <w:rPr>
                <w:rFonts w:ascii="Times New Roman" w:hAnsi="Times New Roman" w:eastAsia="Times New Roman" w:cs="Times New Roman"/>
                <w:color w:val="000000"/>
                <w:sz w:val="24"/>
              </w:rPr>
              <w:t xml:space="preserve">Giấy chứng nhận này được cấp đổi từ Giấy chứng nhận quyền sử dụng đất, quyền sở h</w:t>
            </w:r>
            <w:r>
              <w:rPr>
                <w:rFonts w:ascii="Times New Roman" w:hAnsi="Times New Roman" w:eastAsia="Times New Roman" w:cs="Times New Roman"/>
                <w:color w:val="000000"/>
                <w:sz w:val="24"/>
              </w:rPr>
              <w:t xml:space="preserve">ữu nhà ở và tài sản gắn liền với đất số CK 562521 do Sở Tài nguyên và Môi trường thành phố Hà Nội cấp ngày 16/08/2017.</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6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0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907" w:type="dxa"/>
            <w:vAlign w:val="center"/>
            <w:textDirection w:val="lrTb"/>
            <w:noWrap w:val="false"/>
          </w:tcPr>
          <w:p>
            <w:pPr>
              <w:pBdr/>
              <w:spacing w:after="0" w:before="0" w:line="276" w:lineRule="auto"/>
              <w:ind/>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1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00"/>
        </w:trPr>
        <w:tc>
          <w:tcPr>
            <w:tcBorders>
              <w:left w:val="single" w:color="000000" w:sz="5" w:space="0"/>
              <w:bottom w:val="single" w:color="000000" w:sz="5" w:space="0"/>
              <w:right w:val="single" w:color="000000" w:sz="5" w:space="0"/>
            </w:tcBorders>
            <w:tcMar>
              <w:left w:w="0" w:type="dxa"/>
              <w:top w:w="0" w:type="dxa"/>
              <w:right w:w="0" w:type="dxa"/>
              <w:bottom w:w="0" w:type="dxa"/>
            </w:tcMar>
            <w:tcW w:w="6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1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6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230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5" w:space="0"/>
            </w:tcBorders>
            <w:tcMar>
              <w:left w:w="0" w:type="dxa"/>
              <w:top w:w="0" w:type="dxa"/>
              <w:right w:w="0" w:type="dxa"/>
              <w:bottom w:w="0" w:type="dxa"/>
            </w:tcMar>
            <w:tcW w:w="2051"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Đường  đôi nhựa có vỉa hè mỗi bên 8m</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c>
        <w:tc>
          <w:tcPr>
            <w:tcBorders>
              <w:right w:val="single" w:color="000000" w:sz="5" w:space="0"/>
            </w:tcBorders>
            <w:tcMar>
              <w:left w:w="0" w:type="dxa"/>
              <w:top w:w="0" w:type="dxa"/>
              <w:right w:w="0" w:type="dxa"/>
              <w:bottom w:w="0" w:type="dxa"/>
            </w:tcMar>
            <w:tcW w:w="245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5" w:space="0"/>
            </w:tcBorders>
            <w:tcMar>
              <w:left w:w="0" w:type="dxa"/>
              <w:top w:w="0" w:type="dxa"/>
              <w:right w:w="0" w:type="dxa"/>
              <w:bottom w:w="0" w:type="dxa"/>
            </w:tcMar>
            <w:tcW w:w="24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02 mặt tiền</w:t>
            </w:r>
            <w:r/>
          </w:p>
        </w:tc>
      </w:tr>
      <w:tr>
        <w:trPr>
          <w:trHeight w:val="1248"/>
        </w:trPr>
        <w:tc>
          <w:tcPr>
            <w:tcBorders>
              <w:left w:val="single" w:color="000000" w:sz="5" w:space="0"/>
              <w:bottom w:val="single" w:color="000000" w:sz="5" w:space="0"/>
            </w:tcBorders>
            <w:tcMar>
              <w:left w:w="0" w:type="dxa"/>
              <w:top w:w="0" w:type="dxa"/>
              <w:right w:w="0" w:type="dxa"/>
              <w:bottom w:w="0" w:type="dxa"/>
            </w:tcMar>
            <w:tcW w:w="6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230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05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20</w:t>
            </w:r>
            <w:r/>
          </w:p>
        </w:tc>
        <w:tc>
          <w:tcPr>
            <w:tcBorders>
              <w:top w:val="single" w:color="000000" w:sz="5" w:space="0"/>
              <w:bottom w:val="single" w:color="000000" w:sz="5" w:space="0"/>
              <w:right w:val="single" w:color="000000" w:sz="5" w:space="0"/>
            </w:tcBorders>
            <w:tcMar>
              <w:left w:w="0" w:type="dxa"/>
              <w:top w:w="0" w:type="dxa"/>
              <w:right w:w="0" w:type="dxa"/>
              <w:bottom w:w="0" w:type="dxa"/>
            </w:tcMar>
            <w:tcW w:w="2451"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4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20</w:t>
            </w:r>
            <w:r/>
          </w:p>
        </w:tc>
      </w:tr>
      <w:tr>
        <w:trPr>
          <w:trHeight w:val="720"/>
        </w:trPr>
        <w:tc>
          <w:tcPr>
            <w:tcBorders>
              <w:left w:val="single" w:color="000000" w:sz="5" w:space="0"/>
              <w:bottom w:val="single" w:color="000000" w:sz="5" w:space="0"/>
              <w:right w:val="single" w:color="000000" w:sz="5" w:space="0"/>
            </w:tcBorders>
            <w:tcMar>
              <w:left w:w="0" w:type="dxa"/>
              <w:top w:w="0" w:type="dxa"/>
              <w:right w:w="0" w:type="dxa"/>
              <w:bottom w:w="0" w:type="dxa"/>
            </w:tcMar>
            <w:tcW w:w="6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230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907"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tiếp giáp mặt đường Văn Khê, đối diện tháp đồng hồ Văn Phú.</w:t>
            </w:r>
            <w:r/>
          </w:p>
        </w:tc>
      </w:tr>
      <w:tr>
        <w:trPr>
          <w:trHeight w:val="1236"/>
        </w:trPr>
        <w:tc>
          <w:tcPr>
            <w:tcBorders>
              <w:left w:val="single" w:color="000000" w:sz="5" w:space="0"/>
              <w:bottom w:val="single" w:color="000000" w:sz="5" w:space="0"/>
              <w:right w:val="single" w:color="000000" w:sz="5" w:space="0"/>
            </w:tcBorders>
            <w:tcMar>
              <w:left w:w="0" w:type="dxa"/>
              <w:top w:w="0" w:type="dxa"/>
              <w:right w:w="0" w:type="dxa"/>
              <w:bottom w:w="0" w:type="dxa"/>
            </w:tcMar>
            <w:tcW w:w="6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bottom w:val="single" w:color="000000" w:sz="5" w:space="0"/>
              <w:right w:val="single" w:color="000000" w:sz="5" w:space="0"/>
            </w:tcBorders>
            <w:tcMar>
              <w:left w:w="0" w:type="dxa"/>
              <w:top w:w="0" w:type="dxa"/>
              <w:right w:w="0" w:type="dxa"/>
              <w:bottom w:w="0" w:type="dxa"/>
            </w:tcMar>
            <w:tcW w:w="230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w:t>
            </w:r>
            <w:r>
              <w:rPr>
                <w:rFonts w:ascii="Times New Roman" w:hAnsi="Times New Roman" w:eastAsia="Times New Roman" w:cs="Times New Roman"/>
                <w:color w:val="000000"/>
                <w:sz w:val="24"/>
              </w:rPr>
              <w:t xml:space="preserve">tiếp</w:t>
            </w:r>
            <w:r>
              <w:rPr>
                <w:rFonts w:ascii="Times New Roman" w:hAnsi="Times New Roman" w:eastAsia="Times New Roman" w:cs="Times New Roman"/>
                <w:color w:val="000000"/>
                <w:sz w:val="24"/>
              </w:rPr>
              <w:t xml:space="preserve"> giáp:</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907" w:type="dxa"/>
            <w:vAlign w:val="center"/>
            <w:textDirection w:val="lrTb"/>
            <w:noWrap w:val="false"/>
          </w:tcPr>
          <w:p>
            <w:pPr>
              <w:pBdr/>
              <w:spacing w:after="0" w:before="0" w:line="240" w:lineRule="auto"/>
              <w:ind/>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Bắc : Tiếp giáp đường nhựa rộng khoảng 20m+ 8 m vỉa hè mỗi bên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left"/>
              <w:rPr/>
            </w:pPr>
            <w:r>
              <w:rPr>
                <w:rFonts w:ascii="Times New Roman" w:hAnsi="Times New Roman" w:eastAsia="Times New Roman" w:cs="Times New Roman"/>
                <w:color w:val="000000"/>
                <w:sz w:val="24"/>
              </w:rPr>
              <w:t xml:space="preserve">Hướng  Tây Bắc: Tiếp giáp đường nhựa rộng khoảng 14,5m+ 8m vỉa hè mỗi bên </w:t>
              <w:br/>
              <w:t xml:space="preserve">Các hướng khác: Tiếp giáp các thửa đất khác.</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921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w:t>
            </w:r>
            <w:r>
              <w:rPr>
                <w:rFonts w:ascii="Times New Roman" w:hAnsi="Times New Roman" w:eastAsia="Times New Roman" w:cs="Times New Roman"/>
                <w:color w:val="000000"/>
                <w:sz w:val="24"/>
              </w:rPr>
              <w:t xml:space="preserve">trên</w:t>
            </w:r>
            <w:r>
              <w:rPr>
                <w:rFonts w:ascii="Times New Roman" w:hAnsi="Times New Roman" w:eastAsia="Times New Roman" w:cs="Times New Roman"/>
                <w:color w:val="000000"/>
                <w:sz w:val="24"/>
              </w:rPr>
              <w:t xml:space="preserve"> bản đồ vệ tinh: </w:t>
            </w:r>
            <w:r>
              <w:rPr>
                <w:rFonts w:ascii="Times New Roman" w:hAnsi="Times New Roman" w:eastAsia="Times New Roman" w:cs="Times New Roman"/>
                <w:color w:val="000000"/>
                <w:sz w:val="24"/>
              </w:rPr>
              <w:t xml:space="preserve">20.957115524730288, 105.769046808509</w:t>
            </w:r>
            <w:r>
              <w:rPr>
                <w:rFonts w:ascii="Times New Roman" w:hAnsi="Times New Roman" w:eastAsia="Times New Roman" w:cs="Times New Roman"/>
                <w:color w:val="000000"/>
                <w:sz w:val="24"/>
              </w:rPr>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921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6048375" cy="3022608"/>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740688" name=""/>
                              <pic:cNvPicPr>
                                <a:picLocks noChangeAspect="1"/>
                              </pic:cNvPicPr>
                              <pic:nvPr/>
                            </pic:nvPicPr>
                            <pic:blipFill rotWithShape="1">
                              <a:blip r:embed="rId17"/>
                              <a:stretch/>
                            </pic:blipFill>
                            <pic:spPr bwMode="auto">
                              <a:xfrm>
                                <a:off x="0" y="0"/>
                                <a:ext cx="6048374" cy="30226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38.00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1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6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0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5" w:space="0"/>
              <w:right w:val="single" w:color="000000" w:sz="5" w:space="0"/>
            </w:tcBorders>
            <w:tcMar>
              <w:left w:w="0" w:type="dxa"/>
              <w:top w:w="0" w:type="dxa"/>
              <w:right w:w="0" w:type="dxa"/>
              <w:bottom w:w="0" w:type="dxa"/>
            </w:tcMar>
            <w:tcW w:w="205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215,7</w:t>
            </w:r>
            <w:r/>
          </w:p>
        </w:tc>
        <w:tc>
          <w:tcPr>
            <w:tcBorders>
              <w:bottom w:val="single" w:color="000000" w:sz="5" w:space="0"/>
              <w:right w:val="single" w:color="000000" w:sz="5" w:space="0"/>
            </w:tcBorders>
            <w:tcMar>
              <w:left w:w="0" w:type="dxa"/>
              <w:top w:w="0" w:type="dxa"/>
              <w:right w:w="0" w:type="dxa"/>
              <w:bottom w:w="0" w:type="dxa"/>
            </w:tcMar>
            <w:tcW w:w="245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5" w:space="0"/>
              <w:right w:val="single" w:color="000000" w:sz="5" w:space="0"/>
            </w:tcBorders>
            <w:tcMar>
              <w:left w:w="0" w:type="dxa"/>
              <w:top w:w="0" w:type="dxa"/>
              <w:right w:w="0" w:type="dxa"/>
              <w:bottom w:w="0" w:type="dxa"/>
            </w:tcMar>
            <w:tcW w:w="24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0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bottom w:val="single" w:color="000000" w:sz="5" w:space="0"/>
              <w:right w:val="single" w:color="000000" w:sz="5" w:space="0"/>
            </w:tcBorders>
            <w:tcMar>
              <w:left w:w="0" w:type="dxa"/>
              <w:top w:w="0" w:type="dxa"/>
              <w:right w:w="0" w:type="dxa"/>
              <w:bottom w:w="0" w:type="dxa"/>
            </w:tcMar>
            <w:tcW w:w="205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13,15</w:t>
            </w:r>
            <w:r/>
          </w:p>
        </w:tc>
        <w:tc>
          <w:tcPr>
            <w:tcBorders>
              <w:bottom w:val="single" w:color="000000" w:sz="5" w:space="0"/>
              <w:right w:val="single" w:color="000000" w:sz="5" w:space="0"/>
            </w:tcBorders>
            <w:tcMar>
              <w:left w:w="0" w:type="dxa"/>
              <w:top w:w="0" w:type="dxa"/>
              <w:right w:w="0" w:type="dxa"/>
              <w:bottom w:w="0" w:type="dxa"/>
            </w:tcMar>
            <w:tcW w:w="245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tcBorders>
              <w:bottom w:val="single" w:color="000000" w:sz="5" w:space="0"/>
              <w:right w:val="single" w:color="000000" w:sz="5" w:space="0"/>
            </w:tcBorders>
            <w:tcMar>
              <w:left w:w="0" w:type="dxa"/>
              <w:top w:w="0" w:type="dxa"/>
              <w:right w:w="0" w:type="dxa"/>
              <w:bottom w:w="0" w:type="dxa"/>
            </w:tcMar>
            <w:tcW w:w="24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18 và 18,53</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6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0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5" w:space="0"/>
              <w:right w:val="single" w:color="000000" w:sz="5" w:space="0"/>
            </w:tcBorders>
            <w:tcMar>
              <w:left w:w="0" w:type="dxa"/>
              <w:top w:w="0" w:type="dxa"/>
              <w:right w:w="0" w:type="dxa"/>
              <w:bottom w:w="0" w:type="dxa"/>
            </w:tcMar>
            <w:tcW w:w="205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Vạt góc</w:t>
            </w:r>
            <w:r/>
          </w:p>
        </w:tc>
        <w:tc>
          <w:tcPr>
            <w:tcBorders>
              <w:bottom w:val="single" w:color="000000" w:sz="5" w:space="0"/>
              <w:right w:val="single" w:color="000000" w:sz="5" w:space="0"/>
            </w:tcBorders>
            <w:tcMar>
              <w:left w:w="0" w:type="dxa"/>
              <w:top w:w="0" w:type="dxa"/>
              <w:right w:w="0" w:type="dxa"/>
              <w:bottom w:w="0" w:type="dxa"/>
            </w:tcMar>
            <w:tcW w:w="245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mặt tiền chính:</w:t>
            </w:r>
            <w:r/>
          </w:p>
        </w:tc>
        <w:tc>
          <w:tcPr>
            <w:tcBorders>
              <w:bottom w:val="single" w:color="000000" w:sz="5" w:space="0"/>
              <w:right w:val="single" w:color="000000" w:sz="5" w:space="0"/>
            </w:tcBorders>
            <w:tcMar>
              <w:left w:w="0" w:type="dxa"/>
              <w:top w:w="0" w:type="dxa"/>
              <w:right w:w="0" w:type="dxa"/>
              <w:bottom w:w="0" w:type="dxa"/>
            </w:tcMar>
            <w:tcW w:w="24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Tây Bắc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1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0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90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0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90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5" w:space="0"/>
              <w:bottom w:val="single" w:color="000000" w:sz="5" w:space="0"/>
              <w:right w:val="single" w:color="000000" w:sz="5" w:space="0"/>
            </w:tcBorders>
            <w:tcMar>
              <w:left w:w="0" w:type="dxa"/>
              <w:top w:w="0" w:type="dxa"/>
              <w:right w:w="0" w:type="dxa"/>
              <w:bottom w:w="0" w:type="dxa"/>
            </w:tcMar>
            <w:tcW w:w="6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0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5" w:space="0"/>
              <w:right w:val="single" w:color="000000" w:sz="5" w:space="0"/>
            </w:tcBorders>
            <w:tcMar>
              <w:left w:w="0" w:type="dxa"/>
              <w:top w:w="0" w:type="dxa"/>
              <w:right w:w="0" w:type="dxa"/>
              <w:bottom w:w="0" w:type="dxa"/>
            </w:tcMar>
            <w:tcW w:w="205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bottom w:val="single" w:color="000000" w:sz="5" w:space="0"/>
              <w:right w:val="single" w:color="000000" w:sz="5" w:space="0"/>
            </w:tcBorders>
            <w:tcMar>
              <w:left w:w="0" w:type="dxa"/>
              <w:top w:w="0" w:type="dxa"/>
              <w:right w:w="0" w:type="dxa"/>
              <w:bottom w:w="0" w:type="dxa"/>
            </w:tcMar>
            <w:tcW w:w="245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5" w:space="0"/>
              <w:right w:val="single" w:color="000000" w:sz="5" w:space="0"/>
            </w:tcBorders>
            <w:tcMar>
              <w:left w:w="0" w:type="dxa"/>
              <w:top w:w="0" w:type="dxa"/>
              <w:right w:w="0" w:type="dxa"/>
              <w:bottom w:w="0" w:type="dxa"/>
            </w:tcMar>
            <w:tcW w:w="24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5" w:space="0"/>
              <w:bottom w:val="single" w:color="000000" w:sz="5" w:space="0"/>
              <w:right w:val="single" w:color="000000" w:sz="5" w:space="0"/>
            </w:tcBorders>
            <w:tcMar>
              <w:left w:w="0" w:type="dxa"/>
              <w:top w:w="0" w:type="dxa"/>
              <w:right w:w="0" w:type="dxa"/>
              <w:bottom w:w="0" w:type="dxa"/>
            </w:tcMar>
            <w:tcW w:w="6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0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205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w:t>
            </w:r>
            <w:r>
              <w:rPr>
                <w:rFonts w:ascii="Times New Roman" w:hAnsi="Times New Roman" w:eastAsia="Times New Roman" w:cs="Times New Roman"/>
                <w:color w:val="000000"/>
                <w:sz w:val="24"/>
              </w:rPr>
              <w:t xml:space="preserve">để</w:t>
            </w:r>
            <w:r>
              <w:rPr>
                <w:rFonts w:ascii="Times New Roman" w:hAnsi="Times New Roman" w:eastAsia="Times New Roman" w:cs="Times New Roman"/>
                <w:color w:val="000000"/>
                <w:sz w:val="24"/>
              </w:rPr>
              <w:t xml:space="preserve"> ở và kinh doanh </w:t>
            </w:r>
            <w:r/>
          </w:p>
        </w:tc>
        <w:tc>
          <w:tcPr>
            <w:tcBorders>
              <w:bottom w:val="single" w:color="000000" w:sz="5" w:space="0"/>
              <w:right w:val="single" w:color="000000" w:sz="5" w:space="0"/>
            </w:tcBorders>
            <w:tcMar>
              <w:left w:w="0" w:type="dxa"/>
              <w:top w:w="0" w:type="dxa"/>
              <w:right w:w="0" w:type="dxa"/>
              <w:bottom w:w="0" w:type="dxa"/>
            </w:tcMar>
            <w:tcW w:w="245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5" w:space="0"/>
              <w:right w:val="single" w:color="000000" w:sz="5" w:space="0"/>
            </w:tcBorders>
            <w:tcMar>
              <w:left w:w="0" w:type="dxa"/>
              <w:top w:w="0" w:type="dxa"/>
              <w:right w:w="0" w:type="dxa"/>
              <w:bottom w:w="0" w:type="dxa"/>
            </w:tcMar>
            <w:tcW w:w="24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1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Tài sản gắn liền với đất</w:t>
            </w:r>
            <w:r/>
          </w:p>
        </w:tc>
      </w:tr>
      <w:tr>
        <w:trPr>
          <w:trHeight w:val="1389"/>
        </w:trPr>
        <w:tc>
          <w:tcPr>
            <w:tcBorders>
              <w:left w:val="single" w:color="000000" w:sz="5" w:space="0"/>
              <w:bottom w:val="single" w:color="000000" w:sz="5" w:space="0"/>
              <w:right w:val="single" w:color="000000" w:sz="5" w:space="0"/>
            </w:tcBorders>
            <w:tcMar>
              <w:left w:w="0" w:type="dxa"/>
              <w:top w:w="0" w:type="dxa"/>
              <w:right w:w="0" w:type="dxa"/>
              <w:bottom w:w="0" w:type="dxa"/>
            </w:tcMar>
            <w:tcW w:w="6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211" w:type="dxa"/>
            <w:vAlign w:val="top"/>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 Tại thời điểm khảo sát dưới sự hướng dẫn của khách hàng, CTXD gắn liền với đất là Nhà liền kề 6 tầng, 1 tum, 1 tầng hầm đang xây thô, hoàn thiện mặt ngoài. Hiện đang hoàn thiện mặt bên trong. Diện tích sử dụng là 1181,3m2.</w:t>
              <w:br/>
              <w:t xml:space="preserve">+ Công trình đã được chứng nhận</w:t>
            </w:r>
            <w:r>
              <w:rPr>
                <w:rFonts w:ascii="Times New Roman" w:hAnsi="Times New Roman" w:eastAsia="Times New Roman" w:cs="Times New Roman"/>
                <w:color w:val="000000"/>
                <w:sz w:val="24"/>
              </w:rPr>
              <w:t xml:space="preserve"> trên GCN số AA 05988989                                                              </w:t>
            </w: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3"/>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3"/>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3"/>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3"/>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3"/>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3"/>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3"/>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3"/>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3"/>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3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3"/>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3"/>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1701"/>
        <w:gridCol w:w="1807"/>
        <w:gridCol w:w="1807"/>
        <w:gridCol w:w="1807"/>
        <w:gridCol w:w="1807"/>
      </w:tblGrid>
      <w:tr>
        <w:trPr>
          <w:trHeight w:val="300"/>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95" w:type="dxa"/>
            <w:vAlign w:val="top"/>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STT</w:t>
            </w:r>
            <w:r>
              <w:rPr>
                <w:rFonts w:ascii="Times New Roman" w:hAnsi="Times New Roman" w:cs="Times New Roman"/>
              </w:rPr>
            </w:r>
            <w:r>
              <w:rPr>
                <w:rFonts w:ascii="Times New Roman" w:hAnsi="Times New Roman" w:cs="Times New Roman"/>
              </w:rPr>
            </w:r>
          </w:p>
        </w:tc>
        <w:tc>
          <w:tcPr>
            <w:tcBorders>
              <w:top w:val="single" w:color="000000" w:sz="5" w:space="0"/>
              <w:bottom w:val="single" w:color="000000" w:sz="5" w:space="0"/>
              <w:right w:val="single" w:color="000000" w:sz="5" w:space="0"/>
            </w:tcBorders>
            <w:tcMar>
              <w:left w:w="0" w:type="dxa"/>
              <w:top w:w="0" w:type="dxa"/>
              <w:right w:w="0" w:type="dxa"/>
              <w:bottom w:w="0" w:type="dxa"/>
            </w:tcMar>
            <w:tcW w:w="1701" w:type="dxa"/>
            <w:vAlign w:val="top"/>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ĐẶC ĐIỂM BĐS</w:t>
            </w:r>
            <w:r>
              <w:rPr>
                <w:rFonts w:ascii="Times New Roman" w:hAnsi="Times New Roman" w:cs="Times New Roman"/>
              </w:rPr>
            </w:r>
            <w:r>
              <w:rPr>
                <w:rFonts w:ascii="Times New Roman" w:hAnsi="Times New Roman" w:cs="Times New Roman"/>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07" w:type="dxa"/>
            <w:vAlign w:val="top"/>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TSTĐ</w:t>
            </w:r>
            <w:r>
              <w:rPr>
                <w:rFonts w:ascii="Times New Roman" w:hAnsi="Times New Roman" w:cs="Times New Roman"/>
              </w:rPr>
            </w:r>
            <w:r>
              <w:rPr>
                <w:rFonts w:ascii="Times New Roman" w:hAnsi="Times New Roman" w:cs="Times New Roman"/>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07" w:type="dxa"/>
            <w:vAlign w:val="top"/>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TSSS1</w:t>
            </w:r>
            <w:r>
              <w:rPr>
                <w:rFonts w:ascii="Times New Roman" w:hAnsi="Times New Roman" w:cs="Times New Roman"/>
              </w:rPr>
            </w:r>
            <w:r>
              <w:rPr>
                <w:rFonts w:ascii="Times New Roman" w:hAnsi="Times New Roman" w:cs="Times New Roman"/>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07" w:type="dxa"/>
            <w:vAlign w:val="top"/>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TSSS2</w:t>
            </w:r>
            <w:r>
              <w:rPr>
                <w:rFonts w:ascii="Times New Roman" w:hAnsi="Times New Roman" w:cs="Times New Roman"/>
              </w:rPr>
            </w:r>
            <w:r>
              <w:rPr>
                <w:rFonts w:ascii="Times New Roman" w:hAnsi="Times New Roman" w:cs="Times New Roman"/>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TSSS3</w:t>
            </w:r>
            <w:r>
              <w:rPr>
                <w:rFonts w:ascii="Times New Roman" w:hAnsi="Times New Roman" w:cs="Times New Roman"/>
              </w:rPr>
            </w:r>
            <w:r>
              <w:rPr>
                <w:rFonts w:ascii="Times New Roman" w:hAnsi="Times New Roman" w:cs="Times New Roman"/>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top"/>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A</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701" w:type="dxa"/>
            <w:vAlign w:val="top"/>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b/>
                <w:color w:val="000000"/>
                <w:sz w:val="22"/>
              </w:rPr>
              <w:t xml:space="preserve">Thông tin về tài sản</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top"/>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top"/>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top"/>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cs="Times New Roman"/>
              </w:rPr>
            </w:r>
            <w:r>
              <w:rPr>
                <w:rFonts w:ascii="Times New Roman" w:hAnsi="Times New Roman" w:cs="Times New Roman"/>
              </w:rPr>
            </w:r>
          </w:p>
        </w:tc>
      </w:tr>
      <w:tr>
        <w:trPr>
          <w:trHeight w:val="875"/>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1</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Địa chỉ</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Phường Kiến Hưng, Thành phố Hà Nội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Phường Kiến Hưng, Thành phố Hà Nội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Phường Kiến Hưng, Thành phố Hà Nội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Phường Kiến Hưng, Thành phố Hà Nội </w:t>
            </w:r>
            <w:r>
              <w:rPr>
                <w:rFonts w:ascii="Times New Roman" w:hAnsi="Times New Roman" w:cs="Times New Roman"/>
              </w:rPr>
            </w:r>
            <w:r>
              <w:rPr>
                <w:rFonts w:ascii="Times New Roman" w:hAnsi="Times New Roman" w:cs="Times New Roman"/>
              </w:rPr>
            </w:r>
          </w:p>
        </w:tc>
      </w:tr>
      <w:tr>
        <w:trPr>
          <w:trHeight w:val="1944"/>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2</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Nguồn tham khảo</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https://batdongsan.com.vn/ban-nha-biet-thu-lien-ke-duong-le-trong-tan-phuong-phu-la-prj-la-casta-van-phu/lk-lacasta-mp-tong-tat-thang-73m2-x-5t-thang-may-2-thoang-via-he-8m-kd-dinh-28-ty-tl-pr45054188</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liên hệ trực tiếp</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https://batdongsan.com.vn/ban-nha-biet-thu-lien-ke-duong-van-la-phuong-phu-la-khu-do-thi-moi-van-phu/gia-tot-nhat-ha-dong-55m-7-tang-thang-may-kinh-doanh-full-noi-that-sin-16-8-ty-pr44672186?gidzl=MXmfHggUg65P0Yn1guUgObm6B4AtXlinGm1xHENKh312Kdz3ieRoOHPNVq_</w:t>
            </w:r>
            <w:r>
              <w:rPr>
                <w:rFonts w:ascii="Times New Roman" w:hAnsi="Times New Roman" w:eastAsia="Times New Roman" w:cs="Times New Roman"/>
                <w:color w:val="000000"/>
                <w:sz w:val="22"/>
              </w:rPr>
              <w:t xml:space="preserve">dtFXk40nrIMB5ihKNhPsfP0</w:t>
            </w:r>
            <w:r>
              <w:rPr>
                <w:rFonts w:ascii="Times New Roman" w:hAnsi="Times New Roman" w:cs="Times New Roman"/>
              </w:rPr>
            </w:r>
            <w:r>
              <w:rPr>
                <w:rFonts w:ascii="Times New Roman" w:hAnsi="Times New Roman" w:cs="Times New Roman"/>
              </w:rPr>
            </w:r>
          </w:p>
        </w:tc>
      </w:tr>
      <w:tr>
        <w:trPr>
          <w:trHeight w:val="720"/>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Thông tin liên lạc</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SDT: 0982880335</w:t>
              <w:br/>
              <w:t xml:space="preserve">(Sale Huy Nguyễn)</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SDT: 0984042591</w:t>
              <w:br/>
              <w:t xml:space="preserve">(Sale Dũng)</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SDT: 0936000259</w:t>
              <w:br/>
              <w:t xml:space="preserve">(Sale Linh)</w:t>
            </w:r>
            <w:r>
              <w:rPr>
                <w:rFonts w:ascii="Times New Roman" w:hAnsi="Times New Roman" w:cs="Times New Roman"/>
              </w:rPr>
            </w:r>
            <w:r>
              <w:rPr>
                <w:rFonts w:ascii="Times New Roman" w:hAnsi="Times New Roman" w:cs="Times New Roman"/>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3</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Tình trạng giao dịch</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Đang giao dịch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Đang giao dịch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Đang giao dịch </w:t>
            </w:r>
            <w:r>
              <w:rPr>
                <w:rFonts w:ascii="Times New Roman" w:hAnsi="Times New Roman" w:cs="Times New Roman"/>
              </w:rPr>
            </w:r>
            <w:r>
              <w:rPr>
                <w:rFonts w:ascii="Times New Roman" w:hAnsi="Times New Roman" w:cs="Times New Roman"/>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4</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Thời điểm thu thập thông tin</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Tháng </w:t>
            </w:r>
            <w:r>
              <w:rPr>
                <w:rFonts w:ascii="Times New Roman" w:hAnsi="Times New Roman" w:eastAsia="Times New Roman" w:cs="Times New Roman"/>
                <w:color w:val="000000"/>
                <w:sz w:val="22"/>
              </w:rPr>
              <w:t xml:space="preserve">5/2026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ind/>
              <w:jc w:val="center"/>
              <w:rPr/>
            </w:pPr>
            <w:r>
              <w:rPr>
                <w:rFonts w:ascii="Times New Roman" w:hAnsi="Times New Roman" w:eastAsia="Times New Roman" w:cs="Times New Roman"/>
                <w:color w:val="000000"/>
                <w:sz w:val="22"/>
              </w:rPr>
              <w:t xml:space="preserve">Tháng </w:t>
            </w:r>
            <w:r>
              <w:rPr>
                <w:rFonts w:ascii="Times New Roman" w:hAnsi="Times New Roman" w:eastAsia="Times New Roman" w:cs="Times New Roman"/>
                <w:color w:val="000000"/>
                <w:sz w:val="22"/>
              </w:rPr>
              <w:t xml:space="preserve">5/2026 </w:t>
            </w:r>
            <w:r>
              <w:rPr>
                <w:rFonts w:ascii="Times New Roman" w:hAnsi="Times New Roman" w:cs="Times New Roman"/>
              </w:rPr>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ind/>
              <w:jc w:val="center"/>
              <w:rPr/>
            </w:pPr>
            <w:r>
              <w:rPr>
                <w:rFonts w:ascii="Times New Roman" w:hAnsi="Times New Roman" w:eastAsia="Times New Roman" w:cs="Times New Roman"/>
                <w:color w:val="000000"/>
                <w:sz w:val="22"/>
              </w:rPr>
              <w:t xml:space="preserve">Tháng </w:t>
            </w:r>
            <w:r>
              <w:rPr>
                <w:rFonts w:ascii="Times New Roman" w:hAnsi="Times New Roman" w:eastAsia="Times New Roman" w:cs="Times New Roman"/>
                <w:color w:val="000000"/>
                <w:sz w:val="22"/>
              </w:rPr>
              <w:t xml:space="preserve">5/2026 </w:t>
            </w:r>
            <w:r>
              <w:rPr>
                <w:rFonts w:ascii="Times New Roman" w:hAnsi="Times New Roman" w:cs="Times New Roman"/>
              </w:rPr>
            </w: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5</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Tính chất giao dịch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Giao dịch bình thường trên thị trường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Giao dịch bình thường trên thị trường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Giao dịch bình thường trên thị trường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Giao dịch bình thường trên thị trường </w:t>
            </w:r>
            <w:r>
              <w:rPr>
                <w:rFonts w:ascii="Times New Roman" w:hAnsi="Times New Roman" w:cs="Times New Roman"/>
              </w:rPr>
            </w:r>
            <w:r>
              <w:rPr>
                <w:rFonts w:ascii="Times New Roman" w:hAnsi="Times New Roman" w:cs="Times New Roman"/>
              </w:rPr>
            </w:r>
          </w:p>
        </w:tc>
      </w:tr>
      <w:tr>
        <w:trPr>
          <w:trHeight w:val="114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6</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Pháp lý</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Có Giấy chứng nhận Quyền sử dụng đất</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Có Giấy chứng nhận Quyền sử dụng đất</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Có Giấy chứng nhận Quyền sử dụng đất</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Có Giấy chứng nhận Quyền sử dụng đất</w:t>
            </w:r>
            <w:r>
              <w:rPr>
                <w:rFonts w:ascii="Times New Roman" w:hAnsi="Times New Roman" w:cs="Times New Roman"/>
              </w:rPr>
            </w:r>
            <w:r>
              <w:rPr>
                <w:rFonts w:ascii="Times New Roman" w:hAnsi="Times New Roman" w:cs="Times New Roman"/>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7</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Mục đích sử dụng</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Đất ở tại đô thị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Đất ở đô thị</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Đất ở đô thị</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Đất ở đô thị</w:t>
            </w:r>
            <w:r>
              <w:rPr>
                <w:rFonts w:ascii="Times New Roman" w:hAnsi="Times New Roman" w:cs="Times New Roman"/>
              </w:rPr>
            </w:r>
            <w:r>
              <w:rPr>
                <w:rFonts w:ascii="Times New Roman" w:hAnsi="Times New Roman" w:cs="Times New Roman"/>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8</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Thời hạn sử dụng đất</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Lâu dài</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Lâu dài</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Lâu dài</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Lâu dài</w:t>
            </w:r>
            <w:r>
              <w:rPr>
                <w:rFonts w:ascii="Times New Roman" w:hAnsi="Times New Roman" w:cs="Times New Roman"/>
              </w:rPr>
            </w:r>
            <w:r>
              <w:rPr>
                <w:rFonts w:ascii="Times New Roman" w:hAnsi="Times New Roman" w:cs="Times New Roman"/>
              </w:rPr>
            </w:r>
          </w:p>
        </w:tc>
      </w:tr>
      <w:tr>
        <w:trPr>
          <w:trHeight w:val="165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9</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Vị trí</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Tài sản tại: Phường Kiến Hưng, Thành phố Hà Nội, Tài sản nằm tiếp giáp mặt đường Văn Khê</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Tài sản tại: Phường Kiến Hưng, Thành phố Hà Nội, Tài sản nằm tiếp giáp mặt đường Tống Tất Thắng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Tài sản tại: Phường Kiến Hưng, Thành phố Hà Nội, Tài sản nằm tiếp giáp mặt đường Văn Khê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Tài sản tại: Phường Kiến Hưng, Thành phố Hà Nội, Tài sản nằm cách chợ Phú La khoảng 50m </w:t>
            </w:r>
            <w:r>
              <w:rPr>
                <w:rFonts w:ascii="Times New Roman" w:hAnsi="Times New Roman" w:cs="Times New Roman"/>
              </w:rPr>
            </w:r>
            <w:r>
              <w:rPr>
                <w:rFonts w:ascii="Times New Roman" w:hAnsi="Times New Roman" w:cs="Times New Roman"/>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10</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Giao thông</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Đường nhựa có vỉa hè</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Đường nhựa có vỉa hè</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Đường nhựa có vỉa hè</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Đường nhựa có vỉa hè</w:t>
            </w:r>
            <w:r>
              <w:rPr>
                <w:rFonts w:ascii="Times New Roman" w:hAnsi="Times New Roman" w:cs="Times New Roman"/>
              </w:rPr>
            </w:r>
            <w:r>
              <w:rPr>
                <w:rFonts w:ascii="Times New Roman" w:hAnsi="Times New Roman" w:cs="Times New Roman"/>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11</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Diện tích đất (m²)</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t xml:space="preserve">215</w:t>
            </w:r>
            <w:r>
              <w:rPr>
                <w:rFonts w:ascii="Times New Roman" w:hAnsi="Times New Roman" w:eastAsia="Times New Roman" w:cs="Times New Roman"/>
                <w:color w:val="000000"/>
                <w:sz w:val="22"/>
              </w:rPr>
              <w:t xml:space="preserve">,7</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72,5</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85</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55</w:t>
            </w:r>
            <w:r>
              <w:rPr>
                <w:rFonts w:ascii="Times New Roman" w:hAnsi="Times New Roman" w:cs="Times New Roman"/>
              </w:rPr>
            </w:r>
            <w:r>
              <w:rPr>
                <w:rFonts w:ascii="Times New Roman" w:hAnsi="Times New Roman" w:cs="Times New Roman"/>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12</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Mặt tiền (m)</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13,15</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5</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5</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5</w:t>
            </w:r>
            <w:r>
              <w:rPr>
                <w:rFonts w:ascii="Times New Roman" w:hAnsi="Times New Roman" w:cs="Times New Roman"/>
              </w:rPr>
            </w:r>
            <w:r>
              <w:rPr>
                <w:rFonts w:ascii="Times New Roman" w:hAnsi="Times New Roman" w:cs="Times New Roman"/>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13</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Số lượng mặt tiếp giáp</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02 mặt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02 mặt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02 mặt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01 mặt </w:t>
            </w:r>
            <w:r>
              <w:rPr>
                <w:rFonts w:ascii="Times New Roman" w:hAnsi="Times New Roman" w:cs="Times New Roman"/>
              </w:rPr>
            </w:r>
            <w:r>
              <w:rPr>
                <w:rFonts w:ascii="Times New Roman" w:hAnsi="Times New Roman" w:cs="Times New Roman"/>
              </w:rPr>
            </w:r>
          </w:p>
        </w:tc>
      </w:tr>
      <w:tr>
        <w:trPr>
          <w:trHeight w:val="68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14</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Hình dáng thửa đất</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Vạt góc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Hình chữ nhật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Hình chữ nhật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Hình chữ nhật </w:t>
            </w:r>
            <w:r>
              <w:rPr>
                <w:rFonts w:ascii="Times New Roman" w:hAnsi="Times New Roman" w:cs="Times New Roman"/>
              </w:rPr>
            </w:r>
            <w:r>
              <w:rPr>
                <w:rFonts w:ascii="Times New Roman" w:hAnsi="Times New Roman" w:cs="Times New Roman"/>
              </w:rPr>
            </w:r>
          </w:p>
        </w:tc>
      </w:tr>
      <w:tr>
        <w:trPr>
          <w:trHeight w:val="540"/>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15</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Lợi thế kinh doanh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Phù hợp để ở và kinh doanh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Phù hợp để ở và kinh doanh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Phù hợp để ở và kinh doanh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Phù hợp để ở và kinh doanh </w:t>
            </w:r>
            <w:r>
              <w:rPr>
                <w:rFonts w:ascii="Times New Roman" w:hAnsi="Times New Roman" w:cs="Times New Roman"/>
              </w:rPr>
            </w:r>
            <w:r>
              <w:rPr>
                <w:rFonts w:ascii="Times New Roman" w:hAnsi="Times New Roman" w:cs="Times New Roman"/>
              </w:rP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16</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Điều kiện cơ sở hạ tầng kỹ thuật</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Hệ thống cấp điện, cấp thoát nước đầy đủ.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Hệ thống cấp điện, cấp thoát nước đầy đủ</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Hệ thống cấp điện, cấp thoát nước đầy đủ</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Hệ thống cấp điện, cấp thoát nước đầy đủ</w:t>
            </w:r>
            <w:r>
              <w:rPr>
                <w:rFonts w:ascii="Times New Roman" w:hAnsi="Times New Roman" w:cs="Times New Roman"/>
              </w:rPr>
            </w:r>
            <w:r>
              <w:rPr>
                <w:rFonts w:ascii="Times New Roman" w:hAnsi="Times New Roman" w:cs="Times New Roman"/>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17</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Điều kiện môi trường an ninh</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Tốt</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Tốt</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Tốt</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Tốt</w:t>
            </w:r>
            <w:r>
              <w:rPr>
                <w:rFonts w:ascii="Times New Roman" w:hAnsi="Times New Roman" w:cs="Times New Roman"/>
              </w:rPr>
            </w:r>
            <w:r>
              <w:rPr>
                <w:rFonts w:ascii="Times New Roman" w:hAnsi="Times New Roman" w:cs="Times New Roman"/>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18</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Tài sản trên đất</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Nhà liền kề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Nhà liền kề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Nhà liền kề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Nhà liền kề  </w:t>
            </w:r>
            <w:r>
              <w:rPr>
                <w:rFonts w:ascii="Times New Roman" w:hAnsi="Times New Roman" w:cs="Times New Roman"/>
              </w:rPr>
            </w:r>
            <w:r>
              <w:rPr>
                <w:rFonts w:ascii="Times New Roman" w:hAnsi="Times New Roman" w:cs="Times New Roman"/>
              </w:rPr>
            </w:r>
          </w:p>
        </w:tc>
      </w:tr>
      <w:tr>
        <w:trPr>
          <w:trHeight w:val="33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Số tầng</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5</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5</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7</w:t>
            </w:r>
            <w:r>
              <w:rPr>
                <w:rFonts w:ascii="Times New Roman" w:hAnsi="Times New Roman" w:cs="Times New Roman"/>
              </w:rPr>
            </w:r>
            <w:r>
              <w:rPr>
                <w:rFonts w:ascii="Times New Roman" w:hAnsi="Times New Roman" w:cs="Times New Roman"/>
              </w:rPr>
            </w:r>
          </w:p>
        </w:tc>
      </w:tr>
      <w:tr>
        <w:trPr>
          <w:trHeight w:val="63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Diện tích sàn sử dụng (m²)</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300</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300</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385</w:t>
            </w:r>
            <w:r>
              <w:rPr>
                <w:rFonts w:ascii="Times New Roman" w:hAnsi="Times New Roman" w:cs="Times New Roman"/>
              </w:rPr>
            </w:r>
            <w:r>
              <w:rPr>
                <w:rFonts w:ascii="Times New Roman" w:hAnsi="Times New Roman" w:cs="Times New Roman"/>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19</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Giá rao (đồng)</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28.000.000.000</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32.000.000.000</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22.500.000.000</w:t>
            </w:r>
            <w:r>
              <w:rPr>
                <w:rFonts w:ascii="Times New Roman" w:hAnsi="Times New Roman" w:cs="Times New Roman"/>
              </w:rPr>
            </w:r>
            <w:r>
              <w:rPr>
                <w:rFonts w:ascii="Times New Roman" w:hAnsi="Times New Roman" w:cs="Times New Roman"/>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20</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Giá thương lượng/bán (đồng)</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25.200.000.000</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28.800.000.000</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20.250.000.000</w:t>
            </w:r>
            <w:r>
              <w:rPr>
                <w:rFonts w:ascii="Times New Roman" w:hAnsi="Times New Roman" w:cs="Times New Roman"/>
              </w:rPr>
            </w:r>
            <w:r>
              <w:rPr>
                <w:rFonts w:ascii="Times New Roman" w:hAnsi="Times New Roman" w:cs="Times New Roman"/>
              </w:rP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B</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b/>
                <w:color w:val="000000"/>
                <w:sz w:val="22"/>
              </w:rPr>
              <w:t xml:space="preserve">Chi tiết tính toán</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1</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b/>
                <w:color w:val="000000"/>
                <w:sz w:val="22"/>
              </w:rPr>
              <w:t xml:space="preserve">Giá trị tài sản trên đất (đồng)</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1.739.372.544</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1.761.672.192</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2.740.601.987</w:t>
            </w:r>
            <w:r>
              <w:rPr>
                <w:rFonts w:ascii="Times New Roman" w:hAnsi="Times New Roman" w:cs="Times New Roman"/>
              </w:rPr>
            </w:r>
            <w:r>
              <w:rPr>
                <w:rFonts w:ascii="Times New Roman" w:hAnsi="Times New Roman" w:cs="Times New Roman"/>
              </w:rPr>
            </w:r>
          </w:p>
        </w:tc>
      </w:tr>
      <w:tr>
        <w:trPr>
          <w:trHeight w:val="720"/>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Đơn giá xây dựng theo Quyết định số 425/QĐ-BXD ngày 30/3/2026 của Bộ Xây Dựng (đồng/m²)</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7.433.216</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7.433.216</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8.089.144</w:t>
            </w:r>
            <w:r>
              <w:rPr>
                <w:rFonts w:ascii="Times New Roman" w:hAnsi="Times New Roman" w:cs="Times New Roman"/>
              </w:rPr>
            </w:r>
            <w:r>
              <w:rPr>
                <w:rFonts w:ascii="Times New Roman" w:hAnsi="Times New Roman" w:cs="Times New Roman"/>
              </w:rPr>
            </w:r>
          </w:p>
        </w:tc>
      </w:tr>
      <w:tr>
        <w:trPr>
          <w:trHeight w:val="480"/>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 Tỷ lệ % CLCL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78%</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79%</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88%</w:t>
            </w:r>
            <w:r>
              <w:rPr>
                <w:rFonts w:ascii="Times New Roman" w:hAnsi="Times New Roman" w:cs="Times New Roman"/>
              </w:rPr>
            </w:r>
            <w:r>
              <w:rPr>
                <w:rFonts w:ascii="Times New Roman" w:hAnsi="Times New Roman" w:cs="Times New Roman"/>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2</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b/>
                <w:color w:val="000000"/>
                <w:sz w:val="22"/>
              </w:rPr>
              <w:t xml:space="preserve">Giá trị đất (đồng)</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23.460.627.456</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27.038.327.808</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17.509.398.013</w:t>
            </w:r>
            <w:r>
              <w:rPr>
                <w:rFonts w:ascii="Times New Roman" w:hAnsi="Times New Roman" w:cs="Times New Roman"/>
              </w:rPr>
            </w:r>
            <w:r>
              <w:rPr>
                <w:rFonts w:ascii="Times New Roman" w:hAnsi="Times New Roman" w:cs="Times New Roman"/>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3</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b/>
                <w:color w:val="000000"/>
                <w:sz w:val="22"/>
              </w:rPr>
              <w:t xml:space="preserve">Đơn giá QSDĐ (đồng/m²)</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323.594.861</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318.097.974</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318.352.691</w:t>
            </w:r>
            <w:r>
              <w:rPr>
                <w:rFonts w:ascii="Times New Roman" w:hAnsi="Times New Roman" w:cs="Times New Roman"/>
              </w:rPr>
            </w:r>
            <w:r>
              <w:rPr>
                <w:rFonts w:ascii="Times New Roman" w:hAnsi="Times New Roman" w:cs="Times New Roman"/>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C</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b/>
                <w:color w:val="000000"/>
                <w:sz w:val="22"/>
              </w:rPr>
              <w:t xml:space="preserve">NHẬN XÉT</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1</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Pháp lý</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2</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Vị trí</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3</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Giao thông</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4</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Diện tích đất (m²)</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Lợi thế hơn</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Lợi thế hơn</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Lợi thế hơn</w:t>
            </w:r>
            <w:r>
              <w:rPr>
                <w:rFonts w:ascii="Times New Roman" w:hAnsi="Times New Roman" w:cs="Times New Roman"/>
              </w:rPr>
            </w:r>
            <w:r>
              <w:rPr>
                <w:rFonts w:ascii="Times New Roman" w:hAnsi="Times New Roman" w:cs="Times New Roman"/>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5</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Mặt tiền (m)</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Kém lợi thế hơn</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Kém lợi thế hơn</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Kém lợi thế hơn</w:t>
            </w:r>
            <w:r>
              <w:rPr>
                <w:rFonts w:ascii="Times New Roman" w:hAnsi="Times New Roman" w:cs="Times New Roman"/>
              </w:rPr>
            </w:r>
            <w:r>
              <w:rPr>
                <w:rFonts w:ascii="Times New Roman" w:hAnsi="Times New Roman" w:cs="Times New Roman"/>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6</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Số lượng mặt tiếp giáp</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Kém lợi thế hơn</w:t>
            </w:r>
            <w:r>
              <w:rPr>
                <w:rFonts w:ascii="Times New Roman" w:hAnsi="Times New Roman" w:cs="Times New Roman"/>
              </w:rPr>
            </w:r>
            <w:r>
              <w:rPr>
                <w:rFonts w:ascii="Times New Roman" w:hAnsi="Times New Roman" w:cs="Times New Roman"/>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7</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Hình dáng thửa đất</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Lợi thế hơn</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Lợi thế hơn</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Lợi thế hơn</w:t>
            </w:r>
            <w:r>
              <w:rPr>
                <w:rFonts w:ascii="Times New Roman" w:hAnsi="Times New Roman" w:cs="Times New Roman"/>
              </w:rPr>
            </w:r>
            <w:r>
              <w:rPr>
                <w:rFonts w:ascii="Times New Roman" w:hAnsi="Times New Roman" w:cs="Times New Roman"/>
              </w:rPr>
            </w:r>
          </w:p>
        </w:tc>
      </w:tr>
      <w:tr>
        <w:trPr>
          <w:trHeight w:val="43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8</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Lợi thế kinh doanh</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9</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Điều kiện cơ sở hạ tầng kỹ thuật</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878"/>
        <w:gridCol w:w="1843"/>
        <w:gridCol w:w="1276"/>
        <w:gridCol w:w="1619"/>
        <w:gridCol w:w="1619"/>
        <w:gridCol w:w="1619"/>
        <w:gridCol w:w="1619"/>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TSSS1</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TSSS2</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TSSS3</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23.460.627.456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27.038.327.808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17.509.398.013</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323.594.861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318.097.974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318.352.691</w:t>
            </w:r>
            <w:r>
              <w:rPr>
                <w:color w:val="000000" w:themeColor="text1"/>
              </w:rPr>
            </w:r>
            <w:r>
              <w:rPr>
                <w:color w:val="000000" w:themeColor="text1"/>
              </w:rP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878"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323.594.861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318.097.974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318.352.691 </w:t>
            </w:r>
            <w:r>
              <w:rPr>
                <w:color w:val="000000" w:themeColor="text1"/>
              </w:rPr>
            </w:r>
            <w:r>
              <w:rPr>
                <w:color w:val="000000" w:themeColor="text1"/>
              </w:rPr>
            </w:r>
          </w:p>
        </w:tc>
      </w:tr>
      <w:tr>
        <w:trPr>
          <w:trHeight w:val="187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878"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Phường Kiến Hưng, Thành phố Hà Nội, Tài sản nằm tiếp giáp mặt đường Văn Khê</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Phường Kiến Hưng, Thành phố Hà Nội, Tài sản nằm tiếp giáp mặt đường Tống Tất Thắng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Phường Kiến Hưng, Thành phố Hà Nội, Tài sản nằm tiếp giáp mặt đường Văn Khê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Phường Kiến Hưng, Thành phố Hà Nội, Tài sản nằm cách chợ Phú La khoảng 50m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323.594.861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318.097.974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318.352.691 </w:t>
            </w:r>
            <w:r>
              <w:rPr>
                <w:color w:val="000000" w:themeColor="text1"/>
              </w:rPr>
            </w:r>
            <w:r>
              <w:rPr>
                <w:color w:val="000000" w:themeColor="text1"/>
              </w:rPr>
            </w:r>
          </w:p>
        </w:tc>
      </w:tr>
      <w:tr>
        <w:trPr>
          <w:trHeight w:val="80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878"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có vỉa hè</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có vỉa hè</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có vỉa hè</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có vỉa hè</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323.594.861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318.097.974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318.352.691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878"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Diện tích đất (m²)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r>
            <w:r>
              <w:rPr>
                <w:rFonts w:ascii="Times New Roman" w:hAnsi="Times New Roman" w:eastAsia="Times New Roman" w:cs="Times New Roman"/>
                <w:b/>
                <w:color w:val="000000" w:themeColor="text1"/>
                <w:sz w:val="22"/>
              </w:rPr>
              <w:t xml:space="preserve">215</w:t>
            </w:r>
            <w:r>
              <w:rPr>
                <w:rFonts w:ascii="Times New Roman" w:hAnsi="Times New Roman" w:eastAsia="Times New Roman" w:cs="Times New Roman"/>
                <w:b/>
                <w:color w:val="000000" w:themeColor="text1"/>
                <w:sz w:val="22"/>
              </w:rPr>
              <w:t xml:space="preserve">,7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72,5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85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55</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-32.359.486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-31.809.797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-47.752.904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291.235.375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286.288.177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270.599.787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878"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13.15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48.539.229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47.714.696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47.752.904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339.774.605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334.002.873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318.352.691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878"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02 mặt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02 mặt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02 mặt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01 mặt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15.917.635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339.774.605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334.002.873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334.270.326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878"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Vạt góc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-16.179.743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-15.904.899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-15.917.635 </w:t>
            </w:r>
            <w:r>
              <w:rPr>
                <w:color w:val="000000" w:themeColor="text1"/>
              </w:rPr>
            </w:r>
            <w:r>
              <w:rPr>
                <w:color w:val="000000" w:themeColor="text1"/>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323.594.861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318.097.974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318.352.691 </w:t>
            </w:r>
            <w:r>
              <w:rPr>
                <w:color w:val="000000" w:themeColor="text1"/>
              </w:rPr>
            </w:r>
            <w:r>
              <w:rPr>
                <w:color w:val="000000" w:themeColor="text1"/>
              </w:rPr>
            </w:r>
          </w:p>
        </w:tc>
      </w:tr>
      <w:tr>
        <w:trPr>
          <w:trHeight w:val="5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878"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Lợi thế kinh doanh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và kinh doanh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và kinh doanh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và kinh doanh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và kinh doanh </w:t>
            </w:r>
            <w:r>
              <w:rPr>
                <w:color w:val="000000" w:themeColor="text1"/>
              </w:rPr>
            </w:r>
            <w:r>
              <w:rPr>
                <w:color w:val="000000" w:themeColor="text1"/>
              </w:rPr>
            </w:r>
          </w:p>
        </w:tc>
      </w:tr>
      <w:tr>
        <w:trPr>
          <w:trHeight w:val="48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492"/>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612"/>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323.594.861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318.097.974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318.352.691 </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878"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kiện cơ sở hạ tầng kỹ thuật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323.594.861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318.097.974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318.352.691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87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323.594.861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318.097.974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318.352.691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87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gridSpan w:val="4"/>
            <w:shd w:val="clear" w:color="ffffff" w:fill="ffffff"/>
            <w:tcBorders>
              <w:bottom w:val="single" w:color="000000" w:sz="5" w:space="0"/>
              <w:right w:val="single" w:color="000000" w:sz="5" w:space="0"/>
            </w:tcBorders>
            <w:tcMar>
              <w:left w:w="0" w:type="dxa"/>
              <w:top w:w="0" w:type="dxa"/>
              <w:right w:w="0" w:type="dxa"/>
              <w:bottom w:w="0" w:type="dxa"/>
            </w:tcMar>
            <w:tcW w:w="647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320.015.176 </w:t>
            </w:r>
            <w:r>
              <w:rPr>
                <w:color w:val="000000" w:themeColor="text1"/>
              </w:rPr>
            </w:r>
            <w:r>
              <w:rPr>
                <w:color w:val="000000" w:themeColor="text1"/>
              </w:rP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87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-0,5%</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87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87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97.078.458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95.429.392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127.341.076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87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87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- 15%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- 15%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- 15%</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87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0,5</w:t>
      </w:r>
      <w:r>
        <w:t xml:space="preserve">% đến</w:t>
      </w:r>
      <w:r>
        <w:t xml:space="preserve"> </w:t>
      </w:r>
      <w:r>
        <w:t xml:space="preserve"> </w:t>
      </w:r>
      <w:r>
        <w:t xml:space="preserve">1,1</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323.594.861</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107.864.954</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318.097.974</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106.032.658</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318.352.691</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106.117.564</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320.015.176</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320.000.000</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320.000.000</w:t>
      </w:r>
      <w:r>
        <w:rPr>
          <w:b/>
          <w:bCs/>
          <w:color w:val="000000" w:themeColor="text1"/>
        </w:rPr>
        <w:t xml:space="preserve"> </w:t>
      </w:r>
      <w:r>
        <w:rPr>
          <w:b/>
          <w:bCs/>
        </w:rPr>
        <w:t xml:space="preserve">đồng/m².</w:t>
      </w:r>
      <w:r>
        <w:rPr>
          <w:b/>
          <w:bCs/>
        </w:rPr>
      </w:r>
      <w:r>
        <w:rPr>
          <w:b/>
          <w:bCs/>
        </w:rPr>
      </w:r>
    </w:p>
    <w:p>
      <w:pPr>
        <w:pStyle w:val="1033"/>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    Xác định đơn giá xây mới của công trình xây dựng trên đất: ( Nhà liền kề 6 tầng 1 tum, 1 tầng hầm)</w:t>
      </w:r>
      <w:r/>
    </w:p>
    <w:p>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284" w:left="0"/>
        <w:jc w:val="both"/>
        <w:rPr/>
      </w:pPr>
      <w:r>
        <w:rPr>
          <w:rFonts w:ascii="Times New Roman" w:hAnsi="Times New Roman" w:eastAsia="Times New Roman" w:cs="Times New Roman"/>
          <w:color w:val="000000"/>
          <w:sz w:val="24"/>
        </w:rPr>
        <w:t xml:space="preserve">Qua </w:t>
      </w:r>
      <w:r>
        <w:rPr>
          <w:rFonts w:ascii="Times New Roman" w:hAnsi="Times New Roman" w:eastAsia="Times New Roman" w:cs="Times New Roman"/>
          <w:color w:val="000000"/>
          <w:sz w:val="24"/>
        </w:rPr>
        <w:t xml:space="preserve">tham khảo thị trường về đơn giá xây dựng mới đối với công trình Nhà liền kề 6 tầng, cân nhắc và xem xét với mức độ hoàn thiện của công trình xây dựng hiện có, Tổ thẩm định nhận thấy đơn giá vận dụng theo Quyết định số 425/QĐ-BXD ngày 30/3/2026 của Bộ Xây d</w:t>
      </w:r>
      <w:r>
        <w:rPr>
          <w:rFonts w:ascii="Times New Roman" w:hAnsi="Times New Roman" w:eastAsia="Times New Roman" w:cs="Times New Roman"/>
          <w:color w:val="000000"/>
          <w:sz w:val="24"/>
        </w:rPr>
        <w:t xml:space="preserve">ựng về việc Công bố suất vốn đầu tư xây dựng công trình và giá xây dựng tổng hợp bộ phận kết cấu công trình năm 2025 là khá phù hợp với thị trường, theo đó</w:t>
      </w:r>
      <w:r>
        <w:rPr>
          <w:rFonts w:ascii="Times New Roman" w:hAnsi="Times New Roman" w:eastAsia="Times New Roman" w:cs="Times New Roman"/>
          <w:color w:val="000000"/>
          <w:spacing w:val="-4"/>
          <w:sz w:val="24"/>
        </w:rPr>
        <w:t xml:space="preserve">:</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rFonts w:ascii="Times New Roman" w:hAnsi="Times New Roman" w:eastAsia="Times New Roman" w:cs="Times New Roman"/>
          <w:sz w:val="24"/>
        </w:rPr>
      </w:pPr>
      <w:r>
        <w:rPr>
          <w:rFonts w:ascii="Times New Roman" w:hAnsi="Times New Roman" w:eastAsia="Times New Roman" w:cs="Times New Roman"/>
          <w:i/>
          <w:color w:val="000000"/>
          <w:spacing w:val="3"/>
          <w:sz w:val="24"/>
          <w:highlight w:val="white"/>
        </w:rPr>
        <w:t xml:space="preserve">“Suất vốn đầu tư xây dựng</w:t>
      </w:r>
      <w:r>
        <w:rPr>
          <w:rFonts w:ascii="Times New Roman" w:hAnsi="Times New Roman" w:eastAsia="Times New Roman" w:cs="Times New Roman"/>
          <w:i/>
          <w:color w:val="000000"/>
          <w:spacing w:val="3"/>
          <w:sz w:val="24"/>
          <w:highlight w:val="none"/>
        </w:rPr>
        <w:t xml:space="preserve"> </w:t>
      </w:r>
      <w:r>
        <w:rPr>
          <w:rFonts w:ascii="Times New Roman" w:hAnsi="Times New Roman" w:eastAsia="Times New Roman" w:cs="Times New Roman"/>
          <w:i/>
          <w:color w:val="000000"/>
          <w:spacing w:val="3"/>
          <w:sz w:val="24"/>
        </w:rPr>
        <w:t xml:space="preserve">Nhà từ 4 đến 5 tầng, kết cấu khung chịu lực BTCT; tường bao xây gạch; sàn, mái BTCT đổ tại chỗ,</w:t>
      </w:r>
      <w:r>
        <w:rPr>
          <w:rFonts w:ascii="Times New Roman" w:hAnsi="Times New Roman" w:eastAsia="Times New Roman" w:cs="Times New Roman"/>
          <w:i/>
          <w:color w:val="000000"/>
          <w:spacing w:val="3"/>
          <w:sz w:val="24"/>
          <w:highlight w:val="none"/>
        </w:rPr>
        <w:t xml:space="preserve"> có 1 tầng hầm, diện tích xây dựng từ 180m2 trở lên</w:t>
      </w:r>
      <w:r>
        <w:rPr>
          <w:rFonts w:ascii="Times New Roman" w:hAnsi="Times New Roman" w:eastAsia="Times New Roman" w:cs="Times New Roman"/>
          <w:i/>
          <w:color w:val="000000"/>
          <w:spacing w:val="3"/>
          <w:sz w:val="24"/>
          <w:highlight w:val="white"/>
        </w:rPr>
        <w:t xml:space="preserve">, có đơn giá đã bao gồm VAT là:</w:t>
      </w:r>
      <w:r>
        <w:rPr>
          <w:rFonts w:ascii="Times New Roman" w:hAnsi="Times New Roman" w:eastAsia="Times New Roman" w:cs="Times New Roman"/>
          <w:b/>
          <w:bCs/>
          <w:i/>
          <w:color w:val="000000"/>
          <w:spacing w:val="3"/>
          <w:sz w:val="24"/>
          <w:highlight w:val="white"/>
        </w:rPr>
        <w:t xml:space="preserve">8.403.0</w:t>
      </w:r>
      <w:r>
        <w:rPr>
          <w:rFonts w:ascii="Times New Roman" w:hAnsi="Times New Roman" w:eastAsia="Times New Roman" w:cs="Times New Roman"/>
          <w:b/>
          <w:bCs/>
          <w:i/>
          <w:color w:val="000000"/>
          <w:spacing w:val="3"/>
          <w:sz w:val="24"/>
          <w:highlight w:val="white"/>
        </w:rPr>
        <w:t xml:space="preserve">0</w:t>
      </w:r>
      <w:r>
        <w:rPr>
          <w:rFonts w:ascii="Times New Roman" w:hAnsi="Times New Roman" w:eastAsia="Times New Roman" w:cs="Times New Roman"/>
          <w:b/>
          <w:bCs/>
          <w:i/>
          <w:color w:val="000000"/>
          <w:spacing w:val="3"/>
          <w:sz w:val="24"/>
          <w:highlight w:val="white"/>
        </w:rPr>
        <w:t xml:space="preserve">0</w:t>
      </w:r>
      <w:r>
        <w:rPr>
          <w:rFonts w:ascii="Times New Roman" w:hAnsi="Times New Roman" w:eastAsia="Times New Roman" w:cs="Times New Roman"/>
          <w:b/>
          <w:i/>
          <w:color w:val="000000"/>
          <w:sz w:val="24"/>
          <w:highlight w:val="white"/>
        </w:rPr>
        <w:t xml:space="preserve"> </w:t>
      </w:r>
      <w:r>
        <w:rPr>
          <w:rFonts w:ascii="Times New Roman" w:hAnsi="Times New Roman" w:eastAsia="Times New Roman" w:cs="Times New Roman"/>
          <w:i/>
          <w:color w:val="000000"/>
          <w:spacing w:val="3"/>
          <w:sz w:val="24"/>
          <w:highlight w:val="white"/>
        </w:rPr>
        <w:t xml:space="preserve">đồng/m².</w:t>
      </w:r>
      <w:r>
        <w:rPr>
          <w:rFonts w:ascii="Times New Roman" w:hAnsi="Times New Roman" w:eastAsia="Times New Roman" w:cs="Times New Roman"/>
          <w:sz w:val="24"/>
        </w:rP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284" w:left="0"/>
        <w:jc w:val="both"/>
        <w:rPr/>
      </w:pPr>
      <w:r>
        <w:rPr>
          <w:rFonts w:ascii="Times New Roman" w:hAnsi="Times New Roman" w:eastAsia="Times New Roman" w:cs="Times New Roman"/>
          <w:i/>
          <w:color w:val="000000"/>
          <w:sz w:val="24"/>
          <w:highlight w:val="white"/>
        </w:rPr>
        <w:t xml:space="preserve">Hệ số điều chỉnh vùng cho Suất vốn đầu tư: Tỉnh Vĩnh Phúc thuộc vùng 2 có hệ số điều chỉnh là 0,952.”</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i/>
          <w:color w:val="000000"/>
          <w:spacing w:val="3"/>
          <w:sz w:val="24"/>
          <w:highlight w:val="white"/>
        </w:rPr>
        <w:t xml:space="preserve">Do đó, Tổ thẩm định xác định đơn giá xây mới của công trình xây dựng là: (Suất vốn đầu tư) x (Hệ số vùng) =</w:t>
      </w:r>
      <w:r>
        <w:rPr>
          <w:rFonts w:ascii="Times New Roman" w:hAnsi="Times New Roman" w:eastAsia="Times New Roman" w:cs="Times New Roman"/>
          <w:b/>
          <w:bCs/>
          <w:i/>
          <w:color w:val="000000"/>
          <w:spacing w:val="3"/>
          <w:sz w:val="24"/>
          <w:highlight w:val="none"/>
        </w:rPr>
        <w:t xml:space="preserve">8.403.000</w:t>
      </w:r>
      <w:r>
        <w:rPr>
          <w:rFonts w:ascii="Times New Roman" w:hAnsi="Times New Roman" w:eastAsia="Times New Roman" w:cs="Times New Roman"/>
          <w:b/>
          <w:i/>
          <w:color w:val="000000"/>
          <w:sz w:val="24"/>
        </w:rPr>
        <w:t xml:space="preserve"> </w:t>
      </w:r>
      <w:r>
        <w:rPr>
          <w:rFonts w:ascii="Times New Roman" w:hAnsi="Times New Roman" w:eastAsia="Times New Roman" w:cs="Times New Roman"/>
          <w:b/>
          <w:i/>
          <w:color w:val="000000"/>
          <w:spacing w:val="3"/>
          <w:sz w:val="24"/>
          <w:highlight w:val="white"/>
        </w:rPr>
        <w:t xml:space="preserve">x0,952 </w:t>
      </w:r>
      <w:r>
        <w:rPr>
          <w:rFonts w:ascii="Times New Roman" w:hAnsi="Times New Roman" w:eastAsia="Times New Roman" w:cs="Times New Roman"/>
          <w:i/>
          <w:color w:val="000000"/>
          <w:spacing w:val="3"/>
          <w:sz w:val="24"/>
          <w:highlight w:val="white"/>
        </w:rPr>
        <w:t xml:space="preserve">=</w:t>
      </w:r>
      <w:r>
        <w:rPr>
          <w:rFonts w:ascii="Times New Roman" w:hAnsi="Times New Roman" w:eastAsia="Times New Roman" w:cs="Times New Roman"/>
          <w:b/>
          <w:i/>
          <w:color w:val="000000"/>
          <w:spacing w:val="3"/>
          <w:sz w:val="24"/>
          <w:highlight w:val="white"/>
        </w:rPr>
        <w:t xml:space="preserve"> 7.999.656 đồng/m².</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rFonts w:ascii="Times New Roman" w:hAnsi="Times New Roman" w:eastAsia="Times New Roman" w:cs="Times New Roman"/>
          <w:b w:val="0"/>
          <w:bCs w:val="0"/>
          <w:i/>
          <w:color w:val="000000"/>
          <w:spacing w:val="3"/>
          <w:sz w:val="24"/>
          <w:szCs w:val="24"/>
          <w:highlight w:val="white"/>
        </w:rPr>
      </w:pPr>
      <w:r>
        <w:rPr>
          <w:rFonts w:ascii="Times New Roman" w:hAnsi="Times New Roman" w:eastAsia="Times New Roman" w:cs="Times New Roman"/>
          <w:b w:val="0"/>
          <w:bCs w:val="0"/>
          <w:i/>
          <w:color w:val="000000"/>
          <w:spacing w:val="3"/>
          <w:sz w:val="24"/>
          <w:highlight w:val="white"/>
        </w:rPr>
        <w:t xml:space="preserve">Tại thời điểm thẩm định, công trình xây dựng đã xây thô xong, hoàn thiện mặt ngoài. Mặt bên trong đang được xây dựng, hoàn thiện công trình. Tổ thẩm định ước lượng tỷ lệ hoản thiện là 70%. </w:t>
      </w:r>
      <w:r>
        <w:rPr>
          <w:rFonts w:ascii="Times New Roman" w:hAnsi="Times New Roman" w:eastAsia="Times New Roman" w:cs="Times New Roman"/>
          <w:b w:val="0"/>
          <w:bCs w:val="0"/>
          <w:i/>
          <w:color w:val="000000"/>
          <w:spacing w:val="3"/>
          <w:sz w:val="24"/>
          <w:highlight w:val="white"/>
        </w:rPr>
        <w:t xml:space="preserve">Tỷ lệ hao mòn là 0%</w:t>
      </w:r>
      <w:r>
        <w:rPr>
          <w:rFonts w:ascii="Times New Roman" w:hAnsi="Times New Roman" w:eastAsia="Times New Roman" w:cs="Times New Roman"/>
          <w:b w:val="0"/>
          <w:bCs w:val="0"/>
          <w:i/>
          <w:color w:val="000000"/>
          <w:spacing w:val="3"/>
          <w:sz w:val="24"/>
          <w:szCs w:val="24"/>
          <w:highlight w:val="white"/>
        </w:rPr>
        <w:t xml:space="preserve">. Chất lượng còn lại là 100%</w:t>
      </w:r>
      <w:r>
        <w:rPr>
          <w:rFonts w:ascii="Times New Roman" w:hAnsi="Times New Roman" w:eastAsia="Times New Roman" w:cs="Times New Roman"/>
          <w:b w:val="0"/>
          <w:bCs w:val="0"/>
          <w:i/>
          <w:color w:val="000000"/>
          <w:spacing w:val="3"/>
          <w:sz w:val="24"/>
          <w:szCs w:val="24"/>
          <w:highlight w:val="white"/>
        </w:rPr>
      </w:r>
      <w:r>
        <w:rPr>
          <w:rFonts w:ascii="Times New Roman" w:hAnsi="Times New Roman" w:eastAsia="Times New Roman" w:cs="Times New Roman"/>
          <w:b w:val="0"/>
          <w:bCs w:val="0"/>
          <w:i/>
          <w:color w:val="000000"/>
          <w:spacing w:val="3"/>
          <w:sz w:val="24"/>
          <w:szCs w:val="24"/>
          <w:highlight w:val="white"/>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rFonts w:ascii="Times New Roman" w:hAnsi="Times New Roman" w:eastAsia="Times New Roman" w:cs="Times New Roman"/>
          <w:b w:val="0"/>
          <w:bCs w:val="0"/>
          <w:i/>
          <w:color w:val="000000"/>
          <w:spacing w:val="3"/>
          <w:sz w:val="24"/>
          <w:szCs w:val="24"/>
          <w:highlight w:val="none"/>
        </w:rPr>
      </w:pPr>
      <w:r>
        <w:rPr>
          <w:rFonts w:ascii="Times New Roman" w:hAnsi="Times New Roman" w:eastAsia="Times New Roman" w:cs="Times New Roman"/>
          <w:b w:val="0"/>
          <w:bCs w:val="0"/>
          <w:i/>
          <w:color w:val="000000"/>
          <w:spacing w:val="3"/>
          <w:sz w:val="24"/>
          <w:highlight w:val="none"/>
        </w:rPr>
        <w:t xml:space="preserve">Do đó , tổ thẩm định xác định đơn giá xây dựng mới của công trình là:</w:t>
      </w:r>
      <w:r>
        <w:rPr>
          <w:rFonts w:ascii="Times New Roman" w:hAnsi="Times New Roman" w:eastAsia="Times New Roman" w:cs="Times New Roman"/>
          <w:b w:val="0"/>
          <w:bCs w:val="0"/>
          <w:i/>
          <w:color w:val="000000"/>
          <w:spacing w:val="3"/>
          <w:sz w:val="24"/>
          <w:szCs w:val="24"/>
          <w:highlight w:val="none"/>
        </w:rPr>
      </w:r>
      <w:r>
        <w:rPr>
          <w:rFonts w:ascii="Times New Roman" w:hAnsi="Times New Roman" w:eastAsia="Times New Roman" w:cs="Times New Roman"/>
          <w:b w:val="0"/>
          <w:bCs w:val="0"/>
          <w:i/>
          <w:color w:val="000000"/>
          <w:spacing w:val="3"/>
          <w:sz w:val="24"/>
          <w:szCs w:val="24"/>
          <w:highlight w:val="none"/>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rFonts w:ascii="Times New Roman" w:hAnsi="Times New Roman" w:eastAsia="Times New Roman" w:cs="Times New Roman"/>
          <w:b w:val="0"/>
          <w:bCs w:val="0"/>
          <w:i/>
          <w:color w:val="000000"/>
          <w:spacing w:val="3"/>
          <w:sz w:val="24"/>
          <w:szCs w:val="24"/>
          <w:highlight w:val="none"/>
        </w:rPr>
      </w:pPr>
      <w:r>
        <w:rPr>
          <w:rFonts w:ascii="Times New Roman" w:hAnsi="Times New Roman" w:eastAsia="Times New Roman" w:cs="Times New Roman"/>
          <w:b w:val="0"/>
          <w:bCs w:val="0"/>
          <w:i/>
          <w:color w:val="000000"/>
          <w:spacing w:val="3"/>
          <w:sz w:val="24"/>
          <w:highlight w:val="none"/>
        </w:rPr>
        <w:t xml:space="preserve"> 7.999.656 x70%= 5.599.759 đồng/m2</w:t>
      </w:r>
      <w:r>
        <w:rPr>
          <w:rFonts w:ascii="Times New Roman" w:hAnsi="Times New Roman" w:eastAsia="Times New Roman" w:cs="Times New Roman"/>
          <w:b w:val="0"/>
          <w:bCs w:val="0"/>
          <w:i/>
          <w:color w:val="000000"/>
          <w:spacing w:val="3"/>
          <w:sz w:val="24"/>
          <w:szCs w:val="24"/>
          <w:highlight w:val="none"/>
        </w:rPr>
      </w:r>
      <w:r>
        <w:rPr>
          <w:rFonts w:ascii="Times New Roman" w:hAnsi="Times New Roman" w:eastAsia="Times New Roman" w:cs="Times New Roman"/>
          <w:b w:val="0"/>
          <w:bCs w:val="0"/>
          <w:i/>
          <w:color w:val="000000"/>
          <w:spacing w:val="3"/>
          <w:sz w:val="24"/>
          <w:szCs w:val="24"/>
          <w:highlight w:val="none"/>
        </w:rPr>
      </w:r>
    </w:p>
    <w:p>
      <w:pPr>
        <w:pBdr>
          <w:top w:val="none" w:color="000000" w:sz="4" w:space="0"/>
          <w:left w:val="none" w:color="000000" w:sz="4" w:space="0"/>
          <w:bottom w:val="none" w:color="000000" w:sz="4" w:space="0"/>
          <w:right w:val="none" w:color="000000" w:sz="4" w:space="0"/>
        </w:pBdr>
        <w:spacing w:line="274" w:lineRule="auto"/>
        <w:ind w:right="0" w:firstLine="0" w:left="0"/>
        <w:jc w:val="both"/>
        <w:rPr>
          <w:b w:val="0"/>
          <w:bCs w:val="0"/>
        </w:rPr>
      </w:pPr>
      <w:r>
        <w:rPr>
          <w:rFonts w:ascii="Times New Roman" w:hAnsi="Times New Roman" w:eastAsia="Times New Roman" w:cs="Times New Roman"/>
          <w:b w:val="0"/>
          <w:bCs w:val="0"/>
          <w:color w:val="000000"/>
          <w:sz w:val="24"/>
        </w:rPr>
        <w:t xml:space="preserve">Xác định giá trị của công trình xây dựng trên đất:</w:t>
      </w:r>
      <w:r>
        <w:rPr>
          <w:b w:val="0"/>
          <w:bCs w:val="0"/>
        </w:rPr>
      </w:r>
      <w:r>
        <w:rPr>
          <w:b w:val="0"/>
          <w:bCs w:val="0"/>
        </w:rPr>
      </w:r>
    </w:p>
    <w:p>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tbl>
      <w:tblPr>
        <w:tblStyle w:val="1037"/>
        <w:tblInd w:w="25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633"/>
        <w:gridCol w:w="341"/>
        <w:gridCol w:w="3672"/>
        <w:gridCol w:w="319"/>
        <w:gridCol w:w="2311"/>
      </w:tblGrid>
      <w:tr>
        <w:trPr>
          <w:trHeight w:val="794"/>
        </w:trPr>
        <w:tc>
          <w:tcPr>
            <w:tcBorders/>
            <w:tcMar>
              <w:left w:w="108" w:type="dxa"/>
              <w:top w:w="0" w:type="dxa"/>
              <w:right w:w="108" w:type="dxa"/>
              <w:bottom w:w="0" w:type="dxa"/>
            </w:tcMar>
            <w:tcW w:w="16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6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after="120"/>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3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23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Tổng giá trị hao mòn </w:t>
            </w:r>
            <w:r/>
          </w:p>
        </w:tc>
      </w:tr>
    </w:tbl>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4" w:lineRule="auto"/>
        <w:ind w:right="0"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line="274" w:lineRule="auto"/>
        <w:ind w:right="0" w:firstLine="0" w:left="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line="274" w:lineRule="auto"/>
        <w:ind w:right="0" w:firstLine="0" w:left="0"/>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highlight w:val="none"/>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bl>
      <w:tblPr>
        <w:tblStyle w:val="103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729"/>
        <w:gridCol w:w="1134"/>
        <w:gridCol w:w="1134"/>
        <w:gridCol w:w="1559"/>
        <w:gridCol w:w="855"/>
        <w:gridCol w:w="1412"/>
        <w:gridCol w:w="1702"/>
      </w:tblGrid>
      <w:tr>
        <w:trPr>
          <w:trHeight w:val="936"/>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val="0"/>
                <w:bCs w:val="0"/>
              </w:rPr>
            </w:pPr>
            <w:r>
              <w:rPr>
                <w:rFonts w:ascii="Times New Roman" w:hAnsi="Times New Roman" w:eastAsia="Times New Roman" w:cs="Times New Roman"/>
                <w:b w:val="0"/>
                <w:bCs w:val="0"/>
                <w:color w:val="000000"/>
                <w:sz w:val="22"/>
              </w:rPr>
              <w:t xml:space="preserve">Tài sản</w:t>
            </w:r>
            <w:r>
              <w:rPr>
                <w:b w:val="0"/>
                <w:bCs w:val="0"/>
              </w:rPr>
            </w:r>
            <w:r>
              <w:rPr>
                <w:b w:val="0"/>
                <w:bCs w:val="0"/>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val="0"/>
                <w:bCs w:val="0"/>
              </w:rPr>
            </w:pPr>
            <w:r>
              <w:rPr>
                <w:rFonts w:ascii="Times New Roman" w:hAnsi="Times New Roman" w:eastAsia="Times New Roman" w:cs="Times New Roman"/>
                <w:b w:val="0"/>
                <w:bCs w:val="0"/>
                <w:color w:val="000000"/>
                <w:sz w:val="22"/>
              </w:rPr>
              <w:t xml:space="preserve">Diện tích sàn</w:t>
              <w:br/>
              <w:t xml:space="preserve">   (m²)</w:t>
            </w:r>
            <w:r>
              <w:rPr>
                <w:b w:val="0"/>
                <w:bCs w:val="0"/>
              </w:rPr>
            </w:r>
            <w:r>
              <w:rPr>
                <w:b w:val="0"/>
                <w:bCs w:val="0"/>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val="0"/>
                <w:bCs w:val="0"/>
              </w:rPr>
            </w:pPr>
            <w:r>
              <w:rPr>
                <w:rFonts w:ascii="Times New Roman" w:hAnsi="Times New Roman" w:eastAsia="Times New Roman" w:cs="Times New Roman"/>
                <w:b w:val="0"/>
                <w:bCs w:val="0"/>
                <w:color w:val="000000"/>
                <w:sz w:val="22"/>
              </w:rPr>
              <w:t xml:space="preserve">Đơn giá xây dựng mới (đồng/m²)</w:t>
            </w:r>
            <w:r>
              <w:rPr>
                <w:b w:val="0"/>
                <w:bCs w:val="0"/>
              </w:rPr>
            </w:r>
            <w:r>
              <w:rPr>
                <w:b w:val="0"/>
                <w:bCs w:val="0"/>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val="0"/>
                <w:bCs w:val="0"/>
              </w:rPr>
            </w:pPr>
            <w:r>
              <w:rPr>
                <w:rFonts w:ascii="Times New Roman" w:hAnsi="Times New Roman" w:eastAsia="Times New Roman" w:cs="Times New Roman"/>
                <w:b w:val="0"/>
                <w:bCs w:val="0"/>
                <w:color w:val="000000"/>
                <w:sz w:val="22"/>
              </w:rPr>
              <w:t xml:space="preserve">Chi phí thay thế (đồng)</w:t>
            </w:r>
            <w:r>
              <w:rPr>
                <w:b w:val="0"/>
                <w:bCs w:val="0"/>
              </w:rPr>
            </w:r>
            <w:r>
              <w:rPr>
                <w:b w:val="0"/>
                <w:bCs w:val="0"/>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8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val="0"/>
                <w:bCs w:val="0"/>
              </w:rPr>
            </w:pPr>
            <w:r>
              <w:rPr>
                <w:rFonts w:ascii="Times New Roman" w:hAnsi="Times New Roman" w:eastAsia="Times New Roman" w:cs="Times New Roman"/>
                <w:b w:val="0"/>
                <w:bCs w:val="0"/>
                <w:color w:val="000000"/>
                <w:sz w:val="22"/>
              </w:rPr>
              <w:t xml:space="preserve">Tỷ lệ hao mòn </w:t>
            </w:r>
            <w:r>
              <w:rPr>
                <w:b w:val="0"/>
                <w:bCs w:val="0"/>
              </w:rPr>
            </w:r>
            <w:r>
              <w:rPr>
                <w:b w:val="0"/>
                <w:bCs w:val="0"/>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4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val="0"/>
                <w:bCs w:val="0"/>
              </w:rPr>
            </w:pPr>
            <w:r>
              <w:rPr>
                <w:rFonts w:ascii="Times New Roman" w:hAnsi="Times New Roman" w:eastAsia="Times New Roman" w:cs="Times New Roman"/>
                <w:b w:val="0"/>
                <w:bCs w:val="0"/>
                <w:color w:val="000000"/>
                <w:sz w:val="22"/>
              </w:rPr>
              <w:t xml:space="preserve">Gía trị hao mòn </w:t>
            </w:r>
            <w:r>
              <w:rPr>
                <w:b w:val="0"/>
                <w:bCs w:val="0"/>
              </w:rPr>
            </w:r>
            <w:r>
              <w:rPr>
                <w:b w:val="0"/>
                <w:bCs w:val="0"/>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val="0"/>
                <w:bCs w:val="0"/>
              </w:rPr>
            </w:pPr>
            <w:r>
              <w:rPr>
                <w:rFonts w:ascii="Times New Roman" w:hAnsi="Times New Roman" w:eastAsia="Times New Roman" w:cs="Times New Roman"/>
                <w:b w:val="0"/>
                <w:bCs w:val="0"/>
                <w:color w:val="000000"/>
                <w:sz w:val="22"/>
              </w:rPr>
              <w:t xml:space="preserve">Giá trị thẩm định tại thời điểm thẩm định giá (đồng)</w:t>
            </w:r>
            <w:r>
              <w:rPr>
                <w:b w:val="0"/>
                <w:bCs w:val="0"/>
              </w:rPr>
            </w:r>
            <w:r>
              <w:rPr>
                <w:b w:val="0"/>
                <w:bCs w:val="0"/>
              </w:rPr>
            </w:r>
          </w:p>
        </w:tc>
      </w:tr>
      <w:tr>
        <w:trPr>
          <w:trHeight w:val="567"/>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17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val="0"/>
                <w:bCs w:val="0"/>
              </w:rPr>
            </w:pPr>
            <w:r>
              <w:rPr>
                <w:rFonts w:ascii="Times New Roman" w:hAnsi="Times New Roman" w:eastAsia="Times New Roman" w:cs="Times New Roman"/>
                <w:b w:val="0"/>
                <w:bCs w:val="0"/>
                <w:color w:val="000000"/>
                <w:sz w:val="22"/>
              </w:rPr>
              <w:t xml:space="preserve">(A)</w:t>
            </w:r>
            <w:r>
              <w:rPr>
                <w:b w:val="0"/>
                <w:bCs w:val="0"/>
              </w:rPr>
            </w:r>
            <w:r>
              <w:rPr>
                <w:b w:val="0"/>
                <w:bCs w:val="0"/>
              </w:rPr>
            </w:r>
          </w:p>
        </w:tc>
        <w:tc>
          <w:tcPr>
            <w:shd w:val="clear" w:color="ffffff" w:fill="ffffff"/>
            <w:tcBorders>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val="0"/>
                <w:bCs w:val="0"/>
              </w:rPr>
            </w:pPr>
            <w:r>
              <w:rPr>
                <w:rFonts w:ascii="Times New Roman" w:hAnsi="Times New Roman" w:eastAsia="Times New Roman" w:cs="Times New Roman"/>
                <w:b w:val="0"/>
                <w:bCs w:val="0"/>
                <w:color w:val="000000"/>
                <w:sz w:val="22"/>
              </w:rPr>
              <w:t xml:space="preserve">1</w:t>
            </w:r>
            <w:r>
              <w:rPr>
                <w:b w:val="0"/>
                <w:bCs w:val="0"/>
              </w:rPr>
            </w:r>
            <w:r>
              <w:rPr>
                <w:b w:val="0"/>
                <w:bCs w:val="0"/>
              </w:rPr>
            </w:r>
          </w:p>
        </w:tc>
        <w:tc>
          <w:tcPr>
            <w:shd w:val="clear" w:color="ffffff" w:fill="ffffff"/>
            <w:tcBorders>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val="0"/>
                <w:bCs w:val="0"/>
              </w:rPr>
            </w:pPr>
            <w:r>
              <w:rPr>
                <w:rFonts w:ascii="Times New Roman" w:hAnsi="Times New Roman" w:eastAsia="Times New Roman" w:cs="Times New Roman"/>
                <w:b w:val="0"/>
                <w:bCs w:val="0"/>
                <w:color w:val="000000"/>
                <w:sz w:val="22"/>
              </w:rPr>
              <w:t xml:space="preserve">2</w:t>
            </w:r>
            <w:r>
              <w:rPr>
                <w:b w:val="0"/>
                <w:bCs w:val="0"/>
              </w:rPr>
            </w:r>
            <w:r>
              <w:rPr>
                <w:b w:val="0"/>
                <w:bCs w:val="0"/>
              </w:rP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val="0"/>
                <w:bCs w:val="0"/>
              </w:rPr>
            </w:pPr>
            <w:r>
              <w:rPr>
                <w:rFonts w:ascii="Times New Roman" w:hAnsi="Times New Roman" w:eastAsia="Times New Roman" w:cs="Times New Roman"/>
                <w:b w:val="0"/>
                <w:bCs w:val="0"/>
                <w:color w:val="000000"/>
                <w:sz w:val="22"/>
              </w:rPr>
              <w:t xml:space="preserve">(3) = (2) * (1)</w:t>
            </w:r>
            <w:r>
              <w:rPr>
                <w:b w:val="0"/>
                <w:bCs w:val="0"/>
              </w:rPr>
            </w:r>
            <w:r>
              <w:rPr>
                <w:b w:val="0"/>
                <w:bCs w:val="0"/>
              </w:rPr>
            </w:r>
          </w:p>
        </w:tc>
        <w:tc>
          <w:tcPr>
            <w:shd w:val="clear" w:color="ffffff" w:fill="ffffff"/>
            <w:tcBorders>
              <w:bottom w:val="single" w:color="000000" w:sz="8" w:space="0"/>
              <w:right w:val="single" w:color="000000" w:sz="8" w:space="0"/>
            </w:tcBorders>
            <w:tcMar>
              <w:left w:w="0" w:type="dxa"/>
              <w:top w:w="0" w:type="dxa"/>
              <w:right w:w="0" w:type="dxa"/>
              <w:bottom w:w="0" w:type="dxa"/>
            </w:tcMar>
            <w:tcW w:w="8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val="0"/>
                <w:bCs w:val="0"/>
              </w:rPr>
            </w:pPr>
            <w:r>
              <w:rPr>
                <w:rFonts w:ascii="Times New Roman" w:hAnsi="Times New Roman" w:eastAsia="Times New Roman" w:cs="Times New Roman"/>
                <w:b w:val="0"/>
                <w:bCs w:val="0"/>
                <w:color w:val="000000"/>
                <w:sz w:val="22"/>
              </w:rPr>
              <w:t xml:space="preserve">(4)</w:t>
            </w:r>
            <w:r>
              <w:rPr>
                <w:b w:val="0"/>
                <w:bCs w:val="0"/>
              </w:rPr>
            </w:r>
            <w:r>
              <w:rPr>
                <w:b w:val="0"/>
                <w:bCs w:val="0"/>
              </w:rPr>
            </w:r>
          </w:p>
        </w:tc>
        <w:tc>
          <w:tcPr>
            <w:shd w:val="clear" w:color="ffffff" w:fill="ffffff"/>
            <w:tcBorders>
              <w:bottom w:val="single" w:color="000000" w:sz="8" w:space="0"/>
              <w:right w:val="single" w:color="000000" w:sz="8" w:space="0"/>
            </w:tcBorders>
            <w:tcMar>
              <w:left w:w="0" w:type="dxa"/>
              <w:top w:w="0" w:type="dxa"/>
              <w:right w:w="0" w:type="dxa"/>
              <w:bottom w:w="0" w:type="dxa"/>
            </w:tcMar>
            <w:tcW w:w="14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val="0"/>
                <w:bCs w:val="0"/>
              </w:rPr>
            </w:pPr>
            <w:r>
              <w:rPr>
                <w:rFonts w:ascii="Times New Roman" w:hAnsi="Times New Roman" w:eastAsia="Times New Roman" w:cs="Times New Roman"/>
                <w:b w:val="0"/>
                <w:bCs w:val="0"/>
                <w:color w:val="000000"/>
                <w:sz w:val="22"/>
              </w:rPr>
              <w:t xml:space="preserve">(5)= (3)*(4)</w:t>
            </w:r>
            <w:r>
              <w:rPr>
                <w:b w:val="0"/>
                <w:bCs w:val="0"/>
              </w:rPr>
            </w:r>
            <w:r>
              <w:rPr>
                <w:b w:val="0"/>
                <w:bCs w:val="0"/>
              </w:rPr>
            </w:r>
          </w:p>
        </w:tc>
        <w:tc>
          <w:tcPr>
            <w:shd w:val="clear" w:color="ffffff" w:fill="ffffff"/>
            <w:tcBorders>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val="0"/>
                <w:bCs w:val="0"/>
              </w:rPr>
            </w:pPr>
            <w:r>
              <w:rPr>
                <w:rFonts w:ascii="Times New Roman" w:hAnsi="Times New Roman" w:eastAsia="Times New Roman" w:cs="Times New Roman"/>
                <w:b w:val="0"/>
                <w:bCs w:val="0"/>
                <w:color w:val="000000"/>
                <w:sz w:val="22"/>
              </w:rPr>
              <w:t xml:space="preserve">(6) = (3) - (5)</w:t>
            </w:r>
            <w:r>
              <w:rPr>
                <w:b w:val="0"/>
                <w:bCs w:val="0"/>
              </w:rPr>
            </w:r>
            <w:r>
              <w:rPr>
                <w:b w:val="0"/>
                <w:bCs w:val="0"/>
              </w:rP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1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left"/>
              <w:rPr>
                <w:b w:val="0"/>
                <w:bCs w:val="0"/>
              </w:rPr>
            </w:pPr>
            <w:r>
              <w:rPr>
                <w:rFonts w:ascii="Times New Roman" w:hAnsi="Times New Roman" w:eastAsia="Times New Roman" w:cs="Times New Roman"/>
                <w:b w:val="0"/>
                <w:bCs w:val="0"/>
                <w:color w:val="000000"/>
                <w:sz w:val="22"/>
              </w:rPr>
              <w:t xml:space="preserve">Nhà liền kề 6 tầng </w:t>
            </w:r>
            <w:r>
              <w:rPr>
                <w:b w:val="0"/>
                <w:bCs w:val="0"/>
              </w:rPr>
            </w:r>
            <w:r>
              <w:rPr>
                <w:b w:val="0"/>
                <w:bCs w:val="0"/>
              </w:rPr>
            </w:r>
          </w:p>
        </w:tc>
        <w:tc>
          <w:tcPr>
            <w:tcBorders>
              <w:bottom w:val="single" w:color="000000" w:sz="8" w:space="0"/>
              <w:right w:val="single" w:color="000000" w:sz="8" w:space="0"/>
            </w:tcBorders>
            <w:tcMar>
              <w:left w:w="0" w:type="dxa"/>
              <w:top w:w="0" w:type="dxa"/>
              <w:right w:w="0"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b w:val="0"/>
                <w:bCs w:val="0"/>
              </w:rPr>
            </w:pPr>
            <w:r>
              <w:rPr>
                <w:rFonts w:ascii="Times New Roman" w:hAnsi="Times New Roman" w:eastAsia="Times New Roman" w:cs="Times New Roman"/>
                <w:b w:val="0"/>
                <w:bCs w:val="0"/>
                <w:color w:val="000000"/>
                <w:sz w:val="22"/>
              </w:rPr>
              <w:t xml:space="preserve">     1181,3</w:t>
            </w:r>
            <w:r>
              <w:rPr>
                <w:b w:val="0"/>
                <w:bCs w:val="0"/>
              </w:rPr>
            </w:r>
            <w:r>
              <w:rPr>
                <w:b w:val="0"/>
                <w:bCs w:val="0"/>
              </w:rPr>
            </w:r>
          </w:p>
        </w:tc>
        <w:tc>
          <w:tcPr>
            <w:tcBorders>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 w:val="0"/>
                <w:bCs w:val="0"/>
              </w:rPr>
            </w:pPr>
            <w:r>
              <w:rPr>
                <w:rFonts w:ascii="Times New Roman" w:hAnsi="Times New Roman" w:eastAsia="Times New Roman" w:cs="Times New Roman"/>
                <w:b w:val="0"/>
                <w:bCs w:val="0"/>
                <w:i/>
                <w:color w:val="000000"/>
                <w:spacing w:val="3"/>
                <w:sz w:val="22"/>
              </w:rPr>
            </w:r>
            <w:r>
              <w:rPr>
                <w:rFonts w:ascii="Times New Roman" w:hAnsi="Times New Roman" w:eastAsia="Times New Roman" w:cs="Times New Roman"/>
                <w:b w:val="0"/>
                <w:bCs w:val="0"/>
                <w:i/>
                <w:color w:val="000000"/>
                <w:spacing w:val="3"/>
                <w:sz w:val="24"/>
                <w:highlight w:val="none"/>
              </w:rPr>
              <w:t xml:space="preserve"> 5.599.759</w:t>
            </w:r>
            <w:r>
              <w:rPr>
                <w:b w:val="0"/>
                <w:bCs w:val="0"/>
              </w:rPr>
            </w:r>
            <w:r>
              <w:rPr>
                <w:b w:val="0"/>
                <w:bCs w:val="0"/>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b w:val="0"/>
                <w:bCs w:val="0"/>
              </w:rPr>
            </w:pPr>
            <w:r>
              <w:rPr>
                <w:rFonts w:ascii="Times New Roman" w:hAnsi="Times New Roman" w:eastAsia="Times New Roman" w:cs="Times New Roman"/>
                <w:b w:val="0"/>
                <w:bCs w:val="0"/>
                <w:color w:val="000000"/>
                <w:sz w:val="22"/>
              </w:rPr>
              <w:t xml:space="preserve">6.614.995.543</w:t>
            </w:r>
            <w:r>
              <w:rPr>
                <w:b w:val="0"/>
                <w:bCs w:val="0"/>
              </w:rPr>
            </w:r>
            <w:r>
              <w:rPr>
                <w:b w:val="0"/>
                <w:bCs w:val="0"/>
              </w:rPr>
            </w:r>
          </w:p>
        </w:tc>
        <w:tc>
          <w:tcPr>
            <w:tcBorders>
              <w:bottom w:val="single" w:color="000000" w:sz="8" w:space="0"/>
              <w:right w:val="single" w:color="000000" w:sz="8" w:space="0"/>
            </w:tcBorders>
            <w:tcMar>
              <w:left w:w="0" w:type="dxa"/>
              <w:top w:w="0" w:type="dxa"/>
              <w:right w:w="0" w:type="dxa"/>
              <w:bottom w:w="0" w:type="dxa"/>
            </w:tcMar>
            <w:tcW w:w="85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b w:val="0"/>
                <w:bCs w:val="0"/>
              </w:rPr>
            </w:pPr>
            <w:r>
              <w:rPr>
                <w:rFonts w:ascii="Times New Roman" w:hAnsi="Times New Roman" w:eastAsia="Times New Roman" w:cs="Times New Roman"/>
                <w:b w:val="0"/>
                <w:bCs w:val="0"/>
                <w:color w:val="000000"/>
                <w:sz w:val="22"/>
              </w:rPr>
              <w:t xml:space="preserve">0%</w:t>
            </w:r>
            <w:r>
              <w:rPr>
                <w:b w:val="0"/>
                <w:bCs w:val="0"/>
              </w:rPr>
            </w:r>
            <w:r>
              <w:rPr>
                <w:b w:val="0"/>
                <w:bCs w:val="0"/>
              </w:rPr>
            </w:r>
          </w:p>
        </w:tc>
        <w:tc>
          <w:tcPr>
            <w:tcBorders>
              <w:bottom w:val="single" w:color="000000" w:sz="8" w:space="0"/>
              <w:right w:val="single" w:color="000000" w:sz="8" w:space="0"/>
            </w:tcBorders>
            <w:tcMar>
              <w:left w:w="0" w:type="dxa"/>
              <w:top w:w="0" w:type="dxa"/>
              <w:right w:w="0" w:type="dxa"/>
              <w:bottom w:w="0" w:type="dxa"/>
            </w:tcMar>
            <w:tcW w:w="141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b w:val="0"/>
                <w:bCs w:val="0"/>
              </w:rPr>
            </w:pPr>
            <w:r>
              <w:rPr>
                <w:rFonts w:ascii="Times New Roman" w:hAnsi="Times New Roman" w:eastAsia="Times New Roman" w:cs="Times New Roman"/>
                <w:b w:val="0"/>
                <w:bCs w:val="0"/>
                <w:color w:val="000000"/>
                <w:sz w:val="22"/>
              </w:rPr>
              <w:t xml:space="preserve">0</w:t>
            </w:r>
            <w:r>
              <w:rPr>
                <w:b w:val="0"/>
                <w:bCs w:val="0"/>
              </w:rPr>
            </w:r>
            <w:r>
              <w:rPr>
                <w:b w:val="0"/>
                <w:bCs w:val="0"/>
              </w:rPr>
            </w:r>
          </w:p>
        </w:tc>
        <w:tc>
          <w:tcPr>
            <w:tcBorders>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 w:val="0"/>
                <w:bCs w:val="0"/>
              </w:rPr>
            </w:pPr>
            <w:r>
              <w:rPr>
                <w:rFonts w:ascii="Times New Roman" w:hAnsi="Times New Roman" w:eastAsia="Times New Roman" w:cs="Times New Roman"/>
                <w:b w:val="0"/>
                <w:bCs w:val="0"/>
                <w:color w:val="000000"/>
                <w:sz w:val="22"/>
              </w:rPr>
              <w:t xml:space="preserve">     6.614.995.543</w:t>
            </w:r>
            <w:r>
              <w:rPr>
                <w:b w:val="0"/>
                <w:bCs w:val="0"/>
              </w:rPr>
            </w:r>
            <w:r>
              <w:rPr>
                <w:b w:val="0"/>
                <w:bCs w:val="0"/>
              </w:rPr>
            </w:r>
          </w:p>
        </w:tc>
      </w:tr>
    </w:tbl>
    <w:p>
      <w:pPr>
        <w:pStyle w:val="1033"/>
        <w:pBdr/>
        <w:spacing w:after="120" w:before="120" w:line="276" w:lineRule="auto"/>
        <w:ind w:left="357"/>
        <w:jc w:val="both"/>
        <w:rPr>
          <w:b/>
          <w:lang w:val="pt-BR"/>
        </w:rPr>
      </w:pPr>
      <w:r>
        <w:rPr>
          <w:b/>
          <w:lang w:val="pt-BR"/>
        </w:rPr>
      </w:r>
      <w:r>
        <w:rPr>
          <w:b/>
          <w:lang w:val="pt-BR"/>
        </w:rPr>
      </w:r>
      <w:r>
        <w:rPr>
          <w:b/>
          <w:lang w:val="pt-BR"/>
        </w:rPr>
      </w:r>
    </w:p>
    <w:p>
      <w:pPr>
        <w:pStyle w:val="1033"/>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3"/>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p>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6"/>
        <w:gridCol w:w="3986"/>
        <w:gridCol w:w="1389"/>
        <w:gridCol w:w="1377"/>
        <w:gridCol w:w="1211"/>
        <w:gridCol w:w="1776"/>
      </w:tblGrid>
      <w:tr>
        <w:trPr>
          <w:trHeight w:val="729"/>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39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3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37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21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CLCL </w:t>
              <w:br/>
              <w:t xml:space="preserve">(%)</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77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208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7963" w:type="dxa"/>
            <w:vAlign w:val="center"/>
            <w:textDirection w:val="lrTb"/>
            <w:noWrap w:val="false"/>
          </w:tcPr>
          <w:p>
            <w:pPr>
              <w:pBdr/>
              <w:tabs>
                <w:tab w:val="left" w:leader="none" w:pos="1399"/>
              </w:tabs>
              <w:spacing w:after="0" w:before="0" w:line="276" w:lineRule="auto"/>
              <w:ind/>
              <w:jc w:val="both"/>
              <w:rPr>
                <w:b/>
                <w:bCs/>
                <w:i w:val="0"/>
              </w:rPr>
            </w:pPr>
            <w:r>
              <w:rPr>
                <w:rFonts w:ascii="Times New Roman" w:hAnsi="Times New Roman" w:eastAsia="Times New Roman" w:cs="Times New Roman"/>
                <w:b/>
                <w:bCs/>
                <w:i w:val="0"/>
                <w:iCs w:val="0"/>
                <w:color w:val="000000"/>
                <w:sz w:val="24"/>
              </w:rPr>
              <w:t xml:space="preserve">Quyền sử dụng đất và tài sản gắn liền với đất tại thửa đất số: 73, tờ bản đồ số 27 có địa chỉ: Lô V6A-01, Khu nhà ở Văn Phú, Khu đô thị Văn Phú, Phường Kiến Hưng, Thành phố Hà Nội  theo Giấy chứng nhận quyền sử dụng đất, quyền sở hữu tài sản gắn liền với đ</w:t>
            </w:r>
            <w:r>
              <w:rPr>
                <w:rFonts w:ascii="Times New Roman" w:hAnsi="Times New Roman" w:eastAsia="Times New Roman" w:cs="Times New Roman"/>
                <w:b/>
                <w:bCs/>
                <w:i w:val="0"/>
                <w:iCs w:val="0"/>
                <w:color w:val="000000"/>
                <w:sz w:val="24"/>
              </w:rPr>
              <w:t xml:space="preserve">ất  số: AA 05988989, số vào sổ cấp GCN: VP 53639 do Văn phòng Đăng ký đất đai Hà Nội cấp ngày 30/12/2025; Chủ sử dụng đất là Công ty Cổ phần Thủy điện Cao Nguyên- Sông Đà 7</w:t>
            </w:r>
            <w:r>
              <w:rPr>
                <w:b/>
                <w:bCs/>
                <w:i w:val="0"/>
                <w:iCs w:val="0"/>
              </w:rPr>
              <w:tab/>
            </w:r>
            <w:r>
              <w:rPr>
                <w:b/>
                <w:bCs/>
                <w:i w:val="0"/>
              </w:rPr>
            </w:r>
            <w:r>
              <w:rPr>
                <w:b/>
                <w:bCs/>
                <w:i w:val="0"/>
              </w:rPr>
            </w:r>
          </w:p>
        </w:tc>
        <w:tc>
          <w:tcPr>
            <w:shd w:val="clear" w:color="ffffff" w:fill="ffffff"/>
            <w:tcBorders>
              <w:bottom w:val="single" w:color="000000" w:sz="5" w:space="0"/>
              <w:right w:val="single" w:color="000000" w:sz="5" w:space="0"/>
            </w:tcBorders>
            <w:tcMar>
              <w:left w:w="0" w:type="dxa"/>
              <w:top w:w="0" w:type="dxa"/>
              <w:right w:w="0" w:type="dxa"/>
              <w:bottom w:w="0" w:type="dxa"/>
            </w:tcMar>
            <w:tcW w:w="1776"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5" w:space="0"/>
              <w:right w:val="single" w:color="000000" w:sz="5" w:space="0"/>
            </w:tcBorders>
            <w:tcMar>
              <w:left w:w="0" w:type="dxa"/>
              <w:top w:w="0" w:type="dxa"/>
              <w:right w:w="0" w:type="dxa"/>
              <w:bottom w:w="0" w:type="dxa"/>
            </w:tcMar>
            <w:tcW w:w="39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ở tại đô thị </w:t>
            </w:r>
            <w:r/>
          </w:p>
        </w:tc>
        <w:tc>
          <w:tcPr>
            <w:tcBorders>
              <w:bottom w:val="single" w:color="000000" w:sz="5" w:space="0"/>
              <w:right w:val="single" w:color="000000" w:sz="5" w:space="0"/>
            </w:tcBorders>
            <w:tcMar>
              <w:left w:w="0" w:type="dxa"/>
              <w:top w:w="0" w:type="dxa"/>
              <w:right w:w="0" w:type="dxa"/>
              <w:bottom w:w="0" w:type="dxa"/>
            </w:tcMar>
            <w:tcW w:w="1389" w:type="dxa"/>
            <w:vAlign w:val="center"/>
            <w:textDirection w:val="lrTb"/>
            <w:noWrap/>
          </w:tcPr>
          <w:p>
            <w:pPr>
              <w:pBdr/>
              <w:spacing w:after="0" w:before="0" w:line="240" w:lineRule="auto"/>
              <w:ind/>
              <w:jc w:val="center"/>
              <w:rPr>
                <w:b w:val="0"/>
                <w:bCs w:val="0"/>
              </w:rPr>
            </w:pPr>
            <w:r>
              <w:rPr>
                <w:rFonts w:ascii="Times New Roman" w:hAnsi="Times New Roman" w:eastAsia="Times New Roman" w:cs="Times New Roman"/>
                <w:b w:val="0"/>
                <w:bCs w:val="0"/>
                <w:color w:val="000000"/>
                <w:sz w:val="24"/>
              </w:rPr>
              <w:t xml:space="preserve">215,7</w:t>
            </w:r>
            <w:r>
              <w:rPr>
                <w:b w:val="0"/>
                <w:bCs w:val="0"/>
              </w:rPr>
            </w:r>
            <w:r>
              <w:rPr>
                <w:b w:val="0"/>
                <w:bCs w:val="0"/>
              </w:rPr>
            </w:r>
          </w:p>
        </w:tc>
        <w:tc>
          <w:tcPr>
            <w:shd w:val="clear" w:color="ffffff" w:fill="ffffff"/>
            <w:tcBorders>
              <w:bottom w:val="single" w:color="000000" w:sz="5" w:space="0"/>
              <w:right w:val="single" w:color="000000" w:sz="5" w:space="0"/>
            </w:tcBorders>
            <w:tcMar>
              <w:left w:w="0" w:type="dxa"/>
              <w:top w:w="0" w:type="dxa"/>
              <w:right w:w="0" w:type="dxa"/>
              <w:bottom w:w="0" w:type="dxa"/>
            </w:tcMar>
            <w:tcW w:w="1377"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4"/>
              </w:rPr>
              <w:t xml:space="preserve">320.000.000</w:t>
            </w:r>
            <w:r>
              <w:rPr>
                <w:b w:val="0"/>
                <w:bCs w:val="0"/>
              </w:rPr>
            </w:r>
            <w:r>
              <w:rPr>
                <w:b w:val="0"/>
                <w:bCs w:val="0"/>
              </w:rPr>
            </w:r>
          </w:p>
        </w:tc>
        <w:tc>
          <w:tcPr>
            <w:shd w:val="clear" w:color="ffffff" w:fill="ffffff"/>
            <w:tcBorders>
              <w:bottom w:val="single" w:color="000000" w:sz="5" w:space="0"/>
              <w:right w:val="single" w:color="000000" w:sz="5" w:space="0"/>
            </w:tcBorders>
            <w:tcMar>
              <w:left w:w="0" w:type="dxa"/>
              <w:top w:w="0" w:type="dxa"/>
              <w:right w:w="0" w:type="dxa"/>
              <w:bottom w:w="0" w:type="dxa"/>
            </w:tcMar>
            <w:tcW w:w="12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6"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69.024.000.000</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5" w:space="0"/>
              <w:right w:val="single" w:color="000000" w:sz="5" w:space="0"/>
            </w:tcBorders>
            <w:tcMar>
              <w:left w:w="0" w:type="dxa"/>
              <w:top w:w="0" w:type="dxa"/>
              <w:right w:w="0" w:type="dxa"/>
              <w:bottom w:w="0" w:type="dxa"/>
            </w:tcMar>
            <w:tcW w:w="39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liền kề 6 tầng 1 tum, 1 tầng hầm </w:t>
            </w:r>
            <w:r>
              <w:rPr>
                <w:rFonts w:ascii="Times New Roman" w:hAnsi="Times New Roman" w:eastAsia="Times New Roman" w:cs="Times New Roman"/>
                <w:color w:val="000000"/>
                <w:sz w:val="24"/>
              </w:rPr>
              <w:t xml:space="preserve">(xây thô, hoàn thiện mặt ngoài) </w:t>
            </w:r>
            <w:r/>
            <w:r>
              <w:rPr>
                <w:rFonts w:ascii="Times New Roman" w:hAnsi="Times New Roman" w:eastAsia="Times New Roman" w:cs="Times New Roman"/>
                <w:color w:val="000000"/>
                <w:sz w:val="24"/>
              </w:rPr>
            </w:r>
            <w:r/>
          </w:p>
        </w:tc>
        <w:tc>
          <w:tcPr>
            <w:tcBorders>
              <w:bottom w:val="single" w:color="000000" w:sz="5" w:space="0"/>
              <w:right w:val="single" w:color="000000" w:sz="5" w:space="0"/>
            </w:tcBorders>
            <w:tcMar>
              <w:left w:w="0" w:type="dxa"/>
              <w:top w:w="0" w:type="dxa"/>
              <w:right w:w="0" w:type="dxa"/>
              <w:bottom w:w="0" w:type="dxa"/>
            </w:tcMar>
            <w:tcW w:w="1389" w:type="dxa"/>
            <w:vAlign w:val="center"/>
            <w:textDirection w:val="lrTb"/>
            <w:noWrap/>
          </w:tcPr>
          <w:p>
            <w:pPr>
              <w:pBdr/>
              <w:spacing w:after="0" w:before="0" w:line="240" w:lineRule="auto"/>
              <w:ind/>
              <w:jc w:val="center"/>
              <w:rPr>
                <w:b w:val="0"/>
                <w:bCs w:val="0"/>
                <w:i w:val="0"/>
              </w:rPr>
            </w:pPr>
            <w:r>
              <w:rPr>
                <w:rFonts w:ascii="Times New Roman" w:hAnsi="Times New Roman" w:eastAsia="Times New Roman" w:cs="Times New Roman"/>
                <w:b w:val="0"/>
                <w:bCs w:val="0"/>
                <w:i w:val="0"/>
                <w:iCs w:val="0"/>
                <w:color w:val="000000"/>
                <w:sz w:val="24"/>
              </w:rPr>
              <w:t xml:space="preserve">1.181,3</w:t>
            </w:r>
            <w:r>
              <w:rPr>
                <w:b w:val="0"/>
                <w:bCs w:val="0"/>
                <w:i w:val="0"/>
              </w:rPr>
            </w:r>
            <w:r>
              <w:rPr>
                <w:b w:val="0"/>
                <w:bCs w:val="0"/>
                <w:i w:val="0"/>
              </w:rPr>
            </w:r>
          </w:p>
        </w:tc>
        <w:tc>
          <w:tcPr>
            <w:shd w:val="clear" w:color="ffffff" w:fill="ffffff"/>
            <w:tcBorders>
              <w:bottom w:val="single" w:color="000000" w:sz="5" w:space="0"/>
              <w:right w:val="single" w:color="000000" w:sz="5" w:space="0"/>
            </w:tcBorders>
            <w:tcMar>
              <w:left w:w="0" w:type="dxa"/>
              <w:top w:w="0" w:type="dxa"/>
              <w:right w:w="0" w:type="dxa"/>
              <w:bottom w:w="0" w:type="dxa"/>
            </w:tcMar>
            <w:tcW w:w="1377" w:type="dxa"/>
            <w:vAlign w:val="center"/>
            <w:textDirection w:val="lrTb"/>
            <w:noWrap w:val="false"/>
          </w:tcPr>
          <w:p>
            <w:pPr>
              <w:pBdr/>
              <w:spacing w:after="0" w:before="0" w:line="240" w:lineRule="auto"/>
              <w:ind/>
              <w:jc w:val="center"/>
              <w:rPr>
                <w:b w:val="0"/>
                <w:bCs w:val="0"/>
                <w:i w:val="0"/>
              </w:rPr>
            </w:pPr>
            <w:r>
              <w:rPr>
                <w:rFonts w:ascii="Times New Roman" w:hAnsi="Times New Roman" w:eastAsia="Times New Roman" w:cs="Times New Roman"/>
                <w:b w:val="0"/>
                <w:bCs w:val="0"/>
                <w:i w:val="0"/>
                <w:iCs w:val="0"/>
                <w:color w:val="000000"/>
                <w:sz w:val="24"/>
              </w:rPr>
            </w:r>
            <w:r>
              <w:rPr>
                <w:rFonts w:ascii="Times New Roman" w:hAnsi="Times New Roman" w:eastAsia="Times New Roman" w:cs="Times New Roman"/>
                <w:b w:val="0"/>
                <w:bCs w:val="0"/>
                <w:i w:val="0"/>
                <w:iCs w:val="0"/>
                <w:color w:val="000000"/>
                <w:spacing w:val="3"/>
                <w:sz w:val="24"/>
                <w:highlight w:val="none"/>
              </w:rPr>
              <w:t xml:space="preserve">5.599.759</w:t>
            </w:r>
            <w:r>
              <w:rPr>
                <w:b w:val="0"/>
                <w:bCs w:val="0"/>
                <w:i w:val="0"/>
              </w:rPr>
            </w:r>
            <w:r>
              <w:rPr>
                <w:b w:val="0"/>
                <w:bCs w:val="0"/>
                <w:i w:val="0"/>
              </w:rPr>
            </w:r>
          </w:p>
        </w:tc>
        <w:tc>
          <w:tcPr>
            <w:shd w:val="clear" w:color="ffffff" w:fill="ffffff"/>
            <w:tcBorders>
              <w:bottom w:val="single" w:color="000000" w:sz="5" w:space="0"/>
              <w:right w:val="single" w:color="000000" w:sz="5" w:space="0"/>
            </w:tcBorders>
            <w:tcMar>
              <w:left w:w="0" w:type="dxa"/>
              <w:top w:w="0" w:type="dxa"/>
              <w:right w:w="0" w:type="dxa"/>
              <w:bottom w:w="0" w:type="dxa"/>
            </w:tcMar>
            <w:tcW w:w="12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100%</w:t>
            </w:r>
            <w:r/>
          </w:p>
        </w:tc>
        <w:tc>
          <w:tcPr>
            <w:shd w:val="clear" w:color="ffffff" w:fill="ffffff"/>
            <w:tcBorders>
              <w:bottom w:val="single" w:color="000000" w:sz="5" w:space="0"/>
              <w:right w:val="single" w:color="000000" w:sz="5" w:space="0"/>
            </w:tcBorders>
            <w:tcMar>
              <w:left w:w="0" w:type="dxa"/>
              <w:top w:w="0" w:type="dxa"/>
              <w:right w:w="0" w:type="dxa"/>
              <w:bottom w:w="0" w:type="dxa"/>
            </w:tcMar>
            <w:tcW w:w="1776"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6.614.995.543</w:t>
            </w:r>
            <w:r/>
          </w:p>
        </w:tc>
      </w:tr>
      <w:tr>
        <w:trPr>
          <w:trHeight w:val="312"/>
        </w:trPr>
        <w:tc>
          <w:tcPr>
            <w:gridSpan w:val="5"/>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850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5" w:space="0"/>
              <w:right w:val="single" w:color="000000" w:sz="5" w:space="0"/>
            </w:tcBorders>
            <w:tcMar>
              <w:left w:w="0" w:type="dxa"/>
              <w:top w:w="0" w:type="dxa"/>
              <w:right w:w="0" w:type="dxa"/>
              <w:bottom w:w="0" w:type="dxa"/>
            </w:tcMar>
            <w:tcW w:w="1776"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75.638.995.543</w:t>
            </w:r>
            <w:r/>
          </w:p>
        </w:tc>
      </w:tr>
      <w:tr>
        <w:trPr>
          <w:trHeight w:val="312"/>
        </w:trPr>
        <w:tc>
          <w:tcPr>
            <w:gridSpan w:val="5"/>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850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5" w:space="0"/>
              <w:right w:val="single" w:color="000000" w:sz="5" w:space="0"/>
            </w:tcBorders>
            <w:tcMar>
              <w:left w:w="0" w:type="dxa"/>
              <w:top w:w="0" w:type="dxa"/>
              <w:right w:w="0" w:type="dxa"/>
              <w:bottom w:w="0" w:type="dxa"/>
            </w:tcMar>
            <w:tcW w:w="1776"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75.639.000.000</w:t>
            </w:r>
            <w:r/>
          </w:p>
        </w:tc>
      </w:tr>
      <w:tr>
        <w:trPr>
          <w:trHeight w:val="309"/>
        </w:trPr>
        <w:tc>
          <w:tcPr>
            <w:gridSpan w:val="6"/>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10276"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Bảy mươi lăm tỷ sáu trăm ba mươi chín triệu đồng chẵn./.)</w:t>
            </w:r>
            <w:r/>
          </w:p>
        </w:tc>
      </w:tr>
    </w:tbl>
    <w:p>
      <w:pPr>
        <w:pStyle w:val="1033"/>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3"/>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3"/>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3"/>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3"/>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3"/>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3"/>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3"/>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3"/>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42"/>
        </w:numPr>
        <w:pBdr>
          <w:top w:val="none" w:color="000000" w:sz="4" w:space="0"/>
          <w:left w:val="none" w:color="000000" w:sz="4" w:space="0"/>
          <w:bottom w:val="none" w:color="000000" w:sz="4" w:space="0"/>
          <w:right w:val="none" w:color="000000" w:sz="4" w:space="0"/>
        </w:pBdr>
        <w:spacing w:after="120" w:before="120" w:line="341" w:lineRule="auto"/>
        <w:ind/>
        <w:jc w:val="both"/>
        <w:rPr>
          <w:color w:val="000000" w:themeColor="text1"/>
        </w:rPr>
      </w:pPr>
      <w:r>
        <w:rPr>
          <w:rFonts w:ascii="Times New Roman" w:hAnsi="Times New Roman" w:eastAsia="Times New Roman" w:cs="Times New Roman"/>
          <w:color w:val="000000" w:themeColor="text1"/>
          <w:sz w:val="24"/>
          <w:highlight w:val="white"/>
        </w:rPr>
        <w:t xml:space="preserve">Tại thời điểm khảo sát dưới sự hướng dẫn của khách hàng, CTXD gắn liền với đất là </w:t>
      </w:r>
      <w:r>
        <w:rPr>
          <w:rFonts w:ascii="Times New Roman" w:hAnsi="Times New Roman" w:eastAsia="Times New Roman" w:cs="Times New Roman"/>
          <w:color w:val="000000" w:themeColor="text1"/>
          <w:sz w:val="24"/>
        </w:rPr>
        <w:t xml:space="preserve">: Nhà liền kề 6 tầng, 1 tum, 1 tầng hầm đang xây thô, hoàn thiện mặt ngoài. Hiện đang hoàn thiện mặt bên trong. Diện tích sử dụng là 1181,3m2.Công trình đã được chứng nhận</w:t>
      </w:r>
      <w:r>
        <w:rPr>
          <w:rFonts w:ascii="Times New Roman" w:hAnsi="Times New Roman" w:eastAsia="Times New Roman" w:cs="Times New Roman"/>
          <w:color w:val="000000" w:themeColor="text1"/>
          <w:sz w:val="24"/>
        </w:rPr>
        <w:t xml:space="preserve"> trên GCN số AA 05988989</w:t>
      </w:r>
      <w:r>
        <w:rPr>
          <w:rFonts w:ascii="Times New Roman" w:hAnsi="Times New Roman" w:eastAsia="Times New Roman" w:cs="Times New Roman"/>
          <w:color w:val="000000" w:themeColor="text1"/>
          <w:sz w:val="24"/>
          <w:highlight w:val="white"/>
        </w:rPr>
        <w:t xml:space="preserve">. Theo đề nghị của Khách hàng/Ngân hàng, tổ thẩm định xác định giá trị công trình xây dựng theo hiện trạng thực tế với giả định thông số đo đạc được là chính xác, giá trị công trình xây d</w:t>
      </w:r>
      <w:r>
        <w:rPr>
          <w:rFonts w:ascii="Times New Roman" w:hAnsi="Times New Roman" w:eastAsia="Times New Roman" w:cs="Times New Roman"/>
          <w:color w:val="000000" w:themeColor="text1"/>
          <w:sz w:val="24"/>
          <w:highlight w:val="white"/>
        </w:rPr>
        <w:t xml:space="preserve">ựng chỉ mang tính chất tham khảo. Ngoài ra, Tổ thẩm định không có trách nhiệm xác minh chủ sở hữu công trình xây dựng trên. Kính đề nghị đơn vị sử dụng kết quả lưu ý.</w:t>
      </w:r>
      <w:r>
        <w:rPr>
          <w:color w:val="000000" w:themeColor="text1"/>
        </w:rPr>
      </w:r>
      <w:r>
        <w:rPr>
          <w:color w:val="000000" w:themeColor="text1"/>
        </w:rPr>
      </w:r>
    </w:p>
    <w:p>
      <w:pPr>
        <w:pStyle w:val="1033"/>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33"/>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3"/>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3"/>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3"/>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3"/>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3"/>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275/2026/0665/VFI-CT.53.A</w:t>
      </w:r>
      <w:r>
        <w:rPr>
          <w:color w:val="ff0000"/>
          <w:lang w:val="vi-VN"/>
        </w:rPr>
        <w:t xml:space="preserve"> </w:t>
      </w:r>
      <w:r>
        <w:rPr>
          <w:color w:val="000000" w:themeColor="text1"/>
        </w:rPr>
        <w:t xml:space="preserve">ngày 4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bCs/>
          <w:u w:val="single"/>
          <w:lang w:val="vi-VN"/>
        </w:rPr>
      </w:pPr>
      <w:r>
        <w:rPr>
          <w:b/>
          <w:u w:val="single"/>
          <w:lang w:val="vi-VN"/>
        </w:rPr>
      </w:r>
      <w:r>
        <w:rPr>
          <w:b/>
          <w:bCs/>
          <w:u w:val="single"/>
          <w:lang w:val="vi-VN"/>
        </w:rPr>
      </w:r>
      <w:r>
        <w:rPr>
          <w:b/>
          <w:bCs/>
          <w:u w:val="single"/>
          <w:lang w:val="vi-VN"/>
        </w:rPr>
      </w:r>
    </w:p>
    <w:p>
      <w:pPr>
        <w:pBdr/>
        <w:spacing w:after="200" w:line="276" w:lineRule="auto"/>
        <w:ind/>
        <w:rPr>
          <w:b/>
          <w:bCs/>
          <w:u w:val="single"/>
          <w:lang w:val="vi-VN"/>
        </w:rPr>
      </w:pPr>
      <w:r>
        <w:rPr>
          <w:b/>
          <w:bCs/>
          <w:u w:val="single"/>
          <w:lang w:val="vi-VN"/>
        </w:rPr>
      </w:r>
      <w:r>
        <w:rPr>
          <w:b/>
          <w:bCs/>
          <w:u w:val="single"/>
          <w:lang w:val="vi-VN"/>
        </w:rPr>
      </w:r>
      <w:r>
        <w:rPr>
          <w:b/>
          <w:bCs/>
          <w:u w:val="single"/>
          <w:lang w:val="vi-VN"/>
        </w:rPr>
      </w:r>
    </w:p>
    <w:p>
      <w:pPr>
        <w:pBdr/>
        <w:spacing w:after="200" w:line="276" w:lineRule="auto"/>
        <w:ind/>
        <w:rPr>
          <w:b/>
          <w:bCs/>
          <w:u w:val="single"/>
          <w:lang w:val="vi-VN"/>
        </w:rPr>
      </w:pPr>
      <w:r>
        <w:rPr>
          <w:b/>
          <w:bCs/>
          <w:u w:val="single"/>
          <w:lang w:val="vi-VN"/>
        </w:rPr>
      </w:r>
      <w:r>
        <w:rPr>
          <w:b/>
          <w:bCs/>
          <w:u w:val="single"/>
          <w:lang w:val="vi-VN"/>
        </w:rPr>
      </w:r>
      <w:r>
        <w:rPr>
          <w:b/>
          <w:bCs/>
          <w:u w:val="single"/>
          <w:lang w:val="vi-VN"/>
        </w:rPr>
      </w:r>
    </w:p>
    <w:p>
      <w:pPr>
        <w:pBdr/>
        <w:spacing w:after="200" w:line="276" w:lineRule="auto"/>
        <w:ind/>
        <w:rPr>
          <w:b/>
          <w:bCs/>
          <w:u w:val="single"/>
          <w:lang w:val="vi-VN"/>
        </w:rPr>
      </w:pPr>
      <w:r>
        <w:rPr>
          <w:b/>
          <w:bCs/>
          <w:u w:val="single"/>
          <w:lang w:val="vi-VN"/>
        </w:rPr>
      </w:r>
      <w:r>
        <w:rPr>
          <w:b/>
          <w:bCs/>
          <w:u w:val="single"/>
          <w:lang w:val="vi-VN"/>
        </w:rPr>
      </w:r>
      <w:r>
        <w:rPr>
          <w:b/>
          <w:bCs/>
          <w:u w:val="single"/>
          <w:lang w:val="vi-VN"/>
        </w:rPr>
      </w:r>
    </w:p>
    <w:p>
      <w:pPr>
        <w:pBdr/>
        <w:spacing w:after="200" w:line="276" w:lineRule="auto"/>
        <w:ind/>
        <w:rPr>
          <w:b/>
          <w:bCs/>
          <w:u w:val="single"/>
          <w:lang w:val="vi-VN"/>
        </w:rPr>
      </w:pPr>
      <w:r>
        <w:rPr>
          <w:b/>
          <w:bCs/>
          <w:u w:val="single"/>
          <w:lang w:val="vi-VN"/>
        </w:rPr>
      </w:r>
      <w:r>
        <w:rPr>
          <w:b/>
          <w:bCs/>
          <w:u w:val="single"/>
          <w:lang w:val="vi-VN"/>
        </w:rPr>
      </w:r>
      <w:r>
        <w:rPr>
          <w:b/>
          <w:bCs/>
          <w:u w:val="single"/>
          <w:lang w:val="vi-VN"/>
        </w:rPr>
      </w:r>
    </w:p>
    <w:p>
      <w:pPr>
        <w:pBdr/>
        <w:spacing w:after="200" w:line="276" w:lineRule="auto"/>
        <w:ind/>
        <w:rPr>
          <w:b/>
          <w:bCs/>
          <w:u w:val="single"/>
          <w:lang w:val="vi-VN"/>
        </w:rPr>
      </w:pPr>
      <w:r>
        <w:rPr>
          <w:b/>
          <w:bCs/>
          <w:u w:val="single"/>
          <w:lang w:val="vi-VN"/>
        </w:rPr>
      </w:r>
      <w:r>
        <w:rPr>
          <w:b/>
          <w:bCs/>
          <w:u w:val="single"/>
          <w:lang w:val="vi-VN"/>
        </w:rPr>
      </w:r>
      <w:r>
        <w:rPr>
          <w:b/>
          <w:bCs/>
          <w:u w:val="single"/>
          <w:lang w:val="vi-VN"/>
        </w:rPr>
      </w:r>
    </w:p>
    <w:p>
      <w:pPr>
        <w:pBdr/>
        <w:spacing w:after="200" w:line="276" w:lineRule="auto"/>
        <w:ind/>
        <w:rPr>
          <w:b/>
          <w:bCs/>
          <w:u w:val="single"/>
          <w:lang w:val="vi-VN"/>
        </w:rPr>
      </w:pPr>
      <w:r>
        <w:rPr>
          <w:b/>
          <w:bCs/>
          <w:u w:val="single"/>
          <w:lang w:val="vi-VN"/>
        </w:rPr>
      </w:r>
      <w:r>
        <w:rPr>
          <w:b/>
          <w:bCs/>
          <w:u w:val="single"/>
          <w:lang w:val="vi-VN"/>
        </w:rPr>
      </w:r>
      <w:r>
        <w:rPr>
          <w:b/>
          <w:bCs/>
          <w:u w:val="single"/>
          <w:lang w:val="vi-VN"/>
        </w:rPr>
      </w:r>
    </w:p>
    <w:p>
      <w:pPr>
        <w:pBdr/>
        <w:spacing w:after="200" w:line="276" w:lineRule="auto"/>
        <w:ind/>
        <w:rPr>
          <w:b/>
          <w:bCs/>
          <w:u w:val="single"/>
          <w:lang w:val="vi-VN"/>
        </w:rPr>
      </w:pPr>
      <w:r>
        <w:rPr>
          <w:b/>
          <w:u w:val="single"/>
          <w:lang w:val="vi-VN"/>
        </w:rPr>
      </w:r>
      <w:r>
        <w:rPr>
          <w:b/>
          <w:bCs/>
          <w:u w:val="single"/>
          <w:lang w:val="vi-VN"/>
        </w:rPr>
      </w:r>
      <w:r>
        <w:rPr>
          <w:b/>
          <w:bCs/>
          <w:u w:val="single"/>
          <w:lang w:val="vi-VN"/>
        </w:rPr>
      </w:r>
    </w:p>
    <w:p>
      <w:pPr>
        <w:pBdr/>
        <w:spacing w:after="200" w:line="276" w:lineRule="auto"/>
        <w:ind/>
        <w:jc w:val="center"/>
        <w:rPr>
          <w:b/>
          <w:u w:val="single"/>
          <w:lang w:val="vi-VN"/>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275/2026/0665/VFI-BC.53.A</w:t>
      </w:r>
      <w:r>
        <w:rPr>
          <w:i/>
          <w:lang w:val="pt-BR"/>
        </w:rPr>
        <w:t xml:space="preserve"> ngày </w:t>
      </w:r>
      <w:r>
        <w:rPr>
          <w:i/>
          <w:lang w:val="pt-BR"/>
        </w:rPr>
        <w:t xml:space="preserve">4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507929" cy="2194999"/>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589939" name=""/>
                              <pic:cNvPicPr>
                                <a:picLocks noChangeAspect="1"/>
                              </pic:cNvPicPr>
                              <pic:nvPr/>
                            </pic:nvPicPr>
                            <pic:blipFill rotWithShape="1">
                              <a:blip r:embed="rId18"/>
                              <a:stretch/>
                            </pic:blipFill>
                            <pic:spPr bwMode="auto">
                              <a:xfrm flipH="0" flipV="0">
                                <a:off x="0" y="0"/>
                                <a:ext cx="1507929" cy="21949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8.73pt;height:172.83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99144" cy="209935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212341" name=""/>
                              <pic:cNvPicPr>
                                <a:picLocks noChangeAspect="1"/>
                              </pic:cNvPicPr>
                              <pic:nvPr/>
                            </pic:nvPicPr>
                            <pic:blipFill rotWithShape="1">
                              <a:blip r:embed="rId19"/>
                              <a:stretch/>
                            </pic:blipFill>
                            <pic:spPr bwMode="auto">
                              <a:xfrm flipH="0" flipV="0">
                                <a:off x="0" y="0"/>
                                <a:ext cx="2799143" cy="20993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0.41pt;height:165.3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left"/>
              <w:rPr>
                <w:b/>
                <w:bCs/>
                <w:i/>
                <w:lang w:val="pt-BR"/>
              </w:rPr>
            </w:pPr>
            <w:r>
              <w:rPr>
                <w:b/>
                <w:bCs/>
                <w:i/>
                <w:lang w:val="pt-BR"/>
              </w:rPr>
              <w:t xml:space="preserve">            Đường trước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84455" cy="223834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95823" name=""/>
                              <pic:cNvPicPr>
                                <a:picLocks noChangeAspect="1"/>
                              </pic:cNvPicPr>
                              <pic:nvPr/>
                            </pic:nvPicPr>
                            <pic:blipFill rotWithShape="1">
                              <a:blip r:embed="rId20"/>
                              <a:stretch/>
                            </pic:blipFill>
                            <pic:spPr bwMode="auto">
                              <a:xfrm flipH="0" flipV="0">
                                <a:off x="0" y="0"/>
                                <a:ext cx="2984454" cy="22383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5.00pt;height:176.2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74287" cy="215571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568066" name=""/>
                              <pic:cNvPicPr>
                                <a:picLocks noChangeAspect="1"/>
                              </pic:cNvPicPr>
                              <pic:nvPr/>
                            </pic:nvPicPr>
                            <pic:blipFill rotWithShape="1">
                              <a:blip r:embed="rId21"/>
                              <a:stretch/>
                            </pic:blipFill>
                            <pic:spPr bwMode="auto">
                              <a:xfrm flipH="0" flipV="0">
                                <a:off x="0" y="0"/>
                                <a:ext cx="2874286" cy="21557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6.32pt;height:169.7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75551" cy="277707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948378" name=""/>
                              <pic:cNvPicPr>
                                <a:picLocks noChangeAspect="1"/>
                              </pic:cNvPicPr>
                              <pic:nvPr/>
                            </pic:nvPicPr>
                            <pic:blipFill rotWithShape="1">
                              <a:blip r:embed="rId22"/>
                              <a:stretch/>
                            </pic:blipFill>
                            <pic:spPr bwMode="auto">
                              <a:xfrm flipH="0" flipV="0">
                                <a:off x="0" y="0"/>
                                <a:ext cx="2675550" cy="27770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0.67pt;height:218.67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375596" cy="260656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965729" name=""/>
                              <pic:cNvPicPr>
                                <a:picLocks noChangeAspect="1"/>
                              </pic:cNvPicPr>
                              <pic:nvPr/>
                            </pic:nvPicPr>
                            <pic:blipFill rotWithShape="1">
                              <a:blip r:embed="rId23"/>
                              <a:stretch/>
                            </pic:blipFill>
                            <pic:spPr bwMode="auto">
                              <a:xfrm flipH="0" flipV="0">
                                <a:off x="0" y="0"/>
                                <a:ext cx="2375596" cy="26065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7.05pt;height:205.24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77816" cy="2881963"/>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608527" name=""/>
                              <pic:cNvPicPr>
                                <a:picLocks noChangeAspect="1"/>
                              </pic:cNvPicPr>
                              <pic:nvPr/>
                            </pic:nvPicPr>
                            <pic:blipFill rotWithShape="1">
                              <a:blip r:embed="rId24"/>
                              <a:stretch/>
                            </pic:blipFill>
                            <pic:spPr bwMode="auto">
                              <a:xfrm flipH="0" flipV="0">
                                <a:off x="0" y="0"/>
                                <a:ext cx="2477815" cy="28819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95.10pt;height:226.93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452403" cy="258930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470264" name=""/>
                              <pic:cNvPicPr>
                                <a:picLocks noChangeAspect="1"/>
                              </pic:cNvPicPr>
                              <pic:nvPr/>
                            </pic:nvPicPr>
                            <pic:blipFill rotWithShape="1">
                              <a:blip r:embed="rId25"/>
                              <a:stretch/>
                            </pic:blipFill>
                            <pic:spPr bwMode="auto">
                              <a:xfrm flipH="0" flipV="0">
                                <a:off x="0" y="0"/>
                                <a:ext cx="3452402" cy="25893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71.84pt;height:203.88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275/2026/0665/VFI-BC.53.A</w:t>
      </w:r>
      <w:r>
        <w:rPr>
          <w:i/>
          <w:lang w:val="pt-BR"/>
        </w:rPr>
        <w:t xml:space="preserve"> </w:t>
      </w:r>
      <w:r>
        <w:rPr>
          <w:i/>
          <w:lang w:val="pt-BR"/>
        </w:rPr>
        <w:t xml:space="preserve">ngày 4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Nguồn tham khảo</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https://batdongsan.com.vn/ban-nha-biet-thu-lien-ke-duong-le-trong-tan-phuong-phu-la-prj-la-casta-van-phu/lk-lacasta-mp-tong-tat-thang-73m2-x-5t-thang-may-2-thoang-via-he-8m-kd-dinh-28-ty-tl-pr45054188</w:t>
            </w:r>
            <w:r>
              <w:rPr>
                <w:rFonts w:ascii="Times New Roman" w:hAnsi="Times New Roman" w:eastAsia="Times New Roman" w:cs="Times New Roman"/>
                <w:color w:val="000000" w:themeColor="text1"/>
                <w:sz w:val="22"/>
                <w:szCs w:val="22"/>
              </w:rPr>
              <w:br/>
              <w:t xml:space="preserve">0982880335</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br/>
              <w:t xml:space="preserve">(Huy Nguyễn</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 rao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28.000.000.000</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 thương lượng/bán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25.200.000.000</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Tình trạng giao dịch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sz w:val="22"/>
                <w:szCs w:val="22"/>
              </w:rPr>
              <w:t xml:space="preserve">Đang giao dịch</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Thời điểm thu thập thông tin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Tháng 04/2026</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Pháp lý</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Giấy chứng nhận quyền sử dụng đất</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Mục đích sử dụng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Đất ở tại đô thị (72,5m²)</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Thời hạn sử dụng đất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Đất ở tại đô thị – Lâu dài</w:t>
            </w:r>
            <w:r>
              <w:rPr>
                <w:rFonts w:ascii="Times New Roman" w:hAnsi="Times New Roman" w:cs="Times New Roman"/>
                <w:sz w:val="22"/>
                <w:szCs w:val="22"/>
              </w:rPr>
            </w:r>
            <w:r>
              <w:rPr>
                <w:rFonts w:ascii="Times New Roman" w:hAnsi="Times New Roman" w:cs="Times New Roman"/>
                <w:sz w:val="22"/>
                <w:szCs w:val="22"/>
              </w:rPr>
            </w:r>
          </w:p>
        </w:tc>
      </w:tr>
      <w:tr>
        <w:trPr>
          <w:trHeight w:val="463"/>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Vị trí</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Tài sản tại: Phường Kiến Hưng, Thành phố Hà Nội, Tài sản nằm tiếp giáp mặt đường Tống Tất Thắng </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Giao thông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Đường nhựa có vỉa hè</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745632" cy="2271806"/>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5745631" cy="227180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52.41pt;height:178.88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448572" cy="2113090"/>
                      <wp:effectExtent l="0" t="0" r="0" b="0"/>
                      <wp:docPr id="15" name=""/>
                      <wp:cNvGraphicFramePr/>
                      <a:graphic xmlns:a="http://schemas.openxmlformats.org/drawingml/2006/main">
                        <a:graphicData uri="http://schemas.openxmlformats.org/drawingml/2006/picture">
                          <pic:pic xmlns:pic="http://schemas.openxmlformats.org/drawingml/2006/picture">
                            <pic:nvPicPr>
                              <pic:cNvPr id="765453983" name="" descr=""/>
                              <pic:cNvPicPr/>
                              <pic:nvPr/>
                            </pic:nvPicPr>
                            <pic:blipFill rotWithShape="1">
                              <a:blip r:embed="rId27"/>
                              <a:stretch/>
                            </pic:blipFill>
                            <pic:spPr bwMode="auto">
                              <a:xfrm flipH="0" flipV="0">
                                <a:off x="0" y="0"/>
                                <a:ext cx="4448571" cy="211308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50.28pt;height:166.39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0984042591</w:t>
            </w:r>
            <w:r>
              <w:rPr>
                <w:sz w:val="22"/>
                <w:szCs w:val="22"/>
              </w:rPr>
              <w:t xml:space="preserve"> </w:t>
            </w:r>
            <w:r>
              <w:rPr>
                <w:sz w:val="22"/>
                <w:szCs w:val="22"/>
              </w:rPr>
              <w:br/>
              <w:t xml:space="preserve">(Dũng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Đất ở tại đô thị – Lâu dài</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Tài sản tại: Phường Kiến Hưng, Thành phố Hà Nội, Tài sản nằm tiếp giáp mặt đường Văn Khê </w:t>
            </w:r>
            <w:r>
              <w:rPr>
                <w:rFonts w:ascii="Times New Roman" w:hAnsi="Times New Roman" w:cs="Times New Roman"/>
              </w:rPr>
            </w:r>
            <w:r>
              <w:rPr>
                <w:rFonts w:ascii="Times New Roman" w:hAnsi="Times New Roman" w:cs="Times New Roman"/>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930952"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393095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09.52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429978"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342997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70.08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w:t>
            </w:r>
            <w:r>
              <w:rPr>
                <w:color w:val="000000" w:themeColor="text1"/>
                <w:sz w:val="22"/>
                <w:szCs w:val="22"/>
              </w:rPr>
              <w:t xml:space="preserve">vn/ban-nha-biet-thu-lien-ke-duong-van-la-phuong-phu-la-khu-do-thi-moi-van-phu/gia-tot-nhat-ha-dong-55m-7-tang-thang-may-kinh-doanh-full-noi-that-s</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(55m²)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Tài sản tại: Phường Kiến Hưng, Thành phố Hà Nội, Tài sản nằm cách chợ Phú La khoảng 50m </w:t>
            </w:r>
            <w:r>
              <w:rPr>
                <w:rFonts w:ascii="Times New Roman" w:hAnsi="Times New Roman" w:cs="Times New Roman"/>
              </w:rPr>
            </w:r>
            <w:r>
              <w:rPr>
                <w:rFonts w:ascii="Times New Roman" w:hAnsi="Times New Roman" w:cs="Times New Roman"/>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724319"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572431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50.73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777459"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577745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54.92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Trần Thị Thanh Tâm</w:t>
            </w:r>
            <w:r>
              <w:rPr>
                <w:highlight w:val="none"/>
              </w:rPr>
            </w:r>
            <w:r>
              <w:rPr>
                <w:highlight w:val="none"/>
              </w:rP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HỒ SƠ PHÁP LÝ </w:t>
      </w:r>
      <w:r>
        <w:rPr>
          <w:b/>
          <w:bCs/>
          <w:iCs/>
          <w:highlight w:val="none"/>
          <w:lang w:val="pt-BR"/>
        </w:rPr>
      </w:r>
      <w:r>
        <w:rPr>
          <w:b/>
          <w:bCs/>
          <w:iCs/>
          <w:highlight w:val="none"/>
          <w:lang w:val="pt-BR"/>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575477" cy="8767303"/>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304812" name=""/>
                        <pic:cNvPicPr>
                          <a:picLocks noChangeAspect="1"/>
                        </pic:cNvPicPr>
                        <pic:nvPr/>
                      </pic:nvPicPr>
                      <pic:blipFill rotWithShape="1">
                        <a:blip r:embed="rId32"/>
                        <a:stretch/>
                      </pic:blipFill>
                      <pic:spPr bwMode="auto">
                        <a:xfrm flipH="0" flipV="0">
                          <a:off x="0" y="0"/>
                          <a:ext cx="6575477" cy="87673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517.75pt;height:690.34pt;mso-wrap-distance-left:0.00pt;mso-wrap-distance-top:0.00pt;mso-wrap-distance-right:0.00pt;mso-wrap-distance-bottom:0.00pt;z-index:1;" stroked="false">
                <v:imagedata r:id="rId32" o:title=""/>
                <o:lock v:ext="edit" rotation="t"/>
              </v:shape>
            </w:pict>
          </mc:Fallback>
        </mc:AlternateContent>
      </w:r>
      <w:r>
        <w:rPr>
          <w:highlight w:val="none"/>
        </w:rPr>
      </w:r>
      <w:r>
        <w:rPr>
          <w:highlight w:val="none"/>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514695" cy="868626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222293" name=""/>
                        <pic:cNvPicPr>
                          <a:picLocks noChangeAspect="1"/>
                        </pic:cNvPicPr>
                        <pic:nvPr/>
                      </pic:nvPicPr>
                      <pic:blipFill rotWithShape="1">
                        <a:blip r:embed="rId33"/>
                        <a:stretch/>
                      </pic:blipFill>
                      <pic:spPr bwMode="auto">
                        <a:xfrm flipH="0" flipV="0">
                          <a:off x="0" y="0"/>
                          <a:ext cx="6514695" cy="86862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512.97pt;height:683.96pt;mso-wrap-distance-left:0.00pt;mso-wrap-distance-top:0.00pt;mso-wrap-distance-right:0.00pt;mso-wrap-distance-bottom:0.00pt;z-index:1;" stroked="false">
                <v:imagedata r:id="rId33"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rPr>
      </w:pPr>
      <w:r>
        <w:rPr>
          <w:b/>
          <w:bCs/>
          <w:highlight w:val="none"/>
        </w:rPr>
        <w:t xml:space="preserve">BIÊN BẢN KHẢO SÁT </w:t>
      </w:r>
      <w:r>
        <w:rPr>
          <w:b/>
          <w:bCs/>
          <w:highlight w:val="none"/>
        </w:rPr>
      </w:r>
      <w:r>
        <w:rPr>
          <w:b/>
          <w:bCs/>
          <w:highlight w:val="none"/>
        </w:rPr>
      </w:r>
    </w:p>
    <w:p>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159528" name=""/>
                        <pic:cNvPicPr>
                          <a:picLocks noChangeAspect="1"/>
                        </pic:cNvPicPr>
                        <pic:nvPr/>
                      </pic:nvPicPr>
                      <pic:blipFill rotWithShape="1">
                        <a:blip r:embed="rId3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4"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FEF4CE8"/>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48184FA7"/>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096B843D"/>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540F55AF"/>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name w:val="Unresolved Mention"/>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288</cp:revision>
  <dcterms:created xsi:type="dcterms:W3CDTF">2025-09-15T09:58:00Z</dcterms:created>
  <dcterms:modified xsi:type="dcterms:W3CDTF">2026-05-08T02:38:16Z</dcterms:modified>
</cp:coreProperties>
</file>