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1635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1635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275/2026/0233/VFI-CT.24.A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Trịnh Vũ Hảo</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178(1f), tờ bản đồ số: 5I-I-14, có địa chỉ tại: Số 19, ngách 185/28 tở 25A, phường Minh Khai, quận Hai Bà Trưng</w:t>
                            </w:r>
                            <w:r>
                              <w:rPr>
                                <w:i/>
                                <w:iCs/>
                                <w:color w:val="000000"/>
                              </w:rPr>
                              <w:t xml:space="preserve"> (Nay là số 19, ngá</w:t>
                            </w:r>
                            <w:r>
                              <w:rPr>
                                <w:i/>
                                <w:iCs/>
                                <w:color w:val="000000"/>
                              </w:rPr>
                              <w:t xml:space="preserve">ch 28/3 ngõ 211 Minh Khai, phường Bạch Mai, quận Hai Bà Trưng)</w:t>
                            </w:r>
                            <w:r>
                              <w:rPr>
                                <w:color w:val="000000"/>
                              </w:rPr>
                              <w:t xml:space="preserve"> theo Giấy chứng nhận quyền sử dụng đất quyền sở hữu nhà ở và tài sản khác gắn liền với đất số BN272478 số vào sổ cấp GCN CH00891 do UBND quận Hai Bà Trưng cấp ngày 27/5/2013 cho ông Trịnh Vũ Hảo</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49.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275/2026/0233/VFI-CT.24.A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Trịnh Vũ Hảo</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178(1f), tờ bản đồ số: 5I-I-14, có địa chỉ tại: Số 19, ngách 185/28 tở 25A, phường Minh Khai, quận Hai Bà Trưng</w:t>
                      </w:r>
                      <w:r>
                        <w:rPr>
                          <w:i/>
                          <w:iCs/>
                          <w:color w:val="000000"/>
                        </w:rPr>
                        <w:t xml:space="preserve"> (Nay là số 19, ngá</w:t>
                      </w:r>
                      <w:r>
                        <w:rPr>
                          <w:i/>
                          <w:iCs/>
                          <w:color w:val="000000"/>
                        </w:rPr>
                        <w:t xml:space="preserve">ch 28/3 ngõ 211 Minh Khai, phường Bạch Mai, quận Hai Bà Trưng)</w:t>
                      </w:r>
                      <w:r>
                        <w:rPr>
                          <w:color w:val="000000"/>
                        </w:rPr>
                        <w:t xml:space="preserve"> theo Giấy chứng nhận quyền sử dụng đất quyền sở hữu nhà ở và tài sản khác gắn liền với đất số BN272478 số vào sổ cấp GCN CH00891 do UBND quận Hai Bà Trưng cấp ngày 27/5/2013 cho ông Trịnh Vũ Hảo</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4-23</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24-25</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26-32</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36" w:type="dxa"/>
        <w:tblBorders/>
        <w:tblLayout w:type="fixed"/>
        <w:tblLook w:val="04A0" w:firstRow="1" w:lastRow="0" w:firstColumn="1" w:lastColumn="0" w:noHBand="0" w:noVBand="1"/>
      </w:tblPr>
      <w:tblGrid>
        <w:gridCol w:w="29"/>
        <w:gridCol w:w="1699"/>
        <w:gridCol w:w="1844"/>
        <w:gridCol w:w="6364"/>
      </w:tblGrid>
      <w:tr>
        <w:trPr>
          <w:trHeight w:val="1152"/>
        </w:trPr>
        <w:tc>
          <w:tcPr>
            <w:gridSpan w:val="2"/>
            <w:tcBorders/>
            <w:tcW w:w="172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20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3543"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 </w:t>
            </w:r>
            <w:r>
              <w:rPr>
                <w:rStyle w:val="1025"/>
                <w:rFonts w:ascii="Times New Roman" w:hAnsi="Times New Roman"/>
                <w:color w:val="000000" w:themeColor="text1"/>
                <w:lang w:val="pt-BR"/>
              </w:rPr>
              <w:t xml:space="preserve">275/2026/0233/VFI-CT.24.A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364"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w:t>
            </w:r>
            <w:r>
              <w:rPr>
                <w:rStyle w:val="1025"/>
                <w:rFonts w:ascii="Times New Roman" w:hAnsi="Times New Roman"/>
                <w:i/>
                <w:color w:val="auto"/>
              </w:rPr>
              <w:t xml:space="preserve">Hà</w:t>
            </w:r>
            <w:r>
              <w:rPr>
                <w:rStyle w:val="1025"/>
                <w:rFonts w:ascii="Times New Roman" w:hAnsi="Times New Roman"/>
                <w:i/>
                <w:color w:val="auto"/>
              </w:rPr>
              <w:t xml:space="preserve"> </w:t>
            </w:r>
            <w:r>
              <w:rPr>
                <w:rStyle w:val="1025"/>
                <w:rFonts w:ascii="Times New Roman" w:hAnsi="Times New Roman"/>
                <w:i/>
                <w:color w:val="auto"/>
              </w:rPr>
              <w:t xml:space="preserve">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29 tháng 01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Trịnh Vũ Hảo</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275/2026/0233/VFI-HĐTĐ.24.A</w:t>
      </w:r>
      <w:r>
        <w:rPr>
          <w:spacing w:val="-4"/>
          <w:lang w:val="vi-VN"/>
        </w:rPr>
        <w:t xml:space="preserve"> ký ngày </w:t>
      </w:r>
      <w:r>
        <w:rPr>
          <w:color w:val="000000" w:themeColor="text1"/>
          <w:spacing w:val="-4"/>
        </w:rPr>
        <w:t xml:space="preserve">29 tháng 01 năm 2026</w:t>
      </w:r>
      <w:r>
        <w:rPr>
          <w:spacing w:val="-4"/>
          <w:lang w:val="vi-VN"/>
        </w:rPr>
        <w:t xml:space="preserve"> </w:t>
      </w:r>
      <w:r>
        <w:rPr>
          <w:spacing w:val="-4"/>
          <w:lang w:val="vi-VN"/>
        </w:rPr>
        <w:t xml:space="preserve">giữa </w:t>
      </w:r>
      <w:r>
        <w:rPr>
          <w:color w:val="000000" w:themeColor="text1"/>
          <w:spacing w:val="-4"/>
        </w:rPr>
        <w:t xml:space="preserve">Trịnh Vũ Hảo</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275/2026/0233/VFI-BC.24.A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29 tháng 01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pacing w:val="-8"/>
                <w:sz w:val="24"/>
              </w:rPr>
              <w:t xml:space="preserve">Ông Trịnh Vũ Hảo</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036072006919</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Tổ 16, phường Tương Mai, thành phố Hà Nội</w:t>
            </w: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842" w:type="dxa"/>
        <w:tblBorders/>
        <w:tblLayout w:type="fixed"/>
        <w:tblLook w:val="04A0" w:firstRow="1" w:lastRow="0" w:firstColumn="1" w:lastColumn="0" w:noHBand="0" w:noVBand="1"/>
      </w:tblPr>
      <w:tblGrid>
        <w:gridCol w:w="2046"/>
        <w:gridCol w:w="216"/>
        <w:gridCol w:w="7579"/>
      </w:tblGrid>
      <w:tr>
        <w:trPr>
          <w:trHeight w:val="20"/>
        </w:trPr>
        <w:tc>
          <w:tcPr>
            <w:tcBorders/>
            <w:tcW w:w="2046"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16"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579" w:type="dxa"/>
            <w:vAlign w:val="center"/>
            <w:textDirection w:val="lrTb"/>
            <w:noWrap w:val="false"/>
          </w:tcPr>
          <w:p>
            <w:pPr>
              <w:pBdr/>
              <w:spacing w:after="40" w:before="40" w:line="276" w:lineRule="auto"/>
              <w:ind/>
              <w:jc w:val="both"/>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046"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16"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579"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046"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16"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579"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046"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16"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579"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046"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16"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579"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046"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16"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579"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046"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16"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579"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046"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16"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579" w:type="dxa"/>
            <w:vAlign w:val="center"/>
            <w:textDirection w:val="lrTb"/>
            <w:noWrap w:val="false"/>
          </w:tcPr>
          <w:p>
            <w:pPr>
              <w:pBdr/>
              <w:spacing w:after="40" w:before="40" w:line="276" w:lineRule="auto"/>
              <w:ind/>
              <w:jc w:val="both"/>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178(1f), tờ bản đồ số: 5I-I-14, có địa chỉ tại: Số 19, ngách 185/28 tở 25A, phường Minh Khai, quận Hai Bà Trưng </w:t>
      </w:r>
      <w:r>
        <w:rPr>
          <w:i/>
          <w:iCs/>
          <w:color w:val="000000" w:themeColor="text1"/>
        </w:rPr>
        <w:t xml:space="preserve">(Nay là số 19, ngá</w:t>
      </w:r>
      <w:r>
        <w:rPr>
          <w:i/>
          <w:iCs/>
          <w:color w:val="000000" w:themeColor="text1"/>
        </w:rPr>
        <w:t xml:space="preserve">ch 28/3 ngõ 211 Minh Khai, phường Bạch Mai, quận Hai Bà Trưng) </w:t>
      </w:r>
      <w:r>
        <w:rPr>
          <w:color w:val="000000" w:themeColor="text1"/>
        </w:rPr>
        <w:t xml:space="preserve">theo Giấy chứng nhận quyền sử dụng đất quyền sở hữu nhà ở và tài sản khác gắn liền với đất số BN272478 số vào sổ cấp GCN CH00891 do UBND quận Hai Bà Trưng cấp ngày 27/5/2013 cho ông Trịnh Vũ Hảo</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4995"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10"/>
        <w:gridCol w:w="2358"/>
        <w:gridCol w:w="1802"/>
        <w:gridCol w:w="2581"/>
        <w:gridCol w:w="2164"/>
      </w:tblGrid>
      <w:tr>
        <w:trPr>
          <w:trHeight w:val="20"/>
        </w:trPr>
        <w:tc>
          <w:tcPr>
            <w:shd w:val="clear" w:color="000000" w:fill="ffffff"/>
            <w:tcBorders/>
            <w:tcW w:w="610"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358"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610"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741"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178(1f), tờ bản đồ số: 5I-I-14, có địa chỉ tại: Số 19, ngách 185/28 tở 25A, phường Minh Khai, quận Hai Bà Trưng (Nay là số 19, ngá</w:t>
            </w:r>
            <w:r>
              <w:rPr>
                <w:b/>
                <w:bCs/>
                <w:color w:val="000000"/>
              </w:rPr>
              <w:t xml:space="preserve">c</w:t>
            </w:r>
            <w:r>
              <w:rPr>
                <w:b/>
                <w:bCs/>
                <w:color w:val="000000"/>
              </w:rPr>
              <w:t xml:space="preserve">h 28/3 ngõ 211 Minh Khai, phường Bạch Mai, quận Hai Bà Trưng) theo Giấy chứng nhận quyền sử dụng đất quyền sở hữu nhà ở và tài sản khác gắn liền với đất số BN272478 số vào sổ cấp GCN CH00891 do UBND quận Hai Bà Trưng cấp ngày 27/5/2013 cho ông Trịnh Vũ Hảo</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10"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358"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80,5</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174.000.000</w:t>
            </w:r>
            <w:r/>
          </w:p>
        </w:tc>
        <w:tc>
          <w:tcPr>
            <w:shd w:val="clear" w:color="000000" w:fill="ffffff"/>
            <w:tcBorders/>
            <w:tcW w:w="2164" w:type="dxa"/>
            <w:vAlign w:val="center"/>
            <w:textDirection w:val="lrTb"/>
            <w:noWrap w:val="false"/>
          </w:tcPr>
          <w:p>
            <w:pPr>
              <w:pBdr/>
              <w:spacing/>
              <w:ind/>
              <w:jc w:val="right"/>
              <w:rPr/>
            </w:pPr>
            <w:r>
              <w:t xml:space="preserve">14.007.000.000</w:t>
            </w:r>
            <w:r>
              <w:rPr>
                <w:b/>
                <w:bCs/>
                <w:color w:val="000000"/>
              </w:rPr>
            </w:r>
            <w:r/>
          </w:p>
        </w:tc>
      </w:tr>
      <w:tr>
        <w:trPr>
          <w:trHeight w:val="20"/>
        </w:trPr>
        <w:tc>
          <w:tcPr>
            <w:gridSpan w:val="4"/>
            <w:tcBorders/>
            <w:tcW w:w="7352"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ind/>
              <w:jc w:val="right"/>
              <w:rPr>
                <w:b/>
                <w:bCs/>
              </w:rPr>
            </w:pPr>
            <w:r>
              <w:rPr>
                <w:b/>
                <w:bCs/>
              </w:rPr>
            </w:r>
            <w:r>
              <w:rPr>
                <w:b/>
                <w:bCs/>
              </w:rPr>
              <w:t xml:space="preserve">14.007.000.000</w:t>
            </w:r>
            <w:r>
              <w:rPr>
                <w:b/>
                <w:bCs/>
              </w:rPr>
            </w:r>
            <w:r>
              <w:rPr>
                <w:b/>
                <w:bCs/>
              </w:rPr>
            </w:r>
          </w:p>
        </w:tc>
      </w:tr>
      <w:tr>
        <w:trPr>
          <w:trHeight w:val="20"/>
        </w:trPr>
        <w:tc>
          <w:tcPr>
            <w:gridSpan w:val="4"/>
            <w:tcBorders/>
            <w:tcW w:w="7352"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ind/>
              <w:jc w:val="right"/>
              <w:rPr>
                <w:b/>
                <w:bCs/>
              </w:rPr>
            </w:pPr>
            <w:r>
              <w:rPr>
                <w:b/>
                <w:bCs/>
              </w:rPr>
            </w:r>
            <w:r>
              <w:rPr>
                <w:b/>
                <w:bCs/>
              </w:rPr>
              <w:t xml:space="preserve">14.007.000.000</w:t>
            </w:r>
            <w:r>
              <w:rPr>
                <w:b/>
                <w:bCs/>
              </w:rPr>
            </w:r>
            <w:r>
              <w:rPr>
                <w:b/>
                <w:bCs/>
              </w:rPr>
            </w:r>
          </w:p>
        </w:tc>
      </w:tr>
      <w:tr>
        <w:trPr>
          <w:trHeight w:val="20"/>
        </w:trPr>
        <w:tc>
          <w:tcPr>
            <w:gridSpan w:val="5"/>
            <w:tcBorders/>
            <w:tcW w:w="9516"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bốn tỷ, không trăm linh bảy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217" w:type="dxa"/>
        <w:tblBorders/>
        <w:tblLayout w:type="fixed"/>
        <w:tblLook w:val="04A0" w:firstRow="1" w:lastRow="0" w:firstColumn="1" w:lastColumn="0" w:noHBand="0" w:noVBand="1"/>
      </w:tblPr>
      <w:tblGrid>
        <w:gridCol w:w="29"/>
        <w:gridCol w:w="1609"/>
        <w:gridCol w:w="2501"/>
        <w:gridCol w:w="6078"/>
      </w:tblGrid>
      <w:tr>
        <w:trPr>
          <w:trHeight w:val="1152"/>
        </w:trPr>
        <w:tc>
          <w:tcPr>
            <w:gridSpan w:val="2"/>
            <w:tcBorders/>
            <w:tcW w:w="163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579"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4110"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 </w:t>
            </w:r>
            <w:r>
              <w:rPr>
                <w:rStyle w:val="1025"/>
                <w:rFonts w:ascii="Times New Roman" w:hAnsi="Times New Roman"/>
                <w:color w:val="000000" w:themeColor="text1"/>
                <w:lang w:val="pt-BR"/>
              </w:rPr>
              <w:t xml:space="preserve">275/2026/0233/VFI-CT.24.A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078"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w:t>
            </w:r>
            <w:r>
              <w:rPr>
                <w:rStyle w:val="1025"/>
                <w:rFonts w:ascii="Times New Roman" w:hAnsi="Times New Roman"/>
                <w:i/>
                <w:color w:val="auto"/>
              </w:rPr>
              <w:t xml:space="preserve">Hà</w:t>
            </w:r>
            <w:r>
              <w:rPr>
                <w:rStyle w:val="1025"/>
                <w:rFonts w:ascii="Times New Roman" w:hAnsi="Times New Roman"/>
                <w:i/>
                <w:color w:val="auto"/>
              </w:rPr>
              <w:t xml:space="preserve"> </w:t>
            </w:r>
            <w:r>
              <w:rPr>
                <w:rStyle w:val="1025"/>
                <w:rFonts w:ascii="Times New Roman" w:hAnsi="Times New Roman"/>
                <w:i/>
                <w:color w:val="auto"/>
              </w:rPr>
              <w:t xml:space="preserve">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29 tháng 01 năm 2026</w:t>
            </w:r>
            <w:r>
              <w:rPr>
                <w:color w:val="000000" w:themeColor="text1"/>
                <w:sz w:val="24"/>
                <w:szCs w:val="24"/>
                <w:lang w:val="vi-VN"/>
              </w:rPr>
            </w:r>
            <w:r>
              <w:rPr>
                <w:color w:val="000000" w:themeColor="text1"/>
                <w:sz w:val="24"/>
                <w:szCs w:val="24"/>
                <w:lang w:val="vi-VN"/>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275/2026/0233/VFI-CT.24.A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29 tháng 01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ayout w:type="fixed"/>
        <w:tblLook w:val="04A0" w:firstRow="1" w:lastRow="0" w:firstColumn="1" w:lastColumn="0" w:noHBand="0" w:noVBand="1"/>
      </w:tblPr>
      <w:tblGrid>
        <w:gridCol w:w="2046"/>
        <w:gridCol w:w="283"/>
        <w:gridCol w:w="7451"/>
      </w:tblGrid>
      <w:tr>
        <w:trPr>
          <w:trHeight w:val="20"/>
        </w:trPr>
        <w:tc>
          <w:tcPr>
            <w:tcBorders/>
            <w:tcW w:w="2046"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451" w:type="dxa"/>
            <w:vAlign w:val="center"/>
            <w:textDirection w:val="lrTb"/>
            <w:noWrap w:val="false"/>
          </w:tcPr>
          <w:p>
            <w:pPr>
              <w:pBdr/>
              <w:spacing w:after="60" w:before="60" w:line="276" w:lineRule="auto"/>
              <w:ind w:right="-145" w:firstLine="0" w:left="0"/>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046"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451"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046"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7451"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046"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451"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046"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451"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046"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3"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451"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046"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3"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451"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pacing w:val="-8"/>
                <w:sz w:val="24"/>
              </w:rPr>
              <w:t xml:space="preserve">Ông Trịnh Vũ Hảo</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036072006919</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Tổ 16, phường Tương Mai, thành phố Hà Nội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Số hợp đồng</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rStyle w:val="1025"/>
                <w:rFonts w:ascii="Times New Roman" w:hAnsi="Times New Roman"/>
                <w:color w:val="000000" w:themeColor="text1"/>
                <w:lang w:val="pt-BR"/>
              </w:rPr>
              <w:t xml:space="preserve">275/2026/0233/VFI-HĐTĐ.24.A</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178(1f), tờ bản đồ số: 5I-I-14, có địa chỉ tại: Số 19, ngách 185/28 tở 25A, phường Minh Khai, quận Hai Bà Trưng </w:t>
            </w:r>
            <w:r>
              <w:rPr>
                <w:bCs/>
                <w:i/>
                <w:iCs/>
                <w:color w:val="000000" w:themeColor="text1"/>
                <w:lang w:val="pt-BR"/>
              </w:rPr>
              <w:t xml:space="preserve">(Nay là số 19, ngá</w:t>
            </w:r>
            <w:r>
              <w:rPr>
                <w:bCs/>
                <w:i/>
                <w:iCs/>
                <w:color w:val="000000" w:themeColor="text1"/>
                <w:lang w:val="pt-BR"/>
              </w:rPr>
              <w:t xml:space="preserve">ch 28/3 ngõ 211 Minh Khai, phường Bạch Mai, quận Hai Bà Trưng)</w:t>
            </w:r>
            <w:r>
              <w:rPr>
                <w:bCs/>
                <w:color w:val="000000" w:themeColor="text1"/>
                <w:lang w:val="pt-BR"/>
              </w:rPr>
              <w:t xml:space="preserve"> theo Giấy chứng nhận quyền sử dụng đất quyền sở hữu nhà ở và tài sản khác gắn liền với đất số BN272478 số vào sổ cấp GCN CH00891 do UBND quận Hai Bà Trưng cấp ngày 27/5/2013 cho ông Trịnh Vũ Hảo</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Bạch Mai, quận Hai Bà Trưng</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20.996222222222, 105.85736111111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7"/>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w:t>
      </w:r>
      <w:r>
        <w:rPr>
          <w:bCs/>
          <w:color w:val="000000" w:themeColor="text1"/>
          <w:lang w:val="pt-BR"/>
        </w:rPr>
        <w:t xml:space="preserve">s</w:t>
      </w:r>
      <w:r>
        <w:rPr>
          <w:bCs/>
          <w:color w:val="000000" w:themeColor="text1"/>
          <w:lang w:val="pt-BR"/>
        </w:rPr>
        <w:t xml:space="preserve">ản khác gắn liền với đất số BN272478 số vào sổ cấp GCN CH00891 tại thửa đất số: 178(1f), tờ bản đồ số: 5I-I-14, có địa chỉ tại: Số 19, ngách 185/28 tở 25A, phường Minh Khai, quận Hai Bà theo do UBND quận Hai Bà Trưng cấp ngày 27/5/2013 cho ông Trịnh Vũ Hảo</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thẩm định giá số </w:t>
      </w:r>
      <w:r>
        <w:rPr>
          <w:rStyle w:val="1025"/>
          <w:rFonts w:ascii="Times New Roman" w:hAnsi="Times New Roman"/>
          <w:color w:val="000000" w:themeColor="text1"/>
          <w:lang w:val="pt-BR"/>
        </w:rPr>
        <w:t xml:space="preserve">275/2026/0233/VFI-HĐTĐ.24.A </w:t>
      </w:r>
      <w:r>
        <w:rPr>
          <w:color w:val="000000" w:themeColor="text1"/>
          <w:lang w:val="pt-BR"/>
        </w:rPr>
        <w:t xml:space="preserve">ngày 29/01/2026 giữa Ông Trịnh Vũ Hảo với Công ty Cổ phần Thẩm định và Đầu tư Tài chính Hoa Sen.</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lang w:val="pt-BR"/>
        </w:rPr>
        <w:tab/>
      </w:r>
      <w:r>
        <w:rPr>
          <w:rFonts w:ascii="Times New Roman" w:hAnsi="Times New Roman" w:eastAsia="Times New Roman" w:cs="Times New Roman"/>
          <w:b/>
          <w:i/>
          <w:color w:val="000000"/>
          <w:sz w:val="24"/>
        </w:rPr>
        <w:t xml:space="preserve">Bất động sản Hà Nội 2025: Những điểm nhấn nổi bật nửa đầu năm</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Giao dịch chững, người mua thận trọng khi xuống tiền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360"/>
        <w:jc w:val="both"/>
        <w:rPr/>
      </w:pPr>
      <w:r>
        <w:rPr>
          <w:rFonts w:ascii="Times New Roman" w:hAnsi="Times New Roman" w:eastAsia="Times New Roman" w:cs="Times New Roman"/>
          <w:color w:val="000000"/>
          <w:sz w:val="24"/>
        </w:rPr>
        <w:t xml:space="preserve">Theo dữ liệu của One Mount Group, trong quý 1/2025, thị trường bất động sản Hà Nội ghi nhận tổng cộng 18.300 giao dịch, trong đó bao gồm 8.300 giao dịch sơ cấp (mua trực tiếp từ chủ đầu tư) và 10.100 giao dịch thứ cấp (chuyển nhượng lại trên thị trường). </w:t>
      </w:r>
      <w:r>
        <w:rPr>
          <w:rFonts w:ascii="Times New Roman" w:hAnsi="Times New Roman" w:eastAsia="Times New Roman" w:cs="Times New Roman"/>
          <w:color w:val="000000"/>
          <w:sz w:val="24"/>
        </w:rPr>
        <w:t xml:space="preserve">Con số này giảm 14% so với cùng kỳ năm 2024. </w:t>
      </w:r>
      <w:r>
        <w:rPr>
          <w:rFonts w:ascii="Times New Roman" w:hAnsi="Times New Roman" w:eastAsia="Times New Roman" w:cs="Times New Roman"/>
          <w:color w:val="000000"/>
          <w:sz w:val="24"/>
        </w:rPr>
        <w:t xml:space="preserve">Sự sụt giảm nhẹ về lượng giao dịch phản ánh tâm lý thận trọng của nhà đầu tư và người mua ở thực, trong bối cảnh các yếu tố vĩ mô như siết tín dụng, thủ tục pháp lý và quá trình thanh lọc các dự án kém minh bạch</w:t>
      </w:r>
      <w:r>
        <w:rPr>
          <w:rFonts w:ascii="Times New Roman" w:hAnsi="Times New Roman" w:eastAsia="Times New Roman" w:cs="Times New Roman"/>
          <w:color w:val="000000"/>
          <w:sz w:val="24"/>
        </w:rPr>
        <w:t xml:space="preserve"> vẫn đang tiếp diễn. Bên cạnh đó, giá bất động sản Hà Nội đặc biệt là phân khúc chung cư tăng mạnh trong thời gian dài cũng khiến người mua nhà gặp nhiều khó khăn hơn khi muốn tiếp cận sản phẩm.</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Thanh khoản phân hóa theo khu vực</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360"/>
        <w:jc w:val="both"/>
        <w:rPr/>
      </w:pPr>
      <w:r>
        <w:rPr>
          <w:rFonts w:ascii="Times New Roman" w:hAnsi="Times New Roman" w:eastAsia="Times New Roman" w:cs="Times New Roman"/>
          <w:color w:val="000000"/>
          <w:sz w:val="24"/>
        </w:rPr>
        <w:t xml:space="preserve">Giao dịch </w:t>
      </w:r>
      <w:r>
        <w:rPr>
          <w:rFonts w:ascii="Times New Roman" w:hAnsi="Times New Roman" w:eastAsia="Times New Roman" w:cs="Times New Roman"/>
          <w:color w:val="000000"/>
          <w:sz w:val="24"/>
          <w:szCs w:val="24"/>
        </w:rPr>
        <w:t xml:space="preserve">tại </w:t>
      </w:r>
      <w:r>
        <w:rPr>
          <w:rFonts w:ascii="Times New Roman" w:hAnsi="Times New Roman" w:eastAsia="Times New Roman" w:cs="Times New Roman"/>
          <w:color w:val="000000"/>
          <w:sz w:val="24"/>
        </w:rPr>
        <w:t xml:space="preserve">khu vực trung tâm Hà Nội như Ba Đình, Hoàn Kiếm, Đống Đa giảm rõ rệt – chủ yếu do giá bán quá cao và quỹ đất hạn chế. Ngược lại, các khu vực ngoại thành như Đông Anh, Hoài Đức, Thanh Trì, Gia Lâm lại ghi nhận mức độ quan tâm và thanh khoản t</w:t>
      </w:r>
      <w:r>
        <w:rPr>
          <w:rFonts w:ascii="Times New Roman" w:hAnsi="Times New Roman" w:eastAsia="Times New Roman" w:cs="Times New Roman"/>
          <w:color w:val="000000"/>
          <w:sz w:val="24"/>
        </w:rPr>
        <w:t xml:space="preserve">ích cực hơn, đặc biệt là trong phân khúc nhà ở gắn liền với đất và căn hộ trung cấp. Theo One Mount Group, lượng tiêu thụ căn hộ mở mới trong quý 1/2025 giảm khoảng 3.200 căn, tương ứng 71% theo quý và 23% theo năm. Tỷ lệ hấp thụ lũy kế trong quý chỉ đạt 8</w:t>
      </w:r>
      <w:r>
        <w:rPr>
          <w:rFonts w:ascii="Times New Roman" w:hAnsi="Times New Roman" w:eastAsia="Times New Roman" w:cs="Times New Roman"/>
          <w:color w:val="000000"/>
          <w:sz w:val="24"/>
        </w:rPr>
        <w:t xml:space="preserve">0%. Ngoài ra, tình trạng trầm lắng cục bộ cũng diễn ra, khi phân khúc đất nền và nhà phố tại nội đô giảm nhiệt rõ rệt, trong khi một số khu vực vùng ven lại giữ được sức hút nhờ giá mềm và quy hoạch hạ tầng thuận lợi.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Nguồn cung dự án mới cải thiện nhưng chưa bùng nổ</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360"/>
        <w:jc w:val="both"/>
        <w:rPr/>
      </w:pPr>
      <w:r>
        <w:rPr>
          <w:rFonts w:ascii="Times New Roman" w:hAnsi="Times New Roman" w:eastAsia="Times New Roman" w:cs="Times New Roman"/>
          <w:color w:val="000000"/>
          <w:sz w:val="24"/>
        </w:rPr>
        <w:t xml:space="preserve">Tình trạng khan hiếm dự án mở bán mới vẫn tiếp tục diễn ra với thị trường Hà Nội. Tuy nhiên, từ đầu năm 2025</w:t>
      </w:r>
      <w:r>
        <w:rPr>
          <w:rFonts w:ascii="Times New Roman" w:hAnsi="Times New Roman" w:eastAsia="Times New Roman" w:cs="Times New Roman"/>
          <w:color w:val="000000"/>
          <w:sz w:val="24"/>
        </w:rPr>
        <w:t xml:space="preserve">, tình hình đã bắt đầu có dấu hiệu cải thiện nhẹ khi một số chủ đầu tư giới thiệu dự án ra thị trường. Các dự án mới tập trung ở một số dự án lớn t</w:t>
      </w:r>
      <w:r>
        <w:rPr>
          <w:rFonts w:ascii="Times New Roman" w:hAnsi="Times New Roman" w:eastAsia="Times New Roman" w:cs="Times New Roman"/>
          <w:color w:val="000000"/>
          <w:sz w:val="24"/>
        </w:rPr>
        <w:t xml:space="preserve">ại Gia Lâm, Đông Anh và Thạch Thất, chủ yếu thuộc phân khúc cao cấp, hạng sang. Nhiều chủ đầu tư đang đẩy nhanh tiến độ pháp lý để kịp giới thiệu sản phẩm ra thị trường trong nửa cuối năm 2025 – đặc biệt trong bối cảnh tâm lý người mua đang dần khởi sắc tr</w:t>
      </w:r>
      <w:r>
        <w:rPr>
          <w:rFonts w:ascii="Times New Roman" w:hAnsi="Times New Roman" w:eastAsia="Times New Roman" w:cs="Times New Roman"/>
          <w:color w:val="000000"/>
          <w:sz w:val="24"/>
        </w:rPr>
        <w:t xml:space="preserve">ở lại.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Tín Hiệu phục hồi từ nhu cầu thực</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360"/>
        <w:jc w:val="both"/>
        <w:rPr/>
      </w:pPr>
      <w:r>
        <w:rPr>
          <w:rFonts w:ascii="Times New Roman" w:hAnsi="Times New Roman" w:eastAsia="Times New Roman" w:cs="Times New Roman"/>
          <w:color w:val="000000"/>
          <w:sz w:val="24"/>
        </w:rPr>
        <w:t xml:space="preserve">Theo dữ liệu trực tuyến của Batdongsan.com.vn, từ đầu tháng 3, lượt tìm kiếm BĐS Hà Nội hồi phục trở lại khi ghi nhận mức tăng 27% so với tháng 2. Số liệu từ Savills và các sàn giao dịch lớn cho thấy mức độ quan tâm tới căn hộ trung cấp và nhà thấp tầng đ</w:t>
      </w:r>
      <w:r>
        <w:rPr>
          <w:rFonts w:ascii="Times New Roman" w:hAnsi="Times New Roman" w:eastAsia="Times New Roman" w:cs="Times New Roman"/>
          <w:color w:val="000000"/>
          <w:sz w:val="24"/>
        </w:rPr>
        <w:t xml:space="preserve">ang tăng lên, nhất là ở nhóm khách hàng mua để ở, thay vì đầu </w:t>
      </w:r>
      <w:r>
        <w:rPr>
          <w:rFonts w:ascii="Times New Roman" w:hAnsi="Times New Roman" w:eastAsia="Times New Roman" w:cs="Times New Roman"/>
          <w:color w:val="000000"/>
          <w:sz w:val="24"/>
        </w:rPr>
        <w:t xml:space="preserve">cơ. Đây là chỉ dấu tích cực cho thấy thị trường đang trở lại nền tảng thực – thay vì các cơn “sốt ảo” như giai đoạn 2020–2021. Giá nhà đất, đặc biệt là căn hộ tăng cao trong khi nguồn cung khan </w:t>
      </w:r>
      <w:r>
        <w:rPr>
          <w:rFonts w:ascii="Times New Roman" w:hAnsi="Times New Roman" w:eastAsia="Times New Roman" w:cs="Times New Roman"/>
          <w:color w:val="000000"/>
          <w:sz w:val="24"/>
        </w:rPr>
        <w:t xml:space="preserve">hiếm và tâm lý thận trọng của người mua khiến nhu cầu mua trong giai đoạn này không còn nặng tính đầu cơ, chủ yếu là người có nhu cầu thực mua để an cư. Nhìn chung, thị trường bất động sản Hà Nội đầu năm 2025 đang vận động trong trạng thái ổn định – thanh </w:t>
      </w:r>
      <w:r>
        <w:rPr>
          <w:rFonts w:ascii="Times New Roman" w:hAnsi="Times New Roman" w:eastAsia="Times New Roman" w:cs="Times New Roman"/>
          <w:color w:val="000000"/>
          <w:sz w:val="24"/>
        </w:rPr>
        <w:t xml:space="preserve">lọc – tích lũy, với thanh khoản tập trung tại các phân khúc có giá hợp lý và pháp lý rõ ràng. Tâm lý người mua cải thiện, nhưng vẫn chọn lọc và thận trọng trước khi xuống tiền.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b/>
          <w:i/>
          <w:color w:val="000000"/>
          <w:sz w:val="24"/>
        </w:rPr>
        <w:tab/>
        <w:t xml:space="preserve">Nhận định chuyên gia và dự báo thị trường BĐS Hà Nội 2025</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360"/>
        <w:jc w:val="both"/>
        <w:rPr/>
      </w:pPr>
      <w:r>
        <w:rPr>
          <w:rFonts w:ascii="Times New Roman" w:hAnsi="Times New Roman" w:eastAsia="Times New Roman" w:cs="Times New Roman"/>
          <w:color w:val="000000"/>
          <w:sz w:val="24"/>
        </w:rPr>
        <w:t xml:space="preserve">Trong bối cảnh thị trường đang từng bước ổn định và dần định hình sau giai đoạn siết tín dụng và </w:t>
      </w:r>
      <w:r>
        <w:rPr>
          <w:rFonts w:ascii="Times New Roman" w:hAnsi="Times New Roman" w:eastAsia="Times New Roman" w:cs="Times New Roman"/>
          <w:color w:val="000000"/>
          <w:sz w:val="24"/>
          <w:szCs w:val="24"/>
        </w:rPr>
        <w:t xml:space="preserve">thanh </w:t>
      </w:r>
      <w:r>
        <w:rPr>
          <w:rFonts w:ascii="Times New Roman" w:hAnsi="Times New Roman" w:eastAsia="Times New Roman" w:cs="Times New Roman"/>
          <w:color w:val="000000"/>
          <w:sz w:val="24"/>
        </w:rPr>
        <w:t xml:space="preserve">lọc đầu tư, các chuyên gia cho rằng năm 2025 sẽ là “bản lề” quan trọng cho chu kỳ phục hồi của BĐS Hà Nội.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Tín hiệu phục hồi bền vững từ nhu cầu thực</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360"/>
        <w:jc w:val="both"/>
        <w:rPr/>
      </w:pPr>
      <w:r>
        <w:rPr>
          <w:rFonts w:ascii="Times New Roman" w:hAnsi="Times New Roman" w:eastAsia="Times New Roman" w:cs="Times New Roman"/>
          <w:color w:val="000000"/>
          <w:sz w:val="24"/>
        </w:rPr>
        <w:t xml:space="preserve">Theo báo cáo của Savills Việt Nam và các đơn vị nghiên cứu thị trường lớn như DKRA, Batdongsan.com.vn, lượng quan tâm tới bất động sản tại Hà Nội đã tăng trở lại trong quý 1/2025, đặc biệt ở nhóm khách hàng mua để ở và tích sản trung – dài hạn. “Nhu cầu t</w:t>
      </w:r>
      <w:r>
        <w:rPr>
          <w:rFonts w:ascii="Times New Roman" w:hAnsi="Times New Roman" w:eastAsia="Times New Roman" w:cs="Times New Roman"/>
          <w:color w:val="000000"/>
          <w:sz w:val="24"/>
        </w:rPr>
        <w:t xml:space="preserve">hực vẫn đang chiếm tỷ trọng lớn. </w:t>
      </w:r>
      <w:r>
        <w:rPr>
          <w:rFonts w:ascii="Times New Roman" w:hAnsi="Times New Roman" w:eastAsia="Times New Roman" w:cs="Times New Roman"/>
          <w:color w:val="000000"/>
          <w:sz w:val="24"/>
          <w:szCs w:val="24"/>
        </w:rPr>
        <w:t xml:space="preserve">Người </w:t>
      </w:r>
      <w:r>
        <w:rPr>
          <w:rFonts w:ascii="Times New Roman" w:hAnsi="Times New Roman" w:eastAsia="Times New Roman" w:cs="Times New Roman"/>
          <w:color w:val="000000"/>
          <w:sz w:val="24"/>
        </w:rPr>
        <w:t xml:space="preserve">mua hiện nay không còn chạy theo ‘sóng ngắn’ mà có xu hướng lựa chọn sản phẩm rõ pháp lý, chủ đầu tư uy tín và vị trí kết nối tốt,” – ông Troy Griffiths, Phó Tổng giám đốc Savills Việt Nam nhận định.</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Sự trở lại thận trọng của nhà đầu tư F0, F1</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360"/>
        <w:jc w:val="both"/>
        <w:rPr/>
      </w:pPr>
      <w:r>
        <w:rPr>
          <w:rFonts w:ascii="Times New Roman" w:hAnsi="Times New Roman" w:eastAsia="Times New Roman" w:cs="Times New Roman"/>
          <w:color w:val="000000"/>
          <w:sz w:val="24"/>
        </w:rPr>
        <w:t xml:space="preserve">Mặc dù thị trường chưa xuất hiện làn sóng đầu tư ồ ạt, nhưng nhà đầu tư F0 và F1 bắt đầu quay trở lại, đặc </w:t>
      </w:r>
      <w:r>
        <w:rPr>
          <w:rFonts w:ascii="Times New Roman" w:hAnsi="Times New Roman" w:eastAsia="Times New Roman" w:cs="Times New Roman"/>
          <w:color w:val="000000"/>
          <w:sz w:val="24"/>
          <w:szCs w:val="24"/>
        </w:rPr>
        <w:t xml:space="preserve">biệt </w:t>
      </w:r>
      <w:r>
        <w:rPr>
          <w:rFonts w:ascii="Times New Roman" w:hAnsi="Times New Roman" w:eastAsia="Times New Roman" w:cs="Times New Roman"/>
          <w:color w:val="000000"/>
          <w:sz w:val="24"/>
        </w:rPr>
        <w:t xml:space="preserve">ở các phân khúc như đất nền ven đô, căn hộ trung cấp có hỗ trợ tài chính. Tuy nhiên, so với giai đoạn 2021–2022, dòng tiền hiện nay tập trung h</w:t>
      </w:r>
      <w:r>
        <w:rPr>
          <w:rFonts w:ascii="Times New Roman" w:hAnsi="Times New Roman" w:eastAsia="Times New Roman" w:cs="Times New Roman"/>
          <w:color w:val="000000"/>
          <w:sz w:val="24"/>
        </w:rPr>
        <w:t xml:space="preserve">ơn, chọn lọc hơn và hướng tới mức sinh lời ổn định thay vì kỳ vọng siêu lợi nhuận.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Tác động từ chính sách và tín dụng</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360"/>
        <w:jc w:val="both"/>
        <w:rPr/>
      </w:pPr>
      <w:r>
        <w:rPr>
          <w:rFonts w:ascii="Times New Roman" w:hAnsi="Times New Roman" w:eastAsia="Times New Roman" w:cs="Times New Roman"/>
          <w:color w:val="000000"/>
          <w:sz w:val="24"/>
          <w:szCs w:val="24"/>
        </w:rPr>
        <w:t xml:space="preserve">Chính </w:t>
      </w:r>
      <w:r>
        <w:rPr>
          <w:rFonts w:ascii="Times New Roman" w:hAnsi="Times New Roman" w:eastAsia="Times New Roman" w:cs="Times New Roman"/>
          <w:color w:val="000000"/>
          <w:sz w:val="24"/>
        </w:rPr>
        <w:t xml:space="preserve">sách vĩ mô sẽ tiếp tục là yếu tố then chốt chi phối thị trường. Việc Ngân hàng Nhà nước giảm lãi suất điều hành từ quý 4/2024 đã bắt đầu có tác dụng kích cầu, tuy nhiên tín dụng bất động sản vẫn đang bị kiểm soát chặt với những phân khúc có yếu tố đ</w:t>
      </w:r>
      <w:r>
        <w:rPr>
          <w:rFonts w:ascii="Times New Roman" w:hAnsi="Times New Roman" w:eastAsia="Times New Roman" w:cs="Times New Roman"/>
          <w:color w:val="000000"/>
          <w:sz w:val="24"/>
        </w:rPr>
        <w:t xml:space="preserve">ầu cơ cao. Đồng thời, Luật Đất đai 2024 (có hiệu lực từ 1/1/2025) cũng tạo kỳ vọng giúp tháo gỡ các vướng mắc pháp lý, đẩy nhanh quá trình phê duyệt dự án và cải thiện nguồn cung trong trung hạn.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Ba kịch bản phát triển từ 2025–2030</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360"/>
        <w:jc w:val="both"/>
        <w:rPr/>
      </w:pPr>
      <w:r>
        <w:rPr>
          <w:rFonts w:ascii="Times New Roman" w:hAnsi="Times New Roman" w:eastAsia="Times New Roman" w:cs="Times New Roman"/>
          <w:color w:val="000000"/>
          <w:sz w:val="24"/>
        </w:rPr>
        <w:t xml:space="preserve">Theo nhóm chuyên gia tại Hội Môi giới Bất động sản Việt Nam (VARS), thị trường Hà Nội có thể diễn biến </w:t>
      </w:r>
      <w:r>
        <w:rPr>
          <w:rFonts w:ascii="Times New Roman" w:hAnsi="Times New Roman" w:eastAsia="Times New Roman" w:cs="Times New Roman"/>
          <w:color w:val="000000"/>
          <w:sz w:val="24"/>
          <w:szCs w:val="24"/>
        </w:rPr>
        <w:t xml:space="preserve">theo </w:t>
      </w:r>
      <w:r>
        <w:rPr>
          <w:rFonts w:ascii="Times New Roman" w:hAnsi="Times New Roman" w:eastAsia="Times New Roman" w:cs="Times New Roman"/>
          <w:color w:val="000000"/>
          <w:sz w:val="24"/>
        </w:rPr>
        <w:t xml:space="preserve">ba kịch bản chính:</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360"/>
        <w:jc w:val="both"/>
        <w:rPr>
          <w:rFonts w:ascii="Times New Roman" w:hAnsi="Times New Roman" w:eastAsia="Times New Roman" w:cs="Times New Roman"/>
          <w:color w:val="000000"/>
          <w:szCs w:val="24"/>
          <w14:ligatures w14:val="none"/>
        </w:rPr>
      </w:pPr>
      <w:r>
        <w:rPr>
          <w:rFonts w:ascii="Times New Roman" w:hAnsi="Times New Roman" w:eastAsia="Times New Roman" w:cs="Times New Roman"/>
          <w:color w:val="000000"/>
          <w:sz w:val="24"/>
        </w:rPr>
        <w:t xml:space="preserve">Kịch bả</w:t>
      </w:r>
      <w:r>
        <w:rPr>
          <w:rFonts w:ascii="Times New Roman" w:hAnsi="Times New Roman" w:eastAsia="Times New Roman" w:cs="Times New Roman"/>
          <w:color w:val="000000"/>
          <w:sz w:val="24"/>
          <w:szCs w:val="24"/>
        </w:rPr>
        <w:t xml:space="preserve">n thứ nhất là thị trường ổn định – phục hồi chậm: Nếu chính sách tiếp tục thận trọng, thị trường sẽ tăng trưởng nhẹ và bền vững trong 2–3 năm tới.</w:t>
      </w:r>
      <w:r>
        <w:rPr>
          <w:rFonts w:ascii="Times New Roman" w:hAnsi="Times New Roman" w:eastAsia="Times New Roman" w:cs="Times New Roman"/>
          <w:color w:val="000000"/>
          <w:szCs w:val="24"/>
          <w14:ligatures w14:val="none"/>
        </w:rPr>
      </w:r>
      <w:r>
        <w:rPr>
          <w:rFonts w:ascii="Times New Roman" w:hAnsi="Times New Roman" w:eastAsia="Times New Roman" w:cs="Times New Roman"/>
          <w:color w:val="000000"/>
          <w:szCs w:val="24"/>
          <w14:ligatures w14: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360"/>
        <w:jc w:val="both"/>
        <w:rPr>
          <w:rFonts w:ascii="Times New Roman" w:hAnsi="Times New Roman" w:eastAsia="Times New Roman" w:cs="Times New Roman"/>
          <w:color w:val="000000"/>
          <w:szCs w:val="24"/>
          <w14:ligatures w14:val="none"/>
        </w:rPr>
      </w:pPr>
      <w:r>
        <w:rPr>
          <w:rFonts w:ascii="Times New Roman" w:hAnsi="Times New Roman" w:eastAsia="Times New Roman" w:cs="Times New Roman"/>
          <w:color w:val="000000"/>
          <w:sz w:val="24"/>
          <w:szCs w:val="24"/>
        </w:rPr>
        <w:t xml:space="preserve">Kịch bản thứ hai là thị trường phục hồi mạnh: Trong trường hợp tín dụng được nới lỏng, pháp lý được tháo gỡ triệt để, thị trường có thể phục hồi rõ nét từ 2026.</w:t>
      </w:r>
      <w:r>
        <w:rPr>
          <w:rFonts w:ascii="Times New Roman" w:hAnsi="Times New Roman" w:eastAsia="Times New Roman" w:cs="Times New Roman"/>
          <w:color w:val="000000"/>
          <w:szCs w:val="24"/>
          <w14:ligatures w14:val="none"/>
        </w:rPr>
      </w:r>
      <w:r>
        <w:rPr>
          <w:rFonts w:ascii="Times New Roman" w:hAnsi="Times New Roman" w:eastAsia="Times New Roman" w:cs="Times New Roman"/>
          <w:color w:val="000000"/>
          <w:szCs w:val="24"/>
          <w14:ligatures w14: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360"/>
        <w:jc w:val="both"/>
        <w:rPr>
          <w:rFonts w:ascii="Times New Roman" w:hAnsi="Times New Roman" w:eastAsia="Times New Roman" w:cs="Times New Roman"/>
          <w:color w:val="000000"/>
          <w:szCs w:val="24"/>
          <w14:ligatures w14:val="none"/>
        </w:rPr>
      </w:pPr>
      <w:r>
        <w:rPr>
          <w:rFonts w:ascii="Times New Roman" w:hAnsi="Times New Roman" w:eastAsia="Times New Roman" w:cs="Times New Roman"/>
          <w:color w:val="000000"/>
          <w:sz w:val="24"/>
          <w:szCs w:val="24"/>
        </w:rPr>
        <w:t xml:space="preserve">Kịch bản thứ ba là thị trường tăng trưởng nóng trở lại: Nếu xuất hiện cú hích lớn từ chính sách ưu đãi (gói tín dụng, ưu đãi thuế…), thị trường có thể bùng nổ, nhưng cũng kèm theo rủi ro nếu không kiểm soát tốt đầu cơ.</w:t>
      </w:r>
      <w:r>
        <w:rPr>
          <w:rFonts w:ascii="Times New Roman" w:hAnsi="Times New Roman" w:eastAsia="Times New Roman" w:cs="Times New Roman"/>
          <w:color w:val="000000"/>
          <w:szCs w:val="24"/>
          <w14:ligatures w14:val="none"/>
        </w:rPr>
      </w:r>
      <w:r>
        <w:rPr>
          <w:rFonts w:ascii="Times New Roman" w:hAnsi="Times New Roman" w:eastAsia="Times New Roman" w:cs="Times New Roman"/>
          <w:color w:val="000000"/>
          <w:szCs w:val="24"/>
          <w14:ligatures w14: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360"/>
        <w:jc w:val="both"/>
        <w:rPr/>
      </w:pPr>
      <w:r>
        <w:rPr>
          <w:rFonts w:ascii="Times New Roman" w:hAnsi="Times New Roman" w:eastAsia="Times New Roman" w:cs="Times New Roman"/>
          <w:color w:val="000000"/>
          <w:sz w:val="24"/>
          <w:szCs w:val="24"/>
        </w:rPr>
        <w:t xml:space="preserve">Thị trường bất động sản Hà Nội đầu 2025 đang đi theo hướng phục hồi chậm nhưng chắc, với sự dẫn dắt từ nhu cầu thực và yếu tố pháp lý. Đây là thời điểm nhà đầu tư cần “chơi dài hơi” – đặt niềm tin vào những khu vực có quy hoạch rõ ràng, pháp lý minh bạch </w:t>
      </w:r>
      <w:r>
        <w:rPr>
          <w:rFonts w:ascii="Times New Roman" w:hAnsi="Times New Roman" w:eastAsia="Times New Roman" w:cs="Times New Roman"/>
          <w:color w:val="000000"/>
          <w:sz w:val="24"/>
          <w:szCs w:val="24"/>
        </w:rPr>
        <w:t xml:space="preserve">và tiềm năng tăng trưởng bền vững. Như vậy, dù còn nhiều khó khăn nhưng thị trường bất động sản Hà Nội trong nửa đầu năm 2025 cho thấy nhiều tín hiệu tích cực sau giai đoạn điều chỉnh kéo dài. Dù chưa có sự bùng nổ rõ nét, nhưng sự ổn định về thanh khoản, </w:t>
      </w:r>
      <w:r>
        <w:rPr>
          <w:rFonts w:ascii="Times New Roman" w:hAnsi="Times New Roman" w:eastAsia="Times New Roman" w:cs="Times New Roman"/>
          <w:color w:val="000000"/>
          <w:sz w:val="24"/>
          <w:szCs w:val="24"/>
        </w:rPr>
        <w:t xml:space="preserve">sự trở lại của nhà đầu tư cá nhân, cùng với các chính sách tháo gỡ pháp lý</w:t>
      </w:r>
      <w:r>
        <w:rPr>
          <w:rFonts w:ascii="Times New Roman" w:hAnsi="Times New Roman" w:eastAsia="Times New Roman" w:cs="Times New Roman"/>
          <w:color w:val="000000"/>
          <w:sz w:val="24"/>
        </w:rPr>
        <w:t xml:space="preserve"> và tín dụng đang dần tạo dựng nền tảng cho một chu kỳ tăng trưởng bền vững hơn.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360"/>
        <w:jc w:val="both"/>
        <w:rPr>
          <w:bCs/>
          <w:i/>
          <w:lang w:val="pt-BR"/>
        </w:rPr>
      </w:pPr>
      <w:r>
        <w:rPr>
          <w:rFonts w:ascii="Times New Roman" w:hAnsi="Times New Roman" w:eastAsia="Times New Roman" w:cs="Times New Roman"/>
          <w:i/>
          <w:iCs/>
          <w:color w:val="000000"/>
          <w:sz w:val="24"/>
        </w:rPr>
        <w:t xml:space="preserve">(Ng</w:t>
      </w:r>
      <w:r>
        <w:rPr>
          <w:rFonts w:ascii="Times New Roman" w:hAnsi="Times New Roman" w:eastAsia="Times New Roman" w:cs="Times New Roman"/>
          <w:i/>
          <w:color w:val="000000"/>
          <w:sz w:val="24"/>
        </w:rPr>
        <w:t xml:space="preserve">uồn tham </w:t>
      </w:r>
      <w:r>
        <w:rPr>
          <w:rFonts w:ascii="Times New Roman" w:hAnsi="Times New Roman" w:eastAsia="Times New Roman" w:cs="Times New Roman"/>
          <w:i/>
          <w:color w:val="000000"/>
          <w:sz w:val="24"/>
        </w:rPr>
        <w:t xml:space="preserve">khảo: https://batdongsan.com.vn/tin-tuc/thi-truong-bat-dong-san-ha-noi-836237)</w:t>
      </w:r>
      <w:r>
        <w:rPr>
          <w:bCs/>
          <w:i/>
          <w:lang w:val="pt-BR"/>
        </w:rPr>
      </w:r>
      <w:r>
        <w:rPr>
          <w:bCs/>
          <w:i/>
          <w:lang w:val="pt-BR"/>
        </w:rP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178(1f), tờ bản đồ số: 5I-I-14, có địa chỉ tại: Số 19, ngách 185/28 tở 25A, phường Minh Khai, quận Hai Bà Trưng (Nay là số 19, ngá</w:t>
            </w:r>
            <w:r>
              <w:rPr>
                <w:b/>
                <w:bCs/>
                <w:color w:val="000000"/>
              </w:rPr>
              <w:t xml:space="preserve">ch 28/3 ngõ 211 Minh Khai, phường Bạch Mai, quận Hai Bà Trưng) theo Giấy chứng nhận quyền sử dụng đất quyền sở hữu nhà ở và tài sản khác gắn liền với đất số BN272478 số vào sổ cấp GCN CH00891 do UBND quận Hai Bà Trưng cấp ngày 27/5/2013 cho ông Trịn Vũ Hảo</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178 (1f)</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5I-I-14</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Số 19, ngách 185/28 tổ 25A, phường Minh Khai, quận Hai Bà Trưng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80,5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highlight w:val="none"/>
              </w:rPr>
            </w:pPr>
            <w:r>
              <w:rPr>
                <w:color w:val="000000"/>
              </w:rPr>
              <w:t xml:space="preserve">Riêng: 80,5 m2</w:t>
            </w:r>
            <w:r>
              <w:rPr>
                <w:color w:val="000000"/>
                <w:highlight w:val="none"/>
              </w:rPr>
            </w:r>
            <w:r>
              <w:rPr>
                <w:color w:val="000000"/>
                <w:highlight w:val="none"/>
              </w:rPr>
            </w:r>
          </w:p>
          <w:p>
            <w:pPr>
              <w:pBdr/>
              <w:spacing/>
              <w:ind/>
              <w:jc w:val="center"/>
              <w:rPr>
                <w:color w:val="000000"/>
              </w:rPr>
            </w:pPr>
            <w:r>
              <w:rPr>
                <w:color w:val="000000"/>
                <w:highlight w:val="none"/>
              </w:rPr>
              <w:t xml:space="preserve">chun: 24,8m2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Nhà nước công nhận quyền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highlight w:val="none"/>
              </w:rPr>
            </w:pPr>
            <w:r>
              <w:rPr>
                <w:color w:val="000000"/>
              </w:rPr>
              <w:t xml:space="preserve">Tại thời điểm thẩm định tổ thẩm định quy hoạch đất của tài sản thẩm định phù hợp với mục đích sử dụng đất được chứng nhận trên GCN. </w:t>
            </w:r>
            <w:r>
              <w:rPr>
                <w:color w:val="000000"/>
                <w:highlight w:val="none"/>
              </w:rPr>
            </w:r>
            <w:r>
              <w:rPr>
                <w:color w:val="000000"/>
                <w:highlight w:val="none"/>
              </w:rPr>
            </w:r>
          </w:p>
          <w:p>
            <w:pPr>
              <w:pBdr/>
              <w:spacing/>
              <w:ind/>
              <w:jc w:val="left"/>
              <w:rPr>
                <w:color w:val="000000"/>
                <w:highlight w:val="none"/>
              </w:rPr>
            </w:pPr>
            <w:r>
              <w:rPr>
                <w:color w:val="000000"/>
                <w:highlight w:val="none"/>
              </w:rPr>
              <w:t xml:space="preserve">Nguồn tham khảo: </w:t>
            </w:r>
            <w:r>
              <w:rPr>
                <w:i/>
                <w:iCs/>
                <w:color w:val="000000"/>
                <w:highlight w:val="none"/>
              </w:rPr>
            </w:r>
            <w:hyperlink r:id="rId17" w:tooltip="https://beta.meeymap.com/tra-cuu-quy-hoach/quan-hai-ba-trung?search=a:20.996210610045082|b:105.85719534528101|c:0|d:1|e:/images/seo-default-2.png." w:history="1">
              <w:r>
                <w:rPr>
                  <w:rStyle w:val="1017"/>
                  <w:i/>
                  <w:iCs/>
                  <w:highlight w:val="none"/>
                </w:rPr>
                <w:t xml:space="preserve">https://beta.meeymap.com/tra-cuu-quy-hoach/quan-hai-ba-trung?search=a:20.996210610045082|b:105.85719534528101|c:0|d:1|e:/images/seo-default-2.png</w:t>
              </w:r>
              <w:r>
                <w:rPr>
                  <w:rStyle w:val="1017"/>
                  <w:i/>
                  <w:iCs/>
                  <w:highlight w:val="none"/>
                </w:rPr>
                <w:t xml:space="preserve">.</w:t>
              </w:r>
              <w:r>
                <w:rPr>
                  <w:rStyle w:val="1017"/>
                  <w:i/>
                  <w:iCs/>
                  <w:highlight w:val="none"/>
                </w:rPr>
              </w:r>
            </w:hyperlink>
            <w:r>
              <w:rPr>
                <w:color w:val="000000"/>
                <w:highlight w:val="none"/>
              </w:rPr>
            </w:r>
            <w:r>
              <w:rPr>
                <w:color w:val="000000"/>
                <w:highlight w:val="none"/>
              </w:rPr>
            </w:r>
          </w:p>
          <w:p>
            <w:pPr>
              <w:pBdr/>
              <w:spacing/>
              <w:ind/>
              <w:jc w:val="both"/>
              <w:rPr>
                <w:color w:val="000000"/>
                <w:highlight w:val="none"/>
              </w:rPr>
            </w:pPr>
            <w:r>
              <w:rPr>
                <w:color w:val="000000"/>
                <w:highlight w:val="none"/>
              </w:rPr>
            </w:r>
            <w:r>
              <w:rPr>
                <w:color w:val="000000"/>
                <w:highlight w:val="none"/>
              </w:rPr>
            </w:r>
            <w:r>
              <w:rPr>
                <w:color w:val="000000"/>
                <w:highlight w:val="none"/>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gridSpan w:val="4"/>
            <w:tcBorders/>
            <w:tcW w:w="8781" w:type="dxa"/>
            <w:vAlign w:val="center"/>
            <w:vMerge w:val="restart"/>
            <w:textDirection w:val="lrTb"/>
            <w:noWrap w:val="false"/>
          </w:tcPr>
          <w:p>
            <w:pPr>
              <w:pBdr/>
              <w:spacing/>
              <w:ind/>
              <w:jc w:val="left"/>
              <w:rPr>
                <w:color w:val="000000"/>
              </w:rPr>
            </w:pPr>
            <w:r>
              <w:rPr>
                <w:color w:val="000000"/>
              </w:rPr>
            </w:r>
            <w:r>
              <mc:AlternateContent>
                <mc:Choice Requires="wpg">
                  <w:drawing>
                    <wp:inline xmlns:wp="http://schemas.openxmlformats.org/drawingml/2006/wordprocessingDrawing" distT="0" distB="0" distL="0" distR="0">
                      <wp:extent cx="5360826" cy="2690464"/>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679767" name=""/>
                              <pic:cNvPicPr>
                                <a:picLocks noChangeAspect="1"/>
                              </pic:cNvPicPr>
                              <pic:nvPr/>
                            </pic:nvPicPr>
                            <pic:blipFill rotWithShape="1">
                              <a:blip r:embed="rId18"/>
                              <a:stretch/>
                            </pic:blipFill>
                            <pic:spPr bwMode="auto">
                              <a:xfrm flipH="0" flipV="0">
                                <a:off x="0" y="0"/>
                                <a:ext cx="5360825" cy="26904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2.11pt;height:211.85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Tiếp giáp 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themeColor="text1"/>
                <w:highlight w:val="none"/>
              </w:rPr>
            </w:pPr>
            <w:r/>
            <w:bookmarkStart w:id="3" w:name="OLE_LINK1"/>
            <w:r>
              <w:rPr>
                <w:color w:val="000000" w:themeColor="text1"/>
              </w:rPr>
              <w:t xml:space="preserve">Hướng Bắc: Tiếp giáp đường giao thông.</w:t>
            </w:r>
            <w:bookmarkEnd w:id="3"/>
            <w:r>
              <w:rPr>
                <w:color w:val="000000" w:themeColor="text1"/>
                <w:highlight w:val="none"/>
              </w:rPr>
            </w:r>
            <w:r>
              <w:rPr>
                <w:color w:val="000000" w:themeColor="text1"/>
                <w:highlight w:val="none"/>
              </w:rPr>
            </w:r>
          </w:p>
          <w:p>
            <w:pPr>
              <w:pBdr/>
              <w:spacing/>
              <w:ind/>
              <w:rPr>
                <w:color w:val="000000" w:themeColor="text1"/>
                <w:highlight w:val="none"/>
              </w:rPr>
            </w:pPr>
            <w:r>
              <w:rPr>
                <w:color w:val="000000" w:themeColor="text1"/>
                <w:highlight w:val="none"/>
              </w:rPr>
              <w:t xml:space="preserve">Hường Nam: Tiếp sân sử dụng chung</w:t>
            </w:r>
            <w:r>
              <w:rPr>
                <w:color w:val="000000" w:themeColor="text1"/>
                <w:highlight w:val="none"/>
              </w:rPr>
            </w:r>
            <w:r>
              <w:rPr>
                <w:color w:val="000000" w:themeColor="text1"/>
                <w:highlight w:val="none"/>
              </w:rPr>
            </w:r>
          </w:p>
          <w:p>
            <w:pPr>
              <w:pBdr/>
              <w:spacing/>
              <w:ind/>
              <w:rPr>
                <w:color w:val="000000" w:themeColor="text1"/>
              </w:rPr>
            </w:pPr>
            <w:r>
              <w:rPr>
                <w:color w:val="000000" w:themeColor="text1"/>
                <w:highlight w:val="none"/>
              </w:rPr>
              <w:t xml:space="preserve">Các hướng còn lại tiếp giáp BĐS khác liền kề.</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20.996222222222</w:t>
            </w:r>
            <w:r>
              <w:rPr>
                <w:color w:val="000000"/>
              </w:rPr>
              <w:t xml:space="preserve">, </w:t>
            </w:r>
            <w:r>
              <w:rPr>
                <w:color w:val="000000"/>
              </w:rPr>
              <w:t xml:space="preserve">105.85736111111</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w:rPr>
                <w:color w:val="000000"/>
              </w:rPr>
              <mc:AlternateContent>
                <mc:Choice Requires="wpg">
                  <w:drawing>
                    <wp:inline xmlns:wp="http://schemas.openxmlformats.org/drawingml/2006/wordprocessingDrawing" distT="0" distB="0" distL="0" distR="0">
                      <wp:extent cx="5409270" cy="2822035"/>
                      <wp:effectExtent l="0" t="0" r="0" b="0"/>
                      <wp:docPr id="6" name=""/>
                      <wp:cNvGraphicFramePr/>
                      <a:graphic xmlns:a="http://schemas.openxmlformats.org/drawingml/2006/main">
                        <a:graphicData uri="http://schemas.openxmlformats.org/drawingml/2006/picture">
                          <pic:pic xmlns:pic="http://schemas.openxmlformats.org/drawingml/2006/picture">
                            <pic:nvPicPr>
                              <pic:cNvPr id="1406303976" name="" descr=""/>
                              <pic:cNvPicPr/>
                              <pic:nvPr/>
                            </pic:nvPicPr>
                            <pic:blipFill rotWithShape="1">
                              <a:blip r:embed="rId19"/>
                              <a:stretch/>
                            </pic:blipFill>
                            <pic:spPr bwMode="auto">
                              <a:xfrm flipH="0" flipV="0">
                                <a:off x="0" y="0"/>
                                <a:ext cx="5409270" cy="28220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5.93pt;height:222.21pt;mso-wrap-distance-left:0.00pt;mso-wrap-distance-top:0.00pt;mso-wrap-distance-right:0.00pt;mso-wrap-distance-bottom:0.00pt;z-index:1;" stroked="false">
                      <v:imagedata r:id="rId19"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80,5</w:t>
            </w:r>
            <w:r>
              <w:rPr>
                <w:color w:val="000000"/>
              </w:rPr>
            </w:r>
            <w:r>
              <w:rPr>
                <w:color w:val="000000"/>
              </w:rPr>
            </w:r>
          </w:p>
        </w:tc>
        <w:tc>
          <w:tcPr>
            <w:tcBorders/>
            <w:tcW w:w="2126" w:type="dxa"/>
            <w:vAlign w:val="center"/>
            <w:textDirection w:val="lrTb"/>
            <w:noWrap w:val="false"/>
          </w:tcPr>
          <w:p>
            <w:pPr>
              <w:pBdr/>
              <w:spacing/>
              <w:ind/>
              <w:rPr/>
            </w:pPr>
            <w:r/>
            <w:r/>
          </w:p>
        </w:tc>
        <w:tc>
          <w:tcPr>
            <w:tcBorders/>
            <w:tcW w:w="2007" w:type="dxa"/>
            <w:vAlign w:val="center"/>
            <w:textDirection w:val="lrTb"/>
            <w:noWrap w:val="false"/>
          </w:tcPr>
          <w:p>
            <w:pPr>
              <w:pBdr/>
              <w:spacing/>
              <w:ind/>
              <w:rPr/>
            </w:pPr>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8,64</w:t>
            </w:r>
            <w:r>
              <w:rPr>
                <w:color w:val="000000"/>
              </w:rPr>
            </w:r>
            <w:r>
              <w:rPr>
                <w:color w:val="000000"/>
              </w:rPr>
            </w:r>
          </w:p>
        </w:tc>
        <w:tc>
          <w:tcPr>
            <w:tcBorders/>
            <w:tcW w:w="2126" w:type="dxa"/>
            <w:vAlign w:val="center"/>
            <w:textDirection w:val="lrTb"/>
            <w:noWrap w:val="false"/>
          </w:tcPr>
          <w:p>
            <w:pPr>
              <w:pBdr/>
              <w:spacing/>
              <w:ind/>
              <w:rPr/>
            </w:pPr>
            <w:r/>
            <w:r/>
          </w:p>
        </w:tc>
        <w:tc>
          <w:tcPr>
            <w:tcBorders/>
            <w:tcW w:w="2007" w:type="dxa"/>
            <w:vAlign w:val="center"/>
            <w:textDirection w:val="lrTb"/>
            <w:noWrap w:val="false"/>
          </w:tcPr>
          <w:p>
            <w:pPr>
              <w:pBdr/>
              <w:spacing/>
              <w:ind/>
              <w:rPr/>
            </w:pPr>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Công trình xây dựng trên đất là nhà 4 tầng, diện tích sàn xây dựng khoảng 68m2, diện tích sàn xây dựng khoảng 2</w:t>
            </w:r>
            <w:r>
              <w:rPr>
                <w:color w:val="000000"/>
              </w:rPr>
              <w:t xml:space="preserve">72m2. Công trình có kết cấu tường gạch, mái bằng BTCT đã hoàn thiện đang sử dụng bình thường. Công trình xây dựng chưa được chứng nhận trên GCN số BN272478. Do đó theo yêu cầu của khách hàng tổ thẩm định không xác định giá trị công trình xây dựng trên đất.</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1"/>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Số 19, ngách 185/28 tổ 25A, phường Minh Khai, quận Hai Bà Trưng ✔</w:t>
            </w:r>
            <w:r/>
          </w:p>
        </w:tc>
        <w:tc>
          <w:tcPr>
            <w:tcBorders/>
            <w:tcW w:w="1605" w:type="dxa"/>
            <w:vAlign w:val="center"/>
            <w:textDirection w:val="lrTb"/>
            <w:noWrap w:val="false"/>
          </w:tcPr>
          <w:p>
            <w:pPr>
              <w:pBdr/>
              <w:spacing/>
              <w:ind/>
              <w:jc w:val="center"/>
              <w:rPr/>
            </w:pPr>
            <w:r>
              <w:t xml:space="preserve">Số 19, ngách 28/3 ngõ 211 phố Minh Khai, quận Hai Bà Trưng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Phường Bạch Mai, Thành phố Hà Nội</w:t>
            </w:r>
            <w:r/>
          </w:p>
        </w:tc>
        <w:tc>
          <w:tcPr>
            <w:tcBorders/>
            <w:tcW w:w="1605" w:type="dxa"/>
            <w:vAlign w:val="center"/>
            <w:textDirection w:val="lrTb"/>
            <w:noWrap w:val="false"/>
          </w:tcPr>
          <w:p>
            <w:pPr>
              <w:pBdr/>
              <w:spacing/>
              <w:ind/>
              <w:jc w:val="center"/>
              <w:rPr/>
            </w:pPr>
            <w:r>
              <w:t xml:space="preserve">Phường Minh Khai, Quận Hai Bà Trưng, Thành phố Hà Nội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Sau sáp nhập</w:t>
            </w:r>
            <w:r/>
          </w:p>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VT3</w:t>
            </w:r>
            <w:r/>
          </w:p>
        </w:tc>
        <w:tc>
          <w:tcPr>
            <w:tcBorders/>
            <w:tcW w:w="1605" w:type="dxa"/>
            <w:vAlign w:val="center"/>
            <w:textDirection w:val="lrTb"/>
            <w:noWrap w:val="false"/>
          </w:tcPr>
          <w:p>
            <w:pPr>
              <w:pBdr/>
              <w:spacing/>
              <w:ind/>
              <w:jc w:val="center"/>
              <w:rPr/>
            </w:pPr>
            <w:r>
              <w:t xml:space="preserve">VT3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bê tông</w:t>
            </w:r>
            <w:r/>
          </w:p>
        </w:tc>
        <w:tc>
          <w:tcPr>
            <w:tcBorders/>
            <w:tcW w:w="1605" w:type="dxa"/>
            <w:vAlign w:val="center"/>
            <w:textDirection w:val="lrTb"/>
            <w:noWrap w:val="false"/>
          </w:tcPr>
          <w:p>
            <w:pPr>
              <w:pBdr/>
              <w:spacing/>
              <w:ind/>
              <w:jc w:val="center"/>
              <w:rPr/>
            </w:pPr>
            <w:r>
              <w:t xml:space="preserve">Đường bê tông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2 ✔</w:t>
            </w:r>
            <w:r/>
          </w:p>
        </w:tc>
        <w:tc>
          <w:tcPr>
            <w:tcBorders/>
            <w:tcW w:w="1605" w:type="dxa"/>
            <w:vAlign w:val="center"/>
            <w:textDirection w:val="lrTb"/>
            <w:noWrap w:val="false"/>
          </w:tcPr>
          <w:p>
            <w:pPr>
              <w:pBdr/>
              <w:spacing/>
              <w:ind/>
              <w:jc w:val="center"/>
              <w:rPr/>
            </w:pPr>
            <w:r>
              <w:t xml:space="preserve">2 ✔</w:t>
            </w:r>
            <w:r/>
          </w:p>
        </w:tc>
        <w:tc>
          <w:tcPr>
            <w:tcBorders/>
            <w:tcW w:w="1371" w:type="dxa"/>
            <w:vAlign w:val="center"/>
            <w:textDirection w:val="lrTb"/>
            <w:noWrap w:val="false"/>
          </w:tcPr>
          <w:p>
            <w:pPr>
              <w:pBdr/>
              <w:spacing/>
              <w:ind/>
              <w:jc w:val="center"/>
              <w:rPr/>
            </w:pPr>
            <w:r>
              <w:t xml:space="preserve">Khổn</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t xml:space="preserve">Hạ tầng khu dân cư thông thường</w:t>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Khá</w:t>
            </w:r>
            <w:r/>
          </w:p>
        </w:tc>
        <w:tc>
          <w:tcPr>
            <w:tcBorders/>
            <w:tcW w:w="1605" w:type="dxa"/>
            <w:vAlign w:val="center"/>
            <w:textDirection w:val="lrTb"/>
            <w:noWrap w:val="false"/>
          </w:tcPr>
          <w:p>
            <w:pPr>
              <w:pBdr/>
              <w:spacing/>
              <w:ind/>
              <w:jc w:val="center"/>
              <w:rPr/>
            </w:pPr>
            <w:r>
              <w:t xml:space="preserve">Khá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80,5</w:t>
            </w:r>
            <w:r/>
          </w:p>
        </w:tc>
        <w:tc>
          <w:tcPr>
            <w:tcBorders/>
            <w:tcW w:w="1605" w:type="dxa"/>
            <w:vAlign w:val="center"/>
            <w:textDirection w:val="lrTb"/>
            <w:noWrap w:val="false"/>
          </w:tcPr>
          <w:p>
            <w:pPr>
              <w:pBdr/>
              <w:spacing/>
              <w:ind/>
              <w:jc w:val="center"/>
              <w:rPr/>
            </w:pPr>
            <w:r>
              <w:t xml:space="preserve">80,5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8,64</w:t>
            </w:r>
            <w:r/>
          </w:p>
        </w:tc>
        <w:tc>
          <w:tcPr>
            <w:tcBorders/>
            <w:tcW w:w="1605" w:type="dxa"/>
            <w:vAlign w:val="center"/>
            <w:textDirection w:val="lrTb"/>
            <w:noWrap w:val="false"/>
          </w:tcPr>
          <w:p>
            <w:pPr>
              <w:pBdr/>
              <w:spacing/>
              <w:ind/>
              <w:jc w:val="center"/>
              <w:rPr/>
            </w:pPr>
            <w:r>
              <w:t xml:space="preserve">8,64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Height w:val="238"/>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Bắc ✔</w:t>
            </w:r>
            <w:r/>
          </w:p>
        </w:tc>
        <w:tc>
          <w:tcPr>
            <w:tcBorders/>
            <w:tcW w:w="1605" w:type="dxa"/>
            <w:vAlign w:val="center"/>
            <w:textDirection w:val="lrTb"/>
            <w:noWrap w:val="false"/>
          </w:tcPr>
          <w:p>
            <w:pPr>
              <w:pBdr/>
              <w:spacing/>
              <w:ind/>
              <w:jc w:val="center"/>
              <w:rPr/>
            </w:pPr>
            <w:r>
              <w:t xml:space="preserve">Bắc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t xml:space="preserve">View khu dân cư ✔</w:t>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t xml:space="preserve">Trung bình ✔</w:t>
            </w:r>
            <w:r/>
          </w:p>
        </w:tc>
        <w:tc>
          <w:tcPr>
            <w:tcBorders/>
            <w:tcW w:w="1605" w:type="dxa"/>
            <w:vAlign w:val="center"/>
            <w:textDirection w:val="lrTb"/>
            <w:noWrap w:val="false"/>
          </w:tcPr>
          <w:p>
            <w:pPr>
              <w:pBdr/>
              <w:spacing/>
              <w:ind/>
              <w:jc w:val="center"/>
              <w:rPr/>
            </w:pPr>
            <w:r>
              <w:t xml:space="preserve">Trung bình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lang w:val="pt-BR"/>
          <w14:ligatures w14:val="none"/>
        </w:rPr>
      </w:pPr>
      <w:r>
        <w:rPr>
          <w:lang w:val="pt-BR" w:bidi="pt-BR"/>
        </w:rPr>
      </w:r>
      <w:r>
        <w:rPr>
          <w:lang w:val="pt-BR"/>
        </w:rPr>
        <w:t xml:space="preserve">Theo khảo sát thực tế, tài sản trên đất là nhà </w:t>
      </w:r>
      <w:r>
        <w:rPr>
          <w:color w:val="000000"/>
        </w:rPr>
        <w:t xml:space="preserve">4 tầng, diện tích sàn xây dựng khoảng 68m2, diện tích sàn xây dựng khoảng 272m2; có kết cấu tường gạch, mái bằng BTCT đã hoàn thiện đang sử dụng bình thường. Công trình xây dựng chưa được chứng nhận trên GCN số BN272478</w:t>
      </w:r>
      <w:r>
        <w:rPr>
          <w:lang w:val="pt-BR"/>
        </w:rPr>
        <w:t xml:space="preserve">. </w:t>
      </w:r>
      <w:r>
        <w:rPr>
          <w:rFonts w:ascii="Times New Roman" w:hAnsi="Times New Roman" w:eastAsia="Times New Roman" w:cs="Times New Roman"/>
          <w:color w:val="000000"/>
          <w:sz w:val="24"/>
        </w:rPr>
        <w:t xml:space="preserve">Do đó, được sự đồng ý của Ngân hàng, khách hàng, tổ thẩm định không xác định giá trị của công trình xây dựng tuy nhiên vẫn coi công trình là phần không thể tách rời của tài sản thẩm định</w:t>
      </w:r>
      <w:r>
        <w:rPr>
          <w:lang w:val="pt-BR"/>
        </w:rPr>
        <w:t xml:space="preserve">.</w:t>
      </w:r>
      <w:r>
        <w:rPr>
          <w:lang w:val="pt-BR"/>
          <w14:ligatures w14:val="none"/>
        </w:rPr>
      </w:r>
      <w:r>
        <w:rPr>
          <w:lang w:val="pt-BR"/>
          <w14:ligatures w14:val="none"/>
        </w:rPr>
      </w:r>
    </w:p>
    <w:p>
      <w:pPr>
        <w:pStyle w:val="1027"/>
        <w:numPr>
          <w:ilvl w:val="0"/>
          <w:numId w:val="3"/>
        </w:numPr>
        <w:pBdr/>
        <w:tabs>
          <w:tab w:val="left" w:leader="none" w:pos="993"/>
        </w:tabs>
        <w:spacing w:after="120" w:before="120" w:line="264" w:lineRule="auto"/>
        <w:ind/>
        <w:jc w:val="both"/>
        <w:rPr>
          <w:lang w:val="pt-BR"/>
          <w14:ligatures w14:val="none"/>
        </w:rPr>
      </w:pPr>
      <w:r>
        <w:rPr>
          <w:highlight w:val="none"/>
          <w:lang w:val="pt-BR" w:bidi="pt-BR"/>
        </w:rPr>
      </w:r>
      <w:r>
        <w:rPr>
          <w:rFonts w:ascii="Times New Roman" w:hAnsi="Times New Roman" w:eastAsia="Times New Roman" w:cs="Times New Roman"/>
          <w:color w:val="000000"/>
          <w:sz w:val="24"/>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w:t>
      </w:r>
      <w:r>
        <w:rPr>
          <w:rFonts w:ascii="Times New Roman" w:hAnsi="Times New Roman" w:eastAsia="Times New Roman" w:cs="Times New Roman"/>
          <w:color w:val="000000"/>
          <w:sz w:val="24"/>
        </w:rPr>
        <w:t xml:space="preserve">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w:t>
      </w:r>
      <w:r>
        <w:rPr>
          <w:rFonts w:ascii="Times New Roman" w:hAnsi="Times New Roman" w:eastAsia="Times New Roman" w:cs="Times New Roman"/>
          <w:color w:val="000000"/>
          <w:sz w:val="24"/>
        </w:rPr>
        <w:t xml:space="preserve">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thẩm định giá</w:t>
      </w:r>
      <w:r>
        <w:rPr>
          <w:highlight w:val="none"/>
          <w:lang w:val="pt-BR" w:bidi="pt-BR"/>
        </w:rPr>
        <w:t xml:space="preserve">.</w:t>
      </w:r>
      <w:r>
        <w:rPr>
          <w:lang w:val="pt-BR"/>
          <w14:ligatures w14:val="none"/>
        </w:rPr>
      </w:r>
      <w:r>
        <w:rPr>
          <w:lang w:val="pt-BR"/>
          <w14:ligatures w14:val="none"/>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7"/>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27"/>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27"/>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7"/>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r>
        <w:rPr>
          <w:lang w:val="de-DE"/>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17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Minh Khai, Quận Hai Bà Trưng,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Minh Khai, Quận Hai Bà Trưng,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Minh Khai, Quận Hai Bà Trưng,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Minh Khai, Quận Hai Bà Trưng, Thành phố Hà Nội</w:t>
            </w:r>
            <w:r>
              <w:rPr>
                <w:sz w:val="22"/>
                <w:szCs w:val="22"/>
              </w:rPr>
            </w:r>
            <w:r>
              <w:rPr>
                <w:sz w:val="22"/>
                <w:szCs w:val="22"/>
              </w:rPr>
            </w:r>
          </w:p>
        </w:tc>
      </w:tr>
      <w:tr>
        <w:trPr>
          <w:trHeight w:val="55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0852.822.820</w:t>
            </w:r>
            <w:r>
              <w:rPr>
                <w:sz w:val="22"/>
                <w:szCs w:val="22"/>
              </w:rPr>
              <w:t xml:space="preserve"> </w:t>
            </w:r>
            <w:r>
              <w:rPr>
                <w:sz w:val="22"/>
                <w:szCs w:val="22"/>
              </w:rPr>
              <w:b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0974 353 381</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0972415323</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ngách 28/3, ngõ 211 đường Minh Khai, cách phố Minh Khai khoảng 150m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ngõ của đường Minh Khai, cách phố Minh Khai khoảng 300m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ngõ của đường Minh Khai, cách phố Minh Khai khoảng 400m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ngõ của đường Minh Khai, cách phố Minh Khai khoảng 100m</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8,64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4,3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9.200.000.000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13.600.000.000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8.390.000.000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8.280.000.000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13.328.000.000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7.551.000.000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144</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9.200.000.000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13.600.000.000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8.390.000.000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8.280.000.000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13.328.000.000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7.551.000.000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top w:val="single" w:color="e5e7eb" w:sz="0" w:space="0"/>
                <w:left w:val="single" w:color="e5e7eb" w:sz="0" w:space="0"/>
                <w:bottom w:val="single" w:color="e5e7eb" w:sz="0" w:space="0"/>
                <w:right w:val="single" w:color="e5e7eb" w:sz="0" w:space="0"/>
              </w:pBdr>
              <w:spacing/>
              <w:ind/>
              <w:jc w:val="center"/>
              <w:rPr>
                <w:b/>
                <w:bCs/>
                <w:color w:val="000000"/>
                <w:sz w:val="22"/>
                <w:szCs w:val="22"/>
                <w14:ligatures w14:val="none"/>
              </w:rPr>
            </w:pPr>
            <w:r>
              <w:rPr>
                <w:b/>
                <w:bCs/>
                <w:color w:val="000000"/>
                <w:sz w:val="22"/>
                <w:szCs w:val="22"/>
              </w:rPr>
              <w:t xml:space="preserve">1</w:t>
            </w:r>
            <w:r>
              <w:rPr>
                <w:b/>
                <w:bCs/>
                <w:color w:val="000000"/>
                <w:sz w:val="22"/>
                <w:szCs w:val="22"/>
              </w:rPr>
            </w:r>
            <w:r>
              <w:rPr>
                <w:b/>
                <w:bCs/>
                <w:color w:val="000000"/>
                <w:sz w:val="22"/>
                <w:szCs w:val="22"/>
                <w14:ligatures w14: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rPr>
                <w:b/>
                <w:bCs/>
                <w:color w:val="000000"/>
                <w:sz w:val="22"/>
                <w:szCs w:val="22"/>
                <w14:ligatures w14:val="none"/>
              </w:rPr>
            </w:pPr>
            <w:r>
              <w:rPr>
                <w:b/>
                <w:bCs/>
                <w:color w:val="000000"/>
                <w:sz w:val="22"/>
                <w:szCs w:val="22"/>
              </w:rPr>
              <w:t xml:space="preserve">Giá trị tài sản trên đất (đồng)</w:t>
            </w:r>
            <w:r>
              <w:rPr>
                <w:b/>
                <w:bCs/>
                <w:color w:val="000000"/>
                <w:sz w:val="22"/>
                <w:szCs w:val="22"/>
              </w:rPr>
            </w:r>
            <w:r>
              <w:rPr>
                <w:b/>
                <w:bCs/>
                <w:color w:val="000000"/>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rPr>
                <w:color w:val="000000"/>
                <w:sz w:val="22"/>
                <w:szCs w:val="22"/>
                <w14:ligatures w14:val="none"/>
              </w:rPr>
            </w:pPr>
            <w:r>
              <w:rPr>
                <w:color w:val="000000"/>
                <w:sz w:val="22"/>
                <w:szCs w:val="22"/>
              </w:rPr>
            </w:r>
            <w:r>
              <w:rPr>
                <w:color w:val="000000"/>
                <w:sz w:val="22"/>
                <w:szCs w:val="22"/>
              </w:rPr>
            </w:r>
            <w:r>
              <w:rPr>
                <w:color w:val="000000"/>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sz w:val="22"/>
                <w:szCs w:val="22"/>
                <w14:ligatures w14:val="none"/>
              </w:rPr>
            </w:pPr>
            <w:r>
              <w:rPr>
                <w:color w:val="000000"/>
                <w:sz w:val="22"/>
                <w:szCs w:val="22"/>
              </w:rPr>
              <w:t xml:space="preserve">1.055.314.440</w:t>
            </w:r>
            <w:r>
              <w:rPr>
                <w:color w:val="000000"/>
                <w:sz w:val="22"/>
                <w:szCs w:val="22"/>
              </w:rPr>
            </w:r>
            <w:r>
              <w:rPr>
                <w:color w:val="000000"/>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sz w:val="22"/>
                <w:szCs w:val="22"/>
                <w14:ligatures w14:val="none"/>
              </w:rPr>
            </w:pPr>
            <w:r>
              <w:rPr>
                <w:color w:val="000000"/>
                <w:sz w:val="22"/>
                <w:szCs w:val="22"/>
              </w:rPr>
              <w:t xml:space="preserve">1.733.205.213</w:t>
            </w:r>
            <w:r>
              <w:rPr>
                <w:color w:val="000000"/>
                <w:sz w:val="22"/>
                <w:szCs w:val="22"/>
              </w:rPr>
            </w:r>
            <w:r>
              <w:rPr>
                <w:color w:val="000000"/>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sz w:val="22"/>
                <w:szCs w:val="22"/>
                <w14:ligatures w14:val="none"/>
              </w:rPr>
            </w:pPr>
            <w:r>
              <w:rPr>
                <w:color w:val="000000"/>
                <w:sz w:val="22"/>
                <w:szCs w:val="22"/>
              </w:rPr>
              <w:t xml:space="preserve">1.005.652.584</w:t>
            </w:r>
            <w:r>
              <w:rPr>
                <w:color w:val="000000"/>
                <w:sz w:val="22"/>
                <w:szCs w:val="22"/>
              </w:rPr>
            </w:r>
            <w:r>
              <w:rPr>
                <w:color w:val="000000"/>
                <w:sz w:val="22"/>
                <w:szCs w:val="22"/>
                <w14:ligatures w14:val="none"/>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top w:val="single" w:color="e5e7eb" w:sz="0" w:space="0"/>
                <w:left w:val="single" w:color="e5e7eb" w:sz="0" w:space="0"/>
                <w:bottom w:val="single" w:color="e5e7eb" w:sz="0" w:space="0"/>
                <w:right w:val="single" w:color="e5e7eb" w:sz="0" w:space="0"/>
              </w:pBdr>
              <w:spacing/>
              <w:ind/>
              <w:rPr>
                <w:color w:val="000000"/>
                <w:sz w:val="22"/>
                <w:szCs w:val="22"/>
                <w14:ligatures w14:val="none"/>
              </w:rPr>
            </w:pPr>
            <w:r>
              <w:rPr>
                <w:color w:val="000000"/>
                <w:sz w:val="22"/>
                <w:szCs w:val="22"/>
              </w:rPr>
              <w:t xml:space="preserve">-</w:t>
            </w:r>
            <w:r>
              <w:rPr>
                <w:color w:val="000000"/>
                <w:sz w:val="22"/>
                <w:szCs w:val="22"/>
              </w:rPr>
            </w:r>
            <w:r>
              <w:rPr>
                <w:color w:val="000000"/>
                <w:sz w:val="22"/>
                <w:szCs w:val="22"/>
                <w14:ligatures w14:val="non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top w:val="single" w:color="e5e7eb" w:sz="0" w:space="0"/>
                <w:left w:val="single" w:color="e5e7eb" w:sz="0" w:space="0"/>
                <w:bottom w:val="single" w:color="e5e7eb" w:sz="0" w:space="0"/>
                <w:right w:val="single" w:color="e5e7eb" w:sz="0" w:space="0"/>
              </w:pBdr>
              <w:spacing/>
              <w:ind/>
              <w:rPr>
                <w:color w:val="000000"/>
                <w:sz w:val="22"/>
                <w:szCs w:val="22"/>
                <w14:ligatures w14:val="none"/>
              </w:rPr>
            </w:pPr>
            <w:r>
              <w:rPr>
                <w:color w:val="000000"/>
                <w:sz w:val="22"/>
                <w:szCs w:val="22"/>
              </w:rPr>
              <w:t xml:space="preserve">Đơn giá xây dựng theo Quyết định số 409/QĐ-BXD ngày 11/4/2025 của Bộ Xây Dựng (đồng/m²)</w:t>
            </w:r>
            <w:r>
              <w:rPr>
                <w:color w:val="000000"/>
                <w:sz w:val="22"/>
                <w:szCs w:val="22"/>
              </w:rPr>
            </w:r>
            <w:r>
              <w:rPr>
                <w:color w:val="000000"/>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rPr>
                <w:color w:val="000000"/>
                <w:sz w:val="22"/>
                <w:szCs w:val="22"/>
                <w14:ligatures w14:val="none"/>
              </w:rPr>
            </w:pPr>
            <w:r>
              <w:rPr>
                <w:color w:val="000000"/>
                <w:sz w:val="22"/>
                <w:szCs w:val="22"/>
              </w:rPr>
            </w:r>
            <w:r>
              <w:rPr>
                <w:color w:val="000000"/>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sz w:val="22"/>
                <w:szCs w:val="22"/>
                <w14:ligatures w14:val="none"/>
              </w:rPr>
            </w:pPr>
            <w:r>
              <w:rPr>
                <w:color w:val="000000"/>
                <w:sz w:val="22"/>
                <w:szCs w:val="22"/>
              </w:rPr>
              <w:t xml:space="preserve">8.535.632</w:t>
            </w:r>
            <w:r>
              <w:rPr>
                <w:color w:val="000000"/>
                <w:sz w:val="22"/>
                <w:szCs w:val="22"/>
              </w:rPr>
            </w:r>
            <w:r>
              <w:rPr>
                <w:color w:val="000000"/>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sz w:val="22"/>
                <w:szCs w:val="22"/>
                <w14:ligatures w14:val="none"/>
              </w:rPr>
            </w:pPr>
            <w:r>
              <w:rPr>
                <w:color w:val="000000"/>
                <w:sz w:val="22"/>
                <w:szCs w:val="22"/>
              </w:rPr>
              <w:t xml:space="preserve">7.304.696</w:t>
            </w:r>
            <w:r>
              <w:rPr>
                <w:color w:val="000000"/>
                <w:sz w:val="22"/>
                <w:szCs w:val="22"/>
              </w:rPr>
            </w:r>
            <w:r>
              <w:rPr>
                <w:color w:val="000000"/>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sz w:val="22"/>
                <w:szCs w:val="22"/>
                <w14:ligatures w14:val="none"/>
              </w:rPr>
            </w:pPr>
            <w:r>
              <w:rPr>
                <w:color w:val="000000"/>
                <w:sz w:val="22"/>
                <w:szCs w:val="22"/>
              </w:rPr>
              <w:t xml:space="preserve">8.535.632</w:t>
            </w:r>
            <w:r>
              <w:rPr>
                <w:color w:val="000000"/>
                <w:sz w:val="22"/>
                <w:szCs w:val="22"/>
                <w14:ligatures w14:val="none"/>
              </w:rPr>
            </w:r>
            <w:r>
              <w:rPr>
                <w:color w:val="000000"/>
                <w:sz w:val="22"/>
                <w:szCs w:val="22"/>
                <w14:ligatures w14:val="none"/>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top w:val="single" w:color="e5e7eb" w:sz="0" w:space="0"/>
                <w:left w:val="single" w:color="e5e7eb" w:sz="0" w:space="0"/>
                <w:bottom w:val="single" w:color="e5e7eb" w:sz="0" w:space="0"/>
                <w:right w:val="single" w:color="e5e7eb" w:sz="0" w:space="0"/>
              </w:pBdr>
              <w:spacing/>
              <w:ind/>
              <w:rPr>
                <w:color w:val="000000"/>
                <w:sz w:val="22"/>
                <w:szCs w:val="22"/>
                <w14:ligatures w14:val="none"/>
              </w:rPr>
            </w:pPr>
            <w:r>
              <w:rPr>
                <w:color w:val="000000"/>
                <w:sz w:val="22"/>
                <w:szCs w:val="22"/>
              </w:rPr>
              <w:t xml:space="preserve">-</w:t>
            </w:r>
            <w:r>
              <w:rPr>
                <w:color w:val="000000"/>
                <w:sz w:val="22"/>
                <w:szCs w:val="22"/>
              </w:rPr>
            </w:r>
            <w:r>
              <w:rPr>
                <w:color w:val="000000"/>
                <w:sz w:val="22"/>
                <w:szCs w:val="22"/>
                <w14:ligatures w14:val="non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top w:val="single" w:color="e5e7eb" w:sz="0" w:space="0"/>
                <w:left w:val="single" w:color="e5e7eb" w:sz="0" w:space="0"/>
                <w:bottom w:val="single" w:color="e5e7eb" w:sz="0" w:space="0"/>
                <w:right w:val="single" w:color="e5e7eb" w:sz="0" w:space="0"/>
              </w:pBdr>
              <w:spacing/>
              <w:ind/>
              <w:rPr>
                <w:color w:val="000000"/>
                <w:sz w:val="22"/>
                <w:szCs w:val="22"/>
                <w14:ligatures w14:val="none"/>
              </w:rPr>
            </w:pPr>
            <w:r>
              <w:rPr>
                <w:color w:val="000000"/>
                <w:sz w:val="22"/>
                <w:szCs w:val="22"/>
              </w:rPr>
              <w:t xml:space="preserve">Tỷ lệ % CLCL</w:t>
            </w:r>
            <w:r>
              <w:rPr>
                <w:color w:val="000000"/>
                <w:sz w:val="22"/>
                <w:szCs w:val="22"/>
              </w:rPr>
            </w:r>
            <w:r>
              <w:rPr>
                <w:color w:val="000000"/>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rPr>
                <w:color w:val="000000"/>
                <w:sz w:val="22"/>
                <w:szCs w:val="22"/>
                <w14:ligatures w14:val="none"/>
              </w:rPr>
            </w:pPr>
            <w:r>
              <w:rPr>
                <w:color w:val="000000"/>
                <w:sz w:val="22"/>
                <w:szCs w:val="22"/>
              </w:rPr>
            </w:r>
            <w:r>
              <w:rPr>
                <w:color w:val="000000"/>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sz w:val="22"/>
                <w:szCs w:val="22"/>
                <w14:ligatures w14:val="none"/>
              </w:rPr>
            </w:pPr>
            <w:r>
              <w:rPr>
                <w:color w:val="000000"/>
                <w:sz w:val="22"/>
                <w:szCs w:val="22"/>
              </w:rPr>
              <w:t xml:space="preserve">85%</w:t>
            </w:r>
            <w:r>
              <w:rPr>
                <w:color w:val="000000"/>
                <w:sz w:val="22"/>
                <w:szCs w:val="22"/>
              </w:rPr>
            </w:r>
            <w:r>
              <w:rPr>
                <w:color w:val="000000"/>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sz w:val="22"/>
                <w:szCs w:val="22"/>
                <w14:ligatures w14:val="none"/>
              </w:rPr>
            </w:pPr>
            <w:r>
              <w:rPr>
                <w:color w:val="000000"/>
                <w:sz w:val="22"/>
                <w:szCs w:val="22"/>
              </w:rPr>
              <w:t xml:space="preserve">90%</w:t>
            </w:r>
            <w:r>
              <w:rPr>
                <w:color w:val="000000"/>
                <w:sz w:val="22"/>
                <w:szCs w:val="22"/>
              </w:rPr>
            </w:r>
            <w:r>
              <w:rPr>
                <w:color w:val="000000"/>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sz w:val="22"/>
                <w:szCs w:val="22"/>
                <w14:ligatures w14:val="none"/>
              </w:rPr>
            </w:pPr>
            <w:r>
              <w:rPr>
                <w:color w:val="000000"/>
                <w:sz w:val="22"/>
                <w:szCs w:val="22"/>
              </w:rPr>
              <w:t xml:space="preserve">90%</w:t>
            </w:r>
            <w:r>
              <w:rPr>
                <w:color w:val="000000"/>
                <w:sz w:val="22"/>
                <w:szCs w:val="22"/>
              </w:rPr>
            </w:r>
            <w:r>
              <w:rPr>
                <w:color w:val="000000"/>
                <w:sz w:val="22"/>
                <w:szCs w:val="22"/>
                <w14:ligatures w14: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b/>
                <w:bCs/>
                <w:color w:val="000000" w:themeColor="text1"/>
                <w:sz w:val="22"/>
                <w:szCs w:val="22"/>
                <w14:ligatures w14:val="none"/>
              </w:rPr>
            </w:pPr>
            <w:r>
              <w:rPr>
                <w:b/>
                <w:bCs/>
                <w:color w:val="000000" w:themeColor="text1"/>
                <w:sz w:val="22"/>
                <w:szCs w:val="22"/>
              </w:rPr>
              <w:t xml:space="preserve">7.224.685.560</w:t>
            </w:r>
            <w:r>
              <w:rPr>
                <w:b/>
                <w:bCs/>
                <w:color w:val="000000" w:themeColor="text1"/>
                <w:sz w:val="22"/>
                <w:szCs w:val="22"/>
              </w:rPr>
            </w:r>
            <w:r>
              <w:rPr>
                <w:b/>
                <w:bCs/>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b/>
                <w:bCs/>
                <w:color w:val="000000" w:themeColor="text1"/>
                <w:sz w:val="22"/>
                <w:szCs w:val="22"/>
                <w14:ligatures w14:val="none"/>
              </w:rPr>
            </w:pPr>
            <w:r>
              <w:rPr>
                <w:b/>
                <w:bCs/>
                <w:color w:val="000000" w:themeColor="text1"/>
                <w:sz w:val="22"/>
                <w:szCs w:val="22"/>
              </w:rPr>
              <w:t xml:space="preserve">11.594.794.787</w:t>
            </w:r>
            <w:r>
              <w:rPr>
                <w:b/>
                <w:bCs/>
                <w:color w:val="000000" w:themeColor="text1"/>
                <w:sz w:val="22"/>
                <w:szCs w:val="22"/>
              </w:rPr>
            </w:r>
            <w:r>
              <w:rPr>
                <w:b/>
                <w:bCs/>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b/>
                <w:bCs/>
                <w:color w:val="000000" w:themeColor="text1"/>
                <w:sz w:val="22"/>
                <w:szCs w:val="22"/>
                <w14:ligatures w14:val="none"/>
              </w:rPr>
            </w:pPr>
            <w:r>
              <w:rPr>
                <w:b/>
                <w:bCs/>
                <w:color w:val="000000" w:themeColor="text1"/>
                <w:sz w:val="22"/>
                <w:szCs w:val="22"/>
              </w:rPr>
              <w:t xml:space="preserve">6.545.347.416</w:t>
            </w:r>
            <w:r>
              <w:rPr>
                <w:b/>
                <w:bCs/>
                <w:color w:val="000000" w:themeColor="text1"/>
                <w:sz w:val="22"/>
                <w:szCs w:val="22"/>
              </w:rPr>
            </w:r>
            <w:r>
              <w:rPr>
                <w:b/>
                <w:bCs/>
                <w:color w:val="000000" w:themeColor="text1"/>
                <w:sz w:val="22"/>
                <w:szCs w:val="22"/>
                <w14:ligatures w14: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180.617.139</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199.910.255</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181.815.206</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sz w:val="22"/>
                <w:szCs w:val="22"/>
              </w:rPr>
            </w:pPr>
            <w:r>
              <w:rPr>
                <w:color w:val="000000" w:themeColor="text1"/>
                <w:sz w:val="22"/>
                <w:szCs w:val="22"/>
              </w:rPr>
              <w:t xml:space="preserve">Độ rộng đường trước mặt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28"/>
        <w:gridCol w:w="1765"/>
        <w:gridCol w:w="1030"/>
        <w:gridCol w:w="1522"/>
        <w:gridCol w:w="1522"/>
        <w:gridCol w:w="1522"/>
        <w:gridCol w:w="1522"/>
      </w:tblGrid>
      <w:tr>
        <w:trPr>
          <w:trHeight w:val="20"/>
          <w:tblHeader/>
        </w:trPr>
        <w:tc>
          <w:tcPr>
            <w:shd w:val="clear" w:color="000000" w:fill="ffffff"/>
            <w:tcBorders/>
            <w:tcW w:w="828"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828"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7.224.685.560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11.594.794.787</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6.545.347.416</w:t>
            </w:r>
            <w:r>
              <w:rPr>
                <w:color w:val="000000"/>
                <w:sz w:val="20"/>
                <w:szCs w:val="20"/>
              </w:rPr>
            </w:r>
            <w:r>
              <w:rPr>
                <w:color w:val="000000"/>
                <w:sz w:val="20"/>
                <w:szCs w:val="20"/>
              </w:rPr>
            </w:r>
          </w:p>
        </w:tc>
      </w:tr>
      <w:tr>
        <w:trPr>
          <w:trHeight w:val="20"/>
        </w:trPr>
        <w:tc>
          <w:tcPr>
            <w:shd w:val="clear" w:color="000000" w:fill="ffffff"/>
            <w:tcBorders/>
            <w:tcW w:w="828"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180.617.139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199.910.255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181.815.206</w:t>
            </w:r>
            <w:r>
              <w:rPr>
                <w:color w:val="000000"/>
                <w:sz w:val="22"/>
                <w:szCs w:val="22"/>
              </w:rPr>
            </w:r>
            <w:r>
              <w:rPr>
                <w:color w:val="000000"/>
                <w:sz w:val="22"/>
                <w:szCs w:val="22"/>
              </w:rPr>
            </w:r>
          </w:p>
        </w:tc>
      </w:tr>
      <w:tr>
        <w:trPr>
          <w:trHeight w:val="20"/>
        </w:trPr>
        <w:tc>
          <w:tcPr>
            <w:shd w:val="clear" w:color="000000" w:fill="ffffff"/>
            <w:tcBorders/>
            <w:tcW w:w="828"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828"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180.617.139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199.910.255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181.815.206</w:t>
            </w:r>
            <w:r>
              <w:rPr>
                <w:color w:val="000000"/>
                <w:sz w:val="22"/>
                <w:szCs w:val="22"/>
              </w:rPr>
            </w:r>
            <w:r>
              <w:rPr>
                <w:color w:val="000000"/>
                <w:sz w:val="22"/>
                <w:szCs w:val="22"/>
              </w:rPr>
            </w:r>
          </w:p>
        </w:tc>
      </w:tr>
      <w:tr>
        <w:trPr>
          <w:trHeight w:val="20"/>
        </w:trPr>
        <w:tc>
          <w:tcPr>
            <w:shd w:val="clear" w:color="000000" w:fill="ffffff"/>
            <w:tcBorders/>
            <w:tcW w:w="828"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180.617.139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199.910.255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181.815.206</w:t>
            </w:r>
            <w:r>
              <w:rPr>
                <w:color w:val="000000"/>
                <w:sz w:val="22"/>
                <w:szCs w:val="22"/>
              </w:rPr>
            </w:r>
            <w:r>
              <w:rPr>
                <w:color w:val="000000"/>
                <w:sz w:val="22"/>
                <w:szCs w:val="22"/>
              </w:rPr>
            </w:r>
          </w:p>
        </w:tc>
      </w:tr>
      <w:tr>
        <w:trPr>
          <w:trHeight w:val="20"/>
        </w:trPr>
        <w:tc>
          <w:tcPr>
            <w:shd w:val="clear" w:color="000000" w:fill="ffffff"/>
            <w:tcBorders/>
            <w:tcW w:w="828"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180.617.139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199.910.255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181.815.206</w:t>
            </w:r>
            <w:r>
              <w:rPr>
                <w:color w:val="000000"/>
                <w:sz w:val="22"/>
                <w:szCs w:val="22"/>
              </w:rPr>
            </w:r>
            <w:r>
              <w:rPr>
                <w:color w:val="000000"/>
                <w:sz w:val="22"/>
                <w:szCs w:val="22"/>
              </w:rPr>
            </w:r>
          </w:p>
        </w:tc>
      </w:tr>
      <w:tr>
        <w:trPr>
          <w:trHeight w:val="20"/>
        </w:trPr>
        <w:tc>
          <w:tcPr>
            <w:shd w:val="clear" w:color="000000" w:fill="ffffff"/>
            <w:tcBorders/>
            <w:tcW w:w="828"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ngách 28/3, ngõ 211 đường Minh Khai, cách phố Minh Khai khoảng 150m</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ngõ của đường Minh Khai, cách phố Minh Khai khoảng 300m</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ngõ của đường Minh Khai, cách phố Minh Khai khoảng 400m</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ngõ của đường Minh Khai, cách phố Minh Khai khoảng 100m</w:t>
            </w: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180.617.139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199.910.255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181.815.206</w:t>
            </w:r>
            <w:r>
              <w:rPr>
                <w:color w:val="000000"/>
                <w:sz w:val="22"/>
                <w:szCs w:val="22"/>
              </w:rPr>
            </w:r>
            <w:r>
              <w:rPr>
                <w:color w:val="000000"/>
                <w:sz w:val="22"/>
                <w:szCs w:val="22"/>
              </w:rPr>
            </w:r>
          </w:p>
        </w:tc>
      </w:tr>
      <w:tr>
        <w:trPr>
          <w:trHeight w:val="20"/>
        </w:trPr>
        <w:tc>
          <w:tcPr>
            <w:shd w:val="clear" w:color="000000" w:fill="ffffff"/>
            <w:tcBorders/>
            <w:tcW w:w="828"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180.617.139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199.910.255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181.815.206</w:t>
            </w:r>
            <w:r>
              <w:rPr>
                <w:color w:val="000000"/>
                <w:sz w:val="22"/>
                <w:szCs w:val="22"/>
              </w:rPr>
            </w:r>
            <w:r>
              <w:rPr>
                <w:color w:val="000000"/>
                <w:sz w:val="22"/>
                <w:szCs w:val="22"/>
              </w:rPr>
            </w:r>
          </w:p>
        </w:tc>
      </w:tr>
      <w:tr>
        <w:trPr>
          <w:trHeight w:val="20"/>
        </w:trPr>
        <w:tc>
          <w:tcPr>
            <w:shd w:val="clear" w:color="000000" w:fill="ffffff"/>
            <w:tcBorders/>
            <w:tcW w:w="828"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-9.995.513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180.617.139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189.914.742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181.815.206</w:t>
            </w:r>
            <w:r>
              <w:rPr>
                <w:color w:val="000000"/>
                <w:sz w:val="22"/>
                <w:szCs w:val="22"/>
              </w:rPr>
            </w:r>
            <w:r>
              <w:rPr>
                <w:color w:val="000000"/>
                <w:sz w:val="22"/>
                <w:szCs w:val="22"/>
              </w:rPr>
            </w:r>
          </w:p>
        </w:tc>
      </w:tr>
      <w:tr>
        <w:trPr>
          <w:trHeight w:val="20"/>
        </w:trPr>
        <w:tc>
          <w:tcPr>
            <w:shd w:val="clear" w:color="000000" w:fill="ffffff"/>
            <w:tcBorders/>
            <w:tcW w:w="828"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nhỏ nhất từ đường chính vào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-9.995.513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180.617.139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179.919.229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181.815.206</w:t>
            </w:r>
            <w:r>
              <w:rPr>
                <w:color w:val="000000"/>
                <w:sz w:val="22"/>
                <w:szCs w:val="22"/>
              </w:rPr>
            </w:r>
            <w:r>
              <w:rPr>
                <w:color w:val="000000"/>
                <w:sz w:val="22"/>
                <w:szCs w:val="22"/>
              </w:rPr>
            </w:r>
          </w:p>
        </w:tc>
      </w:tr>
      <w:tr>
        <w:trPr>
          <w:trHeight w:val="20"/>
        </w:trPr>
        <w:tc>
          <w:tcPr>
            <w:shd w:val="clear" w:color="000000" w:fill="ffffff"/>
            <w:tcBorders/>
            <w:tcW w:w="828"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180.617.139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179.919.229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181.815.206</w:t>
            </w:r>
            <w:r>
              <w:rPr>
                <w:color w:val="000000"/>
                <w:sz w:val="22"/>
                <w:szCs w:val="22"/>
              </w:rPr>
            </w:r>
            <w:r>
              <w:rPr>
                <w:color w:val="000000"/>
                <w:sz w:val="22"/>
                <w:szCs w:val="22"/>
              </w:rPr>
            </w:r>
          </w:p>
        </w:tc>
      </w:tr>
      <w:tr>
        <w:trPr>
          <w:trHeight w:val="20"/>
        </w:trPr>
        <w:tc>
          <w:tcPr>
            <w:shd w:val="clear" w:color="000000" w:fill="ffffff"/>
            <w:tcBorders/>
            <w:tcW w:w="828"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80,5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36</w:t>
            </w:r>
            <w:r>
              <w:rPr>
                <w:b/>
                <w:bCs/>
                <w:color w:val="000000"/>
                <w:sz w:val="22"/>
                <w:szCs w:val="22"/>
              </w:rPr>
            </w:r>
            <w:r>
              <w:rPr>
                <w:b/>
                <w:bCs/>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-12.643.200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-9.995.513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-14.545.216</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167.973.939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169.923.716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167.269.990</w:t>
            </w:r>
            <w:r>
              <w:rPr>
                <w:color w:val="000000"/>
                <w:sz w:val="22"/>
                <w:szCs w:val="22"/>
              </w:rPr>
            </w:r>
            <w:r>
              <w:rPr>
                <w:color w:val="000000"/>
                <w:sz w:val="22"/>
                <w:szCs w:val="22"/>
              </w:rPr>
            </w:r>
          </w:p>
        </w:tc>
      </w:tr>
      <w:tr>
        <w:trPr>
          <w:trHeight w:val="20"/>
        </w:trPr>
        <w:tc>
          <w:tcPr>
            <w:shd w:val="clear" w:color="000000" w:fill="ffffff"/>
            <w:tcBorders/>
            <w:tcW w:w="828"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8,64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4,3</w:t>
            </w:r>
            <w:r>
              <w:rPr>
                <w:b/>
                <w:bCs/>
                <w:color w:val="000000"/>
                <w:sz w:val="22"/>
                <w:szCs w:val="22"/>
              </w:rPr>
            </w:r>
            <w:r>
              <w:rPr>
                <w:b/>
                <w:bCs/>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5.418.514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5.997.308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5.454.456</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173.392.453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175.921.024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172.724.446</w:t>
            </w:r>
            <w:r>
              <w:rPr>
                <w:color w:val="000000"/>
                <w:sz w:val="22"/>
                <w:szCs w:val="22"/>
              </w:rPr>
            </w:r>
            <w:r>
              <w:rPr>
                <w:color w:val="000000"/>
                <w:sz w:val="22"/>
                <w:szCs w:val="22"/>
              </w:rPr>
            </w:r>
          </w:p>
        </w:tc>
      </w:tr>
      <w:tr>
        <w:trPr>
          <w:trHeight w:val="20"/>
        </w:trPr>
        <w:tc>
          <w:tcPr>
            <w:shd w:val="clear" w:color="000000" w:fill="ffffff"/>
            <w:tcBorders/>
            <w:tcW w:w="828"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173.392.453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175.921.024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172.724.446</w:t>
            </w:r>
            <w:r>
              <w:rPr>
                <w:color w:val="000000"/>
                <w:sz w:val="22"/>
                <w:szCs w:val="22"/>
              </w:rPr>
            </w:r>
            <w:r>
              <w:rPr>
                <w:color w:val="000000"/>
                <w:sz w:val="22"/>
                <w:szCs w:val="22"/>
              </w:rPr>
            </w:r>
          </w:p>
        </w:tc>
      </w:tr>
      <w:tr>
        <w:trPr>
          <w:trHeight w:val="20"/>
        </w:trPr>
        <w:tc>
          <w:tcPr>
            <w:shd w:val="clear" w:color="000000" w:fill="ffffff"/>
            <w:tcBorders/>
            <w:tcW w:w="828"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173.392.453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175.921.024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172.724.446</w:t>
            </w:r>
            <w:r>
              <w:rPr>
                <w:color w:val="000000"/>
                <w:sz w:val="22"/>
                <w:szCs w:val="22"/>
              </w:rPr>
            </w:r>
            <w:r>
              <w:rPr>
                <w:color w:val="000000"/>
                <w:sz w:val="22"/>
                <w:szCs w:val="22"/>
              </w:rPr>
            </w:r>
          </w:p>
        </w:tc>
      </w:tr>
      <w:tr>
        <w:trPr>
          <w:trHeight w:val="20"/>
        </w:trPr>
        <w:tc>
          <w:tcPr>
            <w:shd w:val="clear" w:color="000000" w:fill="ffffff"/>
            <w:tcBorders/>
            <w:tcW w:w="828"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173.392.453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175.921.024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172.724.446</w:t>
            </w:r>
            <w:r>
              <w:rPr>
                <w:b/>
                <w:bCs/>
                <w:color w:val="000000"/>
                <w:sz w:val="22"/>
                <w:szCs w:val="22"/>
              </w:rPr>
            </w:r>
            <w:r>
              <w:rPr>
                <w:b/>
                <w:bCs/>
                <w:color w:val="000000"/>
                <w:sz w:val="22"/>
                <w:szCs w:val="22"/>
              </w:rPr>
            </w:r>
          </w:p>
        </w:tc>
      </w:tr>
      <w:tr>
        <w:trPr>
          <w:trHeight w:val="20"/>
        </w:trPr>
        <w:tc>
          <w:tcPr>
            <w:shd w:val="clear" w:color="000000" w:fill="ffffff"/>
            <w:tcBorders/>
            <w:tcW w:w="828"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174.012.641</w:t>
            </w:r>
            <w:r>
              <w:rPr>
                <w:b/>
                <w:bCs/>
                <w:color w:val="000000"/>
                <w:sz w:val="22"/>
                <w:szCs w:val="22"/>
              </w:rPr>
            </w:r>
            <w:r>
              <w:rPr>
                <w:b/>
                <w:bCs/>
                <w:color w:val="000000"/>
                <w:sz w:val="22"/>
                <w:szCs w:val="22"/>
              </w:rPr>
            </w:r>
          </w:p>
        </w:tc>
      </w:tr>
      <w:tr>
        <w:trPr>
          <w:trHeight w:val="20"/>
        </w:trPr>
        <w:tc>
          <w:tcPr>
            <w:shd w:val="clear" w:color="000000" w:fill="ffffff"/>
            <w:tcBorders/>
            <w:tcW w:w="828"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-0.36%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-0.74%</w:t>
            </w:r>
            <w:r>
              <w:rPr>
                <w:color w:val="000000"/>
                <w:sz w:val="22"/>
                <w:szCs w:val="22"/>
              </w:rPr>
            </w:r>
            <w:r>
              <w:rPr>
                <w:color w:val="000000"/>
                <w:sz w:val="22"/>
                <w:szCs w:val="22"/>
              </w:rPr>
            </w:r>
          </w:p>
        </w:tc>
      </w:tr>
      <w:tr>
        <w:trPr>
          <w:trHeight w:val="20"/>
        </w:trPr>
        <w:tc>
          <w:tcPr>
            <w:shd w:val="clear" w:color="000000" w:fill="ffffff"/>
            <w:tcBorders/>
            <w:tcW w:w="828"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828"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18.061.714</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35.983.847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19.999.672</w:t>
            </w:r>
            <w:r>
              <w:rPr>
                <w:b/>
                <w:bCs/>
                <w:color w:val="000000"/>
                <w:sz w:val="22"/>
                <w:szCs w:val="22"/>
              </w:rPr>
            </w:r>
            <w:r>
              <w:rPr>
                <w:b/>
                <w:bCs/>
                <w:color w:val="000000"/>
                <w:sz w:val="22"/>
                <w:szCs w:val="22"/>
              </w:rPr>
            </w:r>
          </w:p>
        </w:tc>
      </w:tr>
      <w:tr>
        <w:trPr>
          <w:trHeight w:val="20"/>
        </w:trPr>
        <w:tc>
          <w:tcPr>
            <w:shd w:val="clear" w:color="000000" w:fill="ffffff"/>
            <w:tcBorders/>
            <w:tcW w:w="828"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828"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- 8%</w:t>
            </w:r>
            <w:r>
              <w:rPr>
                <w:sz w:val="22"/>
                <w:szCs w:val="22"/>
              </w:rPr>
            </w:r>
            <w:r>
              <w:rPr>
                <w:sz w:val="22"/>
                <w:szCs w:val="22"/>
              </w:rPr>
            </w:r>
          </w:p>
        </w:tc>
      </w:tr>
      <w:tr>
        <w:trPr>
          <w:trHeight w:val="20"/>
        </w:trPr>
        <w:tc>
          <w:tcPr>
            <w:shd w:val="clear" w:color="000000" w:fill="ffffff"/>
            <w:tcBorders/>
            <w:tcW w:w="828"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7.224.686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23.989.231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9.090.760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-0,74</w:t>
      </w:r>
      <w:r>
        <w:t xml:space="preserve">% </w:t>
      </w:r>
      <w:r>
        <w:t xml:space="preserve">đến</w:t>
      </w:r>
      <w:r>
        <w:t xml:space="preserve"> </w:t>
      </w:r>
      <w:r>
        <w:t xml:space="preserve"> </w:t>
      </w:r>
      <w:r>
        <w:t xml:space="preserve">1,1</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173.392.453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57.809.044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175.921.024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58.634.477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172.724.446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57.569.058</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174.012.579</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174.000.000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174.000.000</w:t>
      </w:r>
      <w:r>
        <w:rPr>
          <w:b/>
          <w:bCs/>
          <w:color w:val="000000" w:themeColor="text1"/>
        </w:rPr>
        <w:t xml:space="preserve"> </w:t>
      </w:r>
      <w:r>
        <w:rPr>
          <w:b/>
          <w:bCs/>
        </w:rPr>
        <w:t xml:space="preserve">đồng</w:t>
      </w:r>
      <w:r>
        <w:rPr>
          <w:b/>
          <w:bCs/>
        </w:rPr>
        <w:t xml:space="preserve">/m².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4995"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10"/>
        <w:gridCol w:w="2358"/>
        <w:gridCol w:w="1802"/>
        <w:gridCol w:w="2581"/>
        <w:gridCol w:w="2164"/>
      </w:tblGrid>
      <w:tr>
        <w:trPr>
          <w:trHeight w:val="20"/>
        </w:trPr>
        <w:tc>
          <w:tcPr>
            <w:shd w:val="clear" w:color="000000" w:fill="ffffff"/>
            <w:tcBorders/>
            <w:tcW w:w="610" w:type="dxa"/>
            <w:vAlign w:val="center"/>
            <w:textDirection w:val="lrTb"/>
            <w:noWrap w:val="false"/>
          </w:tcPr>
          <w:p>
            <w:pPr>
              <w:pBdr/>
              <w:spacing w:after="40" w:before="40" w:line="240" w:lineRule="auto"/>
              <w:ind/>
              <w:jc w:val="center"/>
              <w:rPr>
                <w:b/>
                <w:bCs/>
              </w:rPr>
            </w:pPr>
            <w:r>
              <w:rPr>
                <w:b/>
                <w:bCs/>
              </w:rPr>
              <w:t xml:space="preserve">TT</w:t>
            </w:r>
            <w:r>
              <w:rPr>
                <w:b/>
                <w:bCs/>
              </w:rPr>
            </w:r>
            <w:r>
              <w:rPr>
                <w:b/>
                <w:bCs/>
              </w:rPr>
            </w:r>
          </w:p>
        </w:tc>
        <w:tc>
          <w:tcPr>
            <w:shd w:val="clear" w:color="000000" w:fill="ffffff"/>
            <w:tcBorders/>
            <w:tcW w:w="2358" w:type="dxa"/>
            <w:vAlign w:val="center"/>
            <w:textDirection w:val="lrTb"/>
            <w:noWrap w:val="false"/>
          </w:tcPr>
          <w:p>
            <w:pPr>
              <w:pBdr/>
              <w:spacing w:after="40" w:before="40" w:line="240"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40"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pPr>
              <w:pBdr/>
              <w:spacing w:after="40" w:before="40" w:line="240"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40"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610" w:type="dxa"/>
            <w:vAlign w:val="center"/>
            <w:textDirection w:val="lrTb"/>
            <w:noWrap w:val="false"/>
          </w:tcPr>
          <w:p>
            <w:pPr>
              <w:pBdr/>
              <w:spacing w:after="40" w:before="40" w:line="240" w:lineRule="auto"/>
              <w:ind/>
              <w:jc w:val="center"/>
              <w:rPr>
                <w:b/>
                <w:bCs/>
              </w:rPr>
            </w:pPr>
            <w:r>
              <w:rPr>
                <w:b/>
                <w:bCs/>
              </w:rPr>
              <w:t xml:space="preserve"> </w:t>
            </w:r>
            <w:r>
              <w:rPr>
                <w:b/>
                <w:bCs/>
              </w:rPr>
            </w:r>
            <w:r>
              <w:rPr>
                <w:b/>
                <w:bCs/>
              </w:rPr>
            </w:r>
          </w:p>
        </w:tc>
        <w:tc>
          <w:tcPr>
            <w:gridSpan w:val="3"/>
            <w:shd w:val="clear" w:color="000000" w:fill="ffffff"/>
            <w:tcBorders/>
            <w:tcW w:w="6741" w:type="dxa"/>
            <w:vAlign w:val="center"/>
            <w:textDirection w:val="lrTb"/>
            <w:noWrap w:val="false"/>
          </w:tcPr>
          <w:p>
            <w:pPr>
              <w:pBdr/>
              <w:spacing w:after="40" w:before="40" w:line="240" w:lineRule="auto"/>
              <w:ind/>
              <w:jc w:val="both"/>
              <w:rPr>
                <w:b/>
                <w:bCs/>
              </w:rPr>
            </w:pPr>
            <w:r>
              <w:rPr>
                <w:b/>
                <w:bCs/>
                <w:color w:val="000000"/>
              </w:rPr>
              <w:t xml:space="preserve">Quyền sử dụng đất tại thửa đất số: 178(1f), tờ bản đồ số: 5I-I-14, có địa chỉ tại: Số 19, ngách 185/28 tở 25A, phường Minh Khai, quận Hai Bà Trưng (Nay là số 19, ngá</w:t>
            </w:r>
            <w:r>
              <w:rPr>
                <w:b/>
                <w:bCs/>
                <w:color w:val="000000"/>
              </w:rPr>
              <w:t xml:space="preserve">c</w:t>
            </w:r>
            <w:r>
              <w:rPr>
                <w:b/>
                <w:bCs/>
                <w:color w:val="000000"/>
              </w:rPr>
              <w:t xml:space="preserve">h 28/3 ngõ 211 Minh Khai, phường Bạch Mai, quận Hai Bà Trưng) theo Giấy chứng nhận quyền sử dụng đất quyền sở hữu nhà ở và tài sản khác gắn liền với đất số BN272478 số vào sổ cấp GCN CH00891 do UBND quận Hai Bà Trưng cấp ngày 27/5/2013 cho ông Trịnh Vũ Hảo</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40" w:lineRule="auto"/>
              <w:ind/>
              <w:jc w:val="right"/>
              <w:rPr>
                <w:b/>
                <w:bCs/>
              </w:rPr>
            </w:pPr>
            <w:r>
              <w:rPr>
                <w:b/>
                <w:bCs/>
              </w:rPr>
              <w:t xml:space="preserve"> </w:t>
            </w:r>
            <w:r>
              <w:rPr>
                <w:b/>
                <w:bCs/>
              </w:rPr>
            </w:r>
            <w:r>
              <w:rPr>
                <w:b/>
                <w:bCs/>
              </w:rPr>
            </w:r>
          </w:p>
        </w:tc>
      </w:tr>
      <w:tr>
        <w:trPr>
          <w:trHeight w:val="20"/>
        </w:trPr>
        <w:tc>
          <w:tcPr>
            <w:shd w:val="clear" w:color="000000" w:fill="ffffff"/>
            <w:tcBorders/>
            <w:tcW w:w="610" w:type="dxa"/>
            <w:vAlign w:val="center"/>
            <w:textDirection w:val="lrTb"/>
            <w:noWrap w:val="false"/>
          </w:tcPr>
          <w:p>
            <w:pPr>
              <w:pBdr/>
              <w:spacing w:after="40" w:before="40" w:line="240" w:lineRule="auto"/>
              <w:ind/>
              <w:jc w:val="center"/>
              <w:rPr>
                <w:b w:val="0"/>
                <w:bCs w:val="0"/>
              </w:rPr>
            </w:pPr>
            <w:r>
              <w:rPr>
                <w:b w:val="0"/>
                <w:bCs w:val="0"/>
              </w:rPr>
              <w:t xml:space="preserve">1</w:t>
            </w:r>
            <w:r>
              <w:rPr>
                <w:b w:val="0"/>
                <w:bCs w:val="0"/>
              </w:rPr>
            </w:r>
            <w:r>
              <w:rPr>
                <w:b w:val="0"/>
                <w:bCs w:val="0"/>
              </w:rPr>
            </w:r>
          </w:p>
        </w:tc>
        <w:tc>
          <w:tcPr>
            <w:shd w:val="clear" w:color="000000" w:fill="ffffff"/>
            <w:tcBorders/>
            <w:tcW w:w="2358" w:type="dxa"/>
            <w:vAlign w:val="center"/>
            <w:textDirection w:val="lrTb"/>
            <w:noWrap w:val="false"/>
          </w:tcPr>
          <w:p>
            <w:pPr>
              <w:pBdr/>
              <w:spacing w:after="40" w:before="40" w:line="240" w:lineRule="auto"/>
              <w:ind/>
              <w:rPr>
                <w:b w:val="0"/>
                <w:bCs w:val="0"/>
              </w:rPr>
            </w:pPr>
            <w:r>
              <w:rPr>
                <w:b w:val="0"/>
                <w:bCs w:val="0"/>
              </w:rPr>
              <w:t xml:space="preserve">Đất ở tại đô thị</w:t>
            </w:r>
            <w:r>
              <w:rPr>
                <w:b w:val="0"/>
                <w:bCs w:val="0"/>
              </w:rPr>
            </w:r>
            <w:r>
              <w:rPr>
                <w:b w:val="0"/>
                <w:bCs w:val="0"/>
              </w:rPr>
            </w:r>
          </w:p>
        </w:tc>
        <w:tc>
          <w:tcPr>
            <w:tcBorders/>
            <w:tcW w:w="1802" w:type="dxa"/>
            <w:vAlign w:val="center"/>
            <w:textDirection w:val="lrTb"/>
            <w:noWrap/>
          </w:tcPr>
          <w:p>
            <w:pPr>
              <w:pBdr/>
              <w:spacing w:after="40" w:before="40" w:line="240" w:lineRule="auto"/>
              <w:ind/>
              <w:jc w:val="center"/>
              <w:rPr>
                <w:color w:val="000000"/>
              </w:rPr>
            </w:pPr>
            <w:r>
              <w:rPr>
                <w:color w:val="000000" w:themeColor="text1"/>
              </w:rPr>
              <w:t xml:space="preserve">80,5</w:t>
            </w:r>
            <w:r>
              <w:rPr>
                <w:color w:val="000000"/>
              </w:rPr>
            </w:r>
            <w:r>
              <w:rPr>
                <w:color w:val="000000"/>
              </w:rPr>
            </w:r>
          </w:p>
        </w:tc>
        <w:tc>
          <w:tcPr>
            <w:shd w:val="clear" w:color="000000" w:fill="ffffff"/>
            <w:tcBorders/>
            <w:tcW w:w="2581" w:type="dxa"/>
            <w:vAlign w:val="center"/>
            <w:textDirection w:val="lrTb"/>
            <w:noWrap w:val="false"/>
          </w:tcPr>
          <w:p>
            <w:pPr>
              <w:pBdr/>
              <w:spacing w:after="40" w:before="40" w:line="240" w:lineRule="auto"/>
              <w:ind/>
              <w:jc w:val="center"/>
              <w:rPr/>
            </w:pPr>
            <w:r>
              <w:rPr>
                <w:color w:val="000000" w:themeColor="text1"/>
              </w:rPr>
              <w:t xml:space="preserve">174.000.000</w:t>
            </w:r>
            <w:r/>
          </w:p>
        </w:tc>
        <w:tc>
          <w:tcPr>
            <w:shd w:val="clear" w:color="000000" w:fill="ffffff"/>
            <w:tcBorders/>
            <w:tcW w:w="2164" w:type="dxa"/>
            <w:vAlign w:val="center"/>
            <w:textDirection w:val="lrTb"/>
            <w:noWrap w:val="false"/>
          </w:tcPr>
          <w:p>
            <w:pPr>
              <w:pBdr/>
              <w:spacing w:line="240" w:lineRule="auto"/>
              <w:ind/>
              <w:jc w:val="right"/>
              <w:rPr/>
            </w:pPr>
            <w:r>
              <w:t xml:space="preserve">14.007.000.000</w:t>
            </w:r>
            <w:r/>
          </w:p>
        </w:tc>
      </w:tr>
      <w:tr>
        <w:trPr>
          <w:trHeight w:val="20"/>
        </w:trPr>
        <w:tc>
          <w:tcPr>
            <w:gridSpan w:val="4"/>
            <w:tcBorders/>
            <w:tcW w:w="7352" w:type="dxa"/>
            <w:vAlign w:val="center"/>
            <w:textDirection w:val="lrTb"/>
            <w:noWrap/>
          </w:tcPr>
          <w:p>
            <w:pPr>
              <w:pBdr/>
              <w:spacing w:after="40" w:before="40" w:line="240"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line="240" w:lineRule="auto"/>
              <w:ind/>
              <w:jc w:val="right"/>
              <w:rPr>
                <w:b/>
                <w:bCs/>
              </w:rPr>
            </w:pPr>
            <w:r>
              <w:rPr>
                <w:b/>
                <w:bCs/>
              </w:rPr>
            </w:r>
            <w:r>
              <w:rPr>
                <w:b/>
                <w:bCs/>
              </w:rPr>
              <w:t xml:space="preserve">14.007.000.000</w:t>
            </w:r>
            <w:r>
              <w:rPr>
                <w:b/>
                <w:bCs/>
              </w:rPr>
            </w:r>
            <w:r>
              <w:rPr>
                <w:b/>
                <w:bCs/>
              </w:rPr>
            </w:r>
          </w:p>
        </w:tc>
      </w:tr>
      <w:tr>
        <w:trPr>
          <w:trHeight w:val="20"/>
        </w:trPr>
        <w:tc>
          <w:tcPr>
            <w:gridSpan w:val="4"/>
            <w:tcBorders/>
            <w:tcW w:w="7352" w:type="dxa"/>
            <w:vAlign w:val="center"/>
            <w:textDirection w:val="lrTb"/>
            <w:noWrap/>
          </w:tcPr>
          <w:p>
            <w:pPr>
              <w:pBdr/>
              <w:spacing w:after="40" w:before="40" w:line="240"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line="240" w:lineRule="auto"/>
              <w:ind/>
              <w:jc w:val="right"/>
              <w:rPr>
                <w:b/>
                <w:bCs/>
              </w:rPr>
            </w:pPr>
            <w:r>
              <w:rPr>
                <w:b/>
                <w:bCs/>
              </w:rPr>
            </w:r>
            <w:r>
              <w:rPr>
                <w:b/>
                <w:bCs/>
              </w:rPr>
              <w:t xml:space="preserve">14.007.000.000</w:t>
            </w:r>
            <w:r>
              <w:rPr>
                <w:b/>
                <w:bCs/>
              </w:rPr>
            </w:r>
            <w:r>
              <w:rPr>
                <w:b/>
                <w:bCs/>
              </w:rPr>
            </w:r>
          </w:p>
        </w:tc>
      </w:tr>
      <w:tr>
        <w:trPr>
          <w:trHeight w:val="20"/>
        </w:trPr>
        <w:tc>
          <w:tcPr>
            <w:gridSpan w:val="5"/>
            <w:tcBorders/>
            <w:tcW w:w="9516" w:type="dxa"/>
            <w:vAlign w:val="center"/>
            <w:textDirection w:val="lrTb"/>
            <w:noWrap w:val="false"/>
          </w:tcPr>
          <w:p>
            <w:pPr>
              <w:pBdr/>
              <w:spacing w:after="40" w:before="40" w:line="240"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bốn tỷ, không trăm linh bảy triệu đồng chẵn</w:t>
            </w:r>
            <w:r>
              <w:rPr>
                <w:b/>
                <w:bCs/>
                <w:i/>
                <w:iCs/>
                <w:color w:val="000000"/>
              </w:rPr>
              <w:t xml:space="preserve">./.)</w:t>
            </w:r>
            <w:r>
              <w:rPr>
                <w:b/>
                <w:bCs/>
                <w:i/>
                <w:iCs/>
                <w:color w:val="000000"/>
              </w:rPr>
            </w:r>
            <w:r>
              <w:rPr>
                <w:b/>
                <w:bCs/>
                <w:i/>
                <w:iCs/>
                <w:color w:val="000000"/>
              </w:rPr>
            </w:r>
          </w:p>
        </w:tc>
      </w:tr>
    </w:tbl>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7"/>
        <w:numPr>
          <w:ilvl w:val="0"/>
          <w:numId w:val="39"/>
        </w:numPr>
        <w:pBdr/>
        <w:tabs>
          <w:tab w:val="left" w:leader="none" w:pos="993"/>
        </w:tabs>
        <w:spacing w:after="120" w:before="120" w:line="264" w:lineRule="auto"/>
        <w:ind/>
        <w:jc w:val="both"/>
        <w:rPr>
          <w:lang w:val="pt-BR"/>
          <w14:ligatures w14:val="none"/>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lang w:val="pt-BR"/>
        </w:rPr>
        <w:t xml:space="preserve">Theo khảo sát thực tế, tài sản trên đất là nhà </w:t>
      </w:r>
      <w:r>
        <w:rPr>
          <w:color w:val="000000"/>
        </w:rPr>
        <w:t xml:space="preserve">4 tầng, diện tích sàn xây dựng khoảng 68m2, diện tích sàn xây dựng khoảng 272m2; có kết cấu tường gạch, mái bằng BTCT đã hoàn thiện đang sử dụng bình thường. Công trình xây dựng chưa được chứng nhận trên GCN số BN272478</w:t>
      </w:r>
      <w:r>
        <w:rPr>
          <w:lang w:val="pt-BR"/>
        </w:rPr>
        <w:t xml:space="preserve">. </w:t>
      </w:r>
      <w:r>
        <w:rPr>
          <w:rFonts w:ascii="Times New Roman" w:hAnsi="Times New Roman" w:eastAsia="Times New Roman" w:cs="Times New Roman"/>
          <w:color w:val="000000"/>
          <w:sz w:val="24"/>
        </w:rPr>
        <w:t xml:space="preserve">Do đó, được sự đồng ý của Ngân hàng, khách hàng, tổ thẩm định không xác định giá trị của công trình xây dựng tuy nhiên vẫn coi công trình là phần không thể tách rời của tài sản thẩm định</w:t>
      </w:r>
      <w:r>
        <w:rPr>
          <w:lang w:val="pt-BR"/>
        </w:rPr>
        <w:t xml:space="preserve">.</w:t>
      </w:r>
      <w:r>
        <w:rPr>
          <w:lang w:val="pt-BR"/>
          <w14:ligatures w14:val="none"/>
        </w:rPr>
      </w:r>
      <w:r>
        <w:rPr>
          <w:lang w:val="pt-BR"/>
          <w14:ligatures w14:val="none"/>
        </w:rPr>
      </w:r>
    </w:p>
    <w:p>
      <w:pPr>
        <w:pStyle w:val="1027"/>
        <w:numPr>
          <w:ilvl w:val="0"/>
          <w:numId w:val="5"/>
        </w:numPr>
        <w:pBdr/>
        <w:tabs>
          <w:tab w:val="left" w:leader="none" w:pos="993"/>
        </w:tabs>
        <w:spacing w:after="120" w:before="120" w:line="288" w:lineRule="auto"/>
        <w:ind/>
        <w:jc w:val="both"/>
        <w:rPr>
          <w:lang w:val="pt-BR"/>
        </w:rPr>
      </w:pPr>
      <w:r>
        <w:rPr>
          <w:highlight w:val="none"/>
          <w:lang w:val="pt-BR" w:bidi="pt-BR"/>
        </w:rPr>
      </w:r>
      <w:r>
        <w:rPr>
          <w:rFonts w:ascii="Times New Roman" w:hAnsi="Times New Roman" w:eastAsia="Times New Roman" w:cs="Times New Roman"/>
          <w:color w:val="000000"/>
          <w:sz w:val="24"/>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w:t>
      </w:r>
      <w:r>
        <w:rPr>
          <w:rFonts w:ascii="Times New Roman" w:hAnsi="Times New Roman" w:eastAsia="Times New Roman" w:cs="Times New Roman"/>
          <w:color w:val="000000"/>
          <w:sz w:val="24"/>
        </w:rPr>
        <w:t xml:space="preserve">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w:t>
      </w:r>
      <w:r>
        <w:rPr>
          <w:rFonts w:ascii="Times New Roman" w:hAnsi="Times New Roman" w:eastAsia="Times New Roman" w:cs="Times New Roman"/>
          <w:color w:val="000000"/>
          <w:sz w:val="24"/>
        </w:rPr>
        <w:t xml:space="preserve">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thẩm định giá</w:t>
      </w:r>
      <w:r>
        <w:rPr>
          <w:lang w:val="pt-BR"/>
        </w:rPr>
      </w:r>
      <w:r>
        <w:rPr>
          <w:lang w:val="pt-BR"/>
        </w:rPr>
      </w:r>
    </w:p>
    <w:p>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r>
        <w:rPr>
          <w:bCs/>
          <w:spacing w:val="-2"/>
          <w:lang w:val="pt-BR"/>
        </w:rPr>
      </w:r>
    </w:p>
    <w:p>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7"/>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275/2026/0233/VFI-CT.24.A</w:t>
      </w:r>
      <w:r>
        <w:rPr>
          <w:color w:val="ff0000"/>
          <w:lang w:val="vi-VN"/>
        </w:rPr>
        <w:t xml:space="preserve"> </w:t>
      </w:r>
      <w:r>
        <w:rPr>
          <w:color w:val="000000" w:themeColor="text1"/>
        </w:rPr>
        <w:t xml:space="preserve">ngày 29 tháng 01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Quỳnh Anh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275/2026/0233/VFI-BC.24.A</w:t>
      </w:r>
      <w:r>
        <w:rPr>
          <w:i/>
          <w:lang w:val="pt-BR"/>
        </w:rPr>
        <w:t xml:space="preserve"> </w:t>
      </w:r>
      <w:r>
        <w:rPr>
          <w:i/>
          <w:lang w:val="pt-BR"/>
        </w:rPr>
        <w:t xml:space="preserve">29 tháng 01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1"/>
        <w:tblInd w:w="28" w:type="dx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650"/>
        <w:gridCol w:w="4847"/>
      </w:tblGrid>
      <w:tr>
        <w:trPr/>
        <w:tc>
          <w:tcPr>
            <w:tcBorders/>
            <w:tcW w:w="4650"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84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650"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67000" cy="465772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736023" name=""/>
                              <pic:cNvPicPr>
                                <a:picLocks noChangeAspect="1"/>
                              </pic:cNvPicPr>
                              <pic:nvPr/>
                            </pic:nvPicPr>
                            <pic:blipFill rotWithShape="1">
                              <a:blip r:embed="rId20"/>
                              <a:stretch/>
                            </pic:blipFill>
                            <pic:spPr bwMode="auto">
                              <a:xfrm>
                                <a:off x="0" y="0"/>
                                <a:ext cx="2666999" cy="46577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0.00pt;height:366.75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847" w:type="dxa"/>
            <w:vAlign w:val="center"/>
            <w:textDirection w:val="lrTb"/>
            <w:noWrap w:val="false"/>
          </w:tcPr>
          <w:p>
            <w:pPr>
              <w:pBdr/>
              <w:spacing/>
              <w:ind/>
              <w:rPr/>
            </w:pPr>
            <w:r>
              <mc:AlternateContent>
                <mc:Choice Requires="wpg">
                  <w:drawing>
                    <wp:inline xmlns:wp="http://schemas.openxmlformats.org/drawingml/2006/wordprocessingDrawing" distT="0" distB="0" distL="0" distR="0">
                      <wp:extent cx="2806405" cy="2104804"/>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731830" name=""/>
                              <pic:cNvPicPr>
                                <a:picLocks noChangeAspect="1"/>
                              </pic:cNvPicPr>
                              <pic:nvPr/>
                            </pic:nvPicPr>
                            <pic:blipFill rotWithShape="1">
                              <a:blip r:embed="rId21"/>
                              <a:stretch/>
                            </pic:blipFill>
                            <pic:spPr bwMode="auto">
                              <a:xfrm flipH="0" flipV="0">
                                <a:off x="0" y="0"/>
                                <a:ext cx="2806404" cy="21048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0.98pt;height:165.73pt;mso-wrap-distance-left:0.00pt;mso-wrap-distance-top:0.00pt;mso-wrap-distance-right:0.00pt;mso-wrap-distance-bottom:0.00pt;z-index:1;" stroked="false">
                      <v:imagedata r:id="rId21" o:title=""/>
                      <o:lock v:ext="edit" rotation="t"/>
                    </v:shape>
                  </w:pict>
                </mc:Fallback>
              </mc:AlternateContent>
            </w:r>
            <w:r>
              <w:rPr>
                <w:sz w:val="24"/>
              </w:rPr>
            </w:r>
            <w:r/>
          </w:p>
        </w:tc>
      </w:tr>
      <w:tr>
        <w:trPr/>
        <w:tc>
          <w:tcPr>
            <w:tcBorders/>
            <w:tcW w:w="4650"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84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650"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42949" cy="213221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895267" name=""/>
                              <pic:cNvPicPr>
                                <a:picLocks noChangeAspect="1"/>
                              </pic:cNvPicPr>
                              <pic:nvPr/>
                            </pic:nvPicPr>
                            <pic:blipFill rotWithShape="1">
                              <a:blip r:embed="rId22"/>
                              <a:stretch/>
                            </pic:blipFill>
                            <pic:spPr bwMode="auto">
                              <a:xfrm flipH="0" flipV="0">
                                <a:off x="0" y="0"/>
                                <a:ext cx="2842948" cy="213221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3.85pt;height:167.89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84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21000" cy="219075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788398" name=""/>
                              <pic:cNvPicPr>
                                <a:picLocks noChangeAspect="1"/>
                              </pic:cNvPicPr>
                              <pic:nvPr/>
                            </pic:nvPicPr>
                            <pic:blipFill rotWithShape="1">
                              <a:blip r:embed="rId23"/>
                              <a:stretch/>
                            </pic:blipFill>
                            <pic:spPr bwMode="auto">
                              <a:xfrm flipH="0" flipV="0">
                                <a:off x="0" y="0"/>
                                <a:ext cx="2920999" cy="21907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0.00pt;height:172.50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r>
      <w:tr>
        <w:trPr/>
        <w:tc>
          <w:tcPr>
            <w:tcBorders/>
            <w:tcW w:w="4650"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84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650"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06160" cy="210462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418591" name=""/>
                              <pic:cNvPicPr>
                                <a:picLocks noChangeAspect="1"/>
                              </pic:cNvPicPr>
                              <pic:nvPr/>
                            </pic:nvPicPr>
                            <pic:blipFill rotWithShape="1">
                              <a:blip r:embed="rId24"/>
                              <a:stretch/>
                            </pic:blipFill>
                            <pic:spPr bwMode="auto">
                              <a:xfrm flipH="0" flipV="0">
                                <a:off x="0" y="0"/>
                                <a:ext cx="2806159" cy="21046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0.96pt;height:165.72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c>
          <w:tcPr>
            <w:tcBorders/>
            <w:tcW w:w="484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50655" cy="2212991"/>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161617" name=""/>
                              <pic:cNvPicPr>
                                <a:picLocks noChangeAspect="1"/>
                              </pic:cNvPicPr>
                              <pic:nvPr/>
                            </pic:nvPicPr>
                            <pic:blipFill rotWithShape="1">
                              <a:blip r:embed="rId25"/>
                              <a:stretch/>
                            </pic:blipFill>
                            <pic:spPr bwMode="auto">
                              <a:xfrm flipH="0" flipV="0">
                                <a:off x="0" y="0"/>
                                <a:ext cx="2950654" cy="22129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32.34pt;height:174.25pt;mso-wrap-distance-left:0.00pt;mso-wrap-distance-top:0.00pt;mso-wrap-distance-right:0.00pt;mso-wrap-distance-bottom:0.00pt;z-index:1;" stroked="false">
                      <v:imagedata r:id="rId25" o:title=""/>
                      <o:lock v:ext="edit" rotation="t"/>
                    </v:shape>
                  </w:pict>
                </mc:Fallback>
              </mc:AlternateContent>
            </w:r>
            <w:r>
              <w:rPr>
                <w:b/>
                <w:bCs/>
                <w:i/>
                <w:lang w:val="pt-BR"/>
              </w:rPr>
            </w:r>
            <w:r>
              <w:rPr>
                <w:b/>
                <w:bCs/>
                <w:i/>
                <w:lang w:val="pt-BR"/>
              </w:rPr>
            </w:r>
          </w:p>
        </w:tc>
      </w:tr>
      <w:tr>
        <w:trPr/>
        <w:tc>
          <w:tcPr>
            <w:tcBorders/>
            <w:tcW w:w="4650"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97625" cy="2248219"/>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424425" name=""/>
                              <pic:cNvPicPr>
                                <a:picLocks noChangeAspect="1"/>
                              </pic:cNvPicPr>
                              <pic:nvPr/>
                            </pic:nvPicPr>
                            <pic:blipFill rotWithShape="1">
                              <a:blip r:embed="rId26"/>
                              <a:stretch/>
                            </pic:blipFill>
                            <pic:spPr bwMode="auto">
                              <a:xfrm flipH="0" flipV="0">
                                <a:off x="0" y="0"/>
                                <a:ext cx="2997624" cy="224821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36.03pt;height:177.03pt;mso-wrap-distance-left:0.00pt;mso-wrap-distance-top:0.00pt;mso-wrap-distance-right:0.00pt;mso-wrap-distance-bottom:0.00pt;z-index:1;" stroked="false">
                      <v:imagedata r:id="rId26" o:title=""/>
                      <o:lock v:ext="edit" rotation="t"/>
                    </v:shape>
                  </w:pict>
                </mc:Fallback>
              </mc:AlternateContent>
            </w:r>
            <w:r>
              <w:rPr>
                <w:i/>
                <w:lang w:val="pt-BR"/>
              </w:rPr>
            </w:r>
            <w:r>
              <w:rPr>
                <w:i/>
                <w:lang w:val="pt-BR"/>
              </w:rPr>
            </w:r>
          </w:p>
        </w:tc>
        <w:tc>
          <w:tcPr>
            <w:tcBorders/>
            <w:tcW w:w="4847"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73337" cy="2230003"/>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270264" name=""/>
                              <pic:cNvPicPr>
                                <a:picLocks noChangeAspect="1"/>
                              </pic:cNvPicPr>
                              <pic:nvPr/>
                            </pic:nvPicPr>
                            <pic:blipFill rotWithShape="1">
                              <a:blip r:embed="rId27"/>
                              <a:stretch/>
                            </pic:blipFill>
                            <pic:spPr bwMode="auto">
                              <a:xfrm flipH="0" flipV="0">
                                <a:off x="0" y="0"/>
                                <a:ext cx="2973337" cy="22300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34.12pt;height:175.59pt;mso-wrap-distance-left:0.00pt;mso-wrap-distance-top:0.00pt;mso-wrap-distance-right:0.00pt;mso-wrap-distance-bottom:0.00pt;z-index:1;" stroked="false">
                      <v:imagedata r:id="rId27" o:title=""/>
                      <o:lock v:ext="edit" rotation="t"/>
                    </v:shape>
                  </w:pict>
                </mc:Fallback>
              </mc:AlternateContent>
            </w:r>
            <w:r>
              <w:rPr>
                <w:i/>
                <w:lang w:val="pt-BR"/>
              </w:rPr>
            </w:r>
            <w:r>
              <w:rPr>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275/2026/0233/VFI-BC.24.A</w:t>
      </w:r>
      <w:r>
        <w:rPr>
          <w:i/>
          <w:lang w:val="pt-BR"/>
        </w:rPr>
        <w:t xml:space="preserve"> </w:t>
      </w:r>
      <w:r>
        <w:rPr>
          <w:i/>
          <w:lang w:val="pt-BR"/>
        </w:rPr>
        <w:t xml:space="preserve">29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0852.822.820</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8.280.000.000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(40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Minh Khai, Quận Hai Bà Trưng, Thành phố Hà Nội, khoảng cách ra đường chính Cách đường Minh Khải khoảng 300m, độ rộng đường trước mặt tài sản 2m, Cách đường Minh Khải khoảng 300m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34069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777396537" name="" descr=""/>
                              <pic:cNvPicPr/>
                              <pic:nvPr/>
                            </pic:nvPicPr>
                            <pic:blipFill rotWithShape="1">
                              <a:blip r:embed="rId28"/>
                              <a:stretch/>
                            </pic:blipFill>
                            <pic:spPr bwMode="auto">
                              <a:xfrm flipH="0" flipV="0">
                                <a:off x="0" y="0"/>
                                <a:ext cx="5340690"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20.53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254965"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5254965"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13.78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Lê Thị Quỳnh Anh</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t xml:space="preserve">: 0974 353 381</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13.328.000.000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(58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Minh Khai, Quận Hai Bà Trưng, Thành phố Hà Nội, khoảng cách ra đường chính Cách đường Minh Khai khoảng 400m, độ rộng đường trước mặt tài sản 2.3m, Cách đường Minh Khai khoảng 400m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494214"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449421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53.88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60518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460518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62.61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Thị Quỳnh Anh</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0972415323</w:t>
            </w:r>
            <w:r>
              <w:rPr>
                <w:sz w:val="22"/>
                <w:szCs w:val="22"/>
              </w:rPr>
              <w:t xml:space="preserve"> (Sale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8.390.000.000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7.551.000.000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(36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Minh Khai, Quận Hai Bà Trưng, Thành phố Hà Nội, khoảng cách ra đường chính Cách đường Minh Khai khoảng 100m, độ rộng đường trước mặt tài sản 2m, Cách đường Minh Khai khoảng 100m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98372"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549837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32.94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308943" cy="3479260"/>
                      <wp:effectExtent l="0" t="0" r="0" b="0"/>
                      <wp:docPr id="20" name=""/>
                      <wp:cNvGraphicFramePr/>
                      <a:graphic xmlns:a="http://schemas.openxmlformats.org/drawingml/2006/main">
                        <a:graphicData uri="http://schemas.openxmlformats.org/drawingml/2006/picture">
                          <pic:pic xmlns:pic="http://schemas.openxmlformats.org/drawingml/2006/picture">
                            <pic:nvPicPr>
                              <pic:cNvPr id="2107891716" name="" descr=""/>
                              <pic:cNvPicPr/>
                              <pic:nvPr/>
                            </pic:nvPicPr>
                            <pic:blipFill rotWithShape="1">
                              <a:blip r:embed="rId33"/>
                              <a:stretch/>
                            </pic:blipFill>
                            <pic:spPr bwMode="auto">
                              <a:xfrm flipH="0" flipV="0">
                                <a:off x="0" y="0"/>
                                <a:ext cx="5308943" cy="34792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18.03pt;height:273.96pt;mso-wrap-distance-left:0.00pt;mso-wrap-distance-top:0.00pt;mso-wrap-distance-right:0.00pt;mso-wrap-distance-bottom:0.00pt;z-index:1;" stroked="false">
                      <v:imagedata r:id="rId33"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5378790" cy="3885660"/>
                      <wp:effectExtent l="0" t="0" r="0" b="0"/>
                      <wp:docPr id="21" name=""/>
                      <wp:cNvGraphicFramePr/>
                      <a:graphic xmlns:a="http://schemas.openxmlformats.org/drawingml/2006/main">
                        <a:graphicData uri="http://schemas.openxmlformats.org/drawingml/2006/picture">
                          <pic:pic xmlns:pic="http://schemas.openxmlformats.org/drawingml/2006/picture">
                            <pic:nvPicPr>
                              <pic:cNvPr id="2133747450" name="" descr=""/>
                              <pic:cNvPicPr/>
                              <pic:nvPr/>
                            </pic:nvPicPr>
                            <pic:blipFill rotWithShape="1">
                              <a:blip r:embed="rId34"/>
                              <a:stretch/>
                            </pic:blipFill>
                            <pic:spPr bwMode="auto">
                              <a:xfrm flipH="0" flipV="0">
                                <a:off x="0" y="0"/>
                                <a:ext cx="5378789" cy="38856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23.53pt;height:305.96pt;mso-wrap-distance-left:0.00pt;mso-wrap-distance-top:0.00pt;mso-wrap-distance-right:0.00pt;mso-wrap-distance-bottom:0.00pt;z-index:1;" stroked="false">
                      <v:imagedata r:id="rId34"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87.50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87.50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Thị Quỳnh Anh</w:t>
            </w:r>
            <w:r/>
          </w:p>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beta.meeymap.com/tra-cuu-quy-hoach/quan-hai-ba-trung?search=a:20.996210610045082|b:105.85719534528101|c:0|d:1|e:/images/seo-default-2.png."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jpg"/><Relationship Id="rId22" Type="http://schemas.openxmlformats.org/officeDocument/2006/relationships/image" Target="media/image7.jpg"/><Relationship Id="rId23" Type="http://schemas.openxmlformats.org/officeDocument/2006/relationships/image" Target="media/image8.jpg"/><Relationship Id="rId24" Type="http://schemas.openxmlformats.org/officeDocument/2006/relationships/image" Target="media/image9.jpg"/><Relationship Id="rId25" Type="http://schemas.openxmlformats.org/officeDocument/2006/relationships/image" Target="media/image10.jpg"/><Relationship Id="rId26" Type="http://schemas.openxmlformats.org/officeDocument/2006/relationships/image" Target="media/image11.jpg"/><Relationship Id="rId27" Type="http://schemas.openxmlformats.org/officeDocument/2006/relationships/image" Target="media/image12.jp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jpg"/><Relationship Id="rId33" Type="http://schemas.openxmlformats.org/officeDocument/2006/relationships/image" Target="media/image18.jpg"/><Relationship Id="rId34" Type="http://schemas.openxmlformats.org/officeDocument/2006/relationships/image" Target="media/image19.jpg"/><Relationship Id="rId35" Type="http://schemas.openxmlformats.org/officeDocument/2006/relationships/image" Target="media/image20.jpg"/><Relationship Id="rId36" Type="http://schemas.openxmlformats.org/officeDocument/2006/relationships/image" Target="media/image21.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Quỳnh Anh</cp:lastModifiedBy>
  <cp:revision>274</cp:revision>
  <dcterms:created xsi:type="dcterms:W3CDTF">2025-09-15T09:58:00Z</dcterms:created>
  <dcterms:modified xsi:type="dcterms:W3CDTF">2026-01-30T09:02:24Z</dcterms:modified>
</cp:coreProperties>
</file>