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727378</wp:posOffset>
                </wp:positionV>
                <wp:extent cx="5467350" cy="350520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051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275/2026/0191/VFI-CT.48.A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ĐẦU TƯ THƯƠNG MẠI VÀ VẬN TẢI SÔNG HỒNG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số: 48, tờ bản đồ số: 5H-I-47 có địa chỉ: Tổ 41, phường Phương Liệt, quận Thanh Xuân, thành </w:t>
                            </w:r>
                            <w:r>
                              <w:rPr>
                                <w:color w:val="000000"/>
                              </w:rPr>
                              <w:t xml:space="preserve">phố Hà Nội (nay là phường Phương Liệt, thành p</w:t>
                            </w:r>
                            <w:r>
                              <w:rPr>
                                <w:color w:val="000000"/>
                              </w:rPr>
                              <w:t xml:space="preserve">hố Hà Nội) theo Giấy chứng nhận quyền sở hữu nhà ở và quyền sử dụng đất ở số: 10111070848, hồ sơ gốc số: 5935.2002.QĐUB 24323.2002 do Uỷ ban nhân dân thành phố Hà Nội cấp ngày 26/08/2002 cho Ông Dương Văn Lương và Bà Phạm Thị Lựu (cập nhập ngày 23/12/2005)</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57.27pt;mso-position-vertical:absolute;width:430.50pt;height:276.0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275/2026/0191/VFI-CT.48.A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ĐẦU TƯ THƯƠNG MẠI VÀ VẬN TẢI SÔNG HỒNG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số: 48, tờ bản đồ số: 5H-I-47 có địa chỉ: Tổ 41, phường Phương Liệt, quận Thanh Xuân, thành </w:t>
                      </w:r>
                      <w:r>
                        <w:rPr>
                          <w:color w:val="000000"/>
                        </w:rPr>
                        <w:t xml:space="preserve">phố Hà Nội (nay là phường Phương Liệt, thành p</w:t>
                      </w:r>
                      <w:r>
                        <w:rPr>
                          <w:color w:val="000000"/>
                        </w:rPr>
                        <w:t xml:space="preserve">hố Hà Nội) theo Giấy chứng nhận quyền sở hữu nhà ở và quyền sử dụng đất ở số: 10111070848, hồ sơ gốc số: 5935.2002.QĐUB 24323.2002 do Uỷ ban nhân dân thành phố Hà Nội cấp ngày 26/08/2002 cho Ông Dương Văn Lương và Bà Phạm Thị Lựu (cập nhập ngày 23/12/2005)</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t xml:space="preserve">            21-28</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55" w:type="dxa"/>
        <w:tblW w:w="9921" w:type="dxa"/>
        <w:tblBorders/>
        <w:tblLayout w:type="fixed"/>
        <w:tblLook w:val="04A0" w:firstRow="1" w:lastRow="0" w:firstColumn="1" w:lastColumn="0" w:noHBand="0" w:noVBand="1"/>
      </w:tblPr>
      <w:tblGrid>
        <w:gridCol w:w="1701"/>
        <w:gridCol w:w="3260"/>
        <w:gridCol w:w="4961"/>
      </w:tblGrid>
      <w:tr>
        <w:trPr>
          <w:trHeight w:val="1152"/>
        </w:trPr>
        <w:tc>
          <w:tcPr>
            <w:tcBorders/>
            <w:tcW w:w="170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2"/>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275/2026/0191/VFI-CT.48.A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23 tháng 1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ĐẦU TƯ THƯƠNG MẠI VÀ VẬN TẢI SÔNG HỒNG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275/2026/0191/VFI-HĐTĐ.48.A</w:t>
      </w:r>
      <w:r>
        <w:rPr>
          <w:spacing w:val="-4"/>
          <w:lang w:val="vi-VN"/>
        </w:rPr>
        <w:t xml:space="preserve"> ký ngày </w:t>
      </w:r>
      <w:r>
        <w:rPr>
          <w:color w:val="000000" w:themeColor="text1"/>
          <w:spacing w:val="-4"/>
        </w:rPr>
        <w:t xml:space="preserve">22 tháng 1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z w:val="24"/>
        </w:rPr>
        <w:t xml:space="preserve">Công Ty Cổ Phần Đầu Tư Thương Mại Và Vận Tải Sông Hồng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275/2026/0191/VFI-BC.48.A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CÔNG TY CỔ PHẦN ĐẦU TƯ THƯƠNG MẠI VÀ VẬN TẢI SÔNG HỒNG</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Ông Phạm Văn Lượng           Chức vụ: Giám đốc</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nhà 3, ngõ 2, phố Yên Bình, Phường Phúc La, Quận Hà Đông, Tp Hà Nội</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0107586147</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rPr>
        <w:t xml:space="preserve"> Quyền sử dụng đất số: 48, tờ bản đồ số: 5H-I-47 có địa chỉ: Tổ 41, phường Phương Liệt, quận Thanh Xuân, thành </w:t>
      </w:r>
      <w:r>
        <w:rPr>
          <w:color w:val="000000"/>
        </w:rPr>
        <w:t xml:space="preserve">phố Hà Nội (nay là phường Phương Liệt, thành p</w:t>
      </w:r>
      <w:r>
        <w:rPr>
          <w:color w:val="000000"/>
        </w:rPr>
        <w:t xml:space="preserve">hố Hà Nội) theo Giấy chứng nhận quyền sở hữu nhà ở và quyền sử dụng đất ở số: 10111070848, hồ sơ gốc số: 5935.2002.QĐUB 24323.2002 do Uỷ ban nhân dân thành phố Hà Nội cấp ngày 26/08/2002 cho Ông Dương Văn Lương và Bà Phạm Thị Lựu (cập nhập ngày 23/12/2005)</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color w:val="000000"/>
              </w:rPr>
              <w:t xml:space="preserve">Quyền sử dụng đất số: 48, tờ bản đồ số: 5H-I-47 có địa chỉ: Tổ 41, phường Phương Liệt, quận Thanh Xuân, thành </w:t>
            </w:r>
            <w:r>
              <w:rPr>
                <w:color w:val="000000"/>
              </w:rPr>
              <w:t xml:space="preserve">phố Hà Nội (nay là phường Phương Liệt, thành p</w:t>
            </w:r>
            <w:r>
              <w:rPr>
                <w:color w:val="000000"/>
              </w:rPr>
              <w:t xml:space="preserve">hố Hà Nội) theo Giấy chứng nhận quyền sở hữu nhà ở và quyền sử dụng đất ở số: 10111070848, hồ sơ gốc số: 5935.2002.QĐUB 24323.2002 do Uỷ ban nhân dân thành phố Hà Nội cấp ngày 26/08/2002 cho Ông Dương Văn Lương và Bà Phạm Thị Lựu (cập nhập ngày 23/12/2005)</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99,1</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320.000.000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31.712.000.000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31.712.000.000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31.712.000.000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mươi mốt tỷ bảy trăm mười hai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1871"/>
        <w:gridCol w:w="3090"/>
        <w:gridCol w:w="4961"/>
        <w:gridCol w:w="29"/>
      </w:tblGrid>
      <w:tr>
        <w:trPr>
          <w:trHeight w:val="1152"/>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0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275/2026/0191/VFI-CT.48.A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23 tháng 1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275/2026/0191/VFI-CT.48.A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771"/>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CÔNG TY CỔ PHẦN ĐẦU TƯ THƯƠNG MẠI VÀ VẬN TẢI SÔNG HỒNG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Ông Phạm Văn Lượng           Chức vụ: Giám đốc</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Số nhà 3, ngõ 2, phố Yên Bình, Phường Phúc La, Quận Hà Đông, Tp Hà Nội</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0107586147</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số: 48, tờ bản đồ số: 5H-I-47 có địa chỉ: Tổ 41, phường Phương Liệt, quận Thanh Xuân, thành </w:t>
            </w:r>
            <w:r>
              <w:rPr>
                <w:color w:val="000000"/>
              </w:rPr>
              <w:t xml:space="preserve">phố Hà Nội (nay là phường Phương Liệt, thành p</w:t>
            </w:r>
            <w:r>
              <w:rPr>
                <w:color w:val="000000"/>
              </w:rPr>
              <w:t xml:space="preserve">hố Hà Nội) theo Giấy chứng nhận quyền sở hữu nhà ở và quyền sử dụng đất ở số: 10111070848, hồ sơ gốc số: 5935.2002.QĐUB 24323.2002 do Uỷ ban nhân dân thành phố Hà Nội cấp ngày 26/08/2002 cho Ông Dương Văn Lương và Bà Phạm Thị Lựu (cập nhập ngày 23/12/2005)</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color w:val="000000"/>
              </w:rPr>
              <w:t xml:space="preserve">Phường Phương Liệt, thành p</w:t>
            </w:r>
            <w:r>
              <w:rPr>
                <w:color w:val="000000"/>
              </w:rPr>
              <w:t xml:space="preserve">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20.990305555556, 105.84063888889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sở hữu nhà ở và quyền sử dụng đất ở số: 10111070848, hồ sơ gốc số: 5935.2002.QĐUB 24323.2002 do Uỷ ban nhân dân thành phố Hà Nội cấp ngày 26/08/2002 cho Ông Dương Văn Lương và Bà Phạm Thị Lựu (cập nhập ngày 23/12/2005)</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rFonts w:ascii="Times New Roman" w:hAnsi="Times New Roman" w:cs="Times New Roman"/>
          <w:b/>
          <w:sz w:val="24"/>
          <w:szCs w:val="24"/>
        </w:rPr>
      </w:pPr>
      <w:r>
        <w:rPr>
          <w:rFonts w:ascii="Times New Roman" w:hAnsi="Times New Roman" w:eastAsia="Times New Roman" w:cs="Times New Roman"/>
          <w:color w:val="000000" w:themeColor="text1"/>
          <w:sz w:val="24"/>
          <w:szCs w:val="24"/>
          <w:lang w:val="pt-BR"/>
        </w:rPr>
      </w:r>
      <w:r>
        <w:rPr>
          <w:rFonts w:ascii="Times New Roman" w:hAnsi="Times New Roman" w:eastAsia="Times New Roman" w:cs="Times New Roman"/>
          <w:color w:val="000000"/>
          <w:sz w:val="24"/>
          <w:szCs w:val="24"/>
        </w:rPr>
        <w:t xml:space="preserve">Hợp đồng dịch vụ thẩm định giá số: </w:t>
      </w:r>
      <w:r>
        <w:rPr>
          <w:rFonts w:ascii="Times New Roman" w:hAnsi="Times New Roman" w:eastAsia="Times New Roman" w:cs="Times New Roman"/>
          <w:color w:val="081b3a"/>
          <w:spacing w:val="3"/>
          <w:sz w:val="24"/>
          <w:szCs w:val="24"/>
          <w:highlight w:val="white"/>
        </w:rPr>
        <w:t xml:space="preserve">275/2026/0191/VFI-HĐTĐ.48.A</w:t>
      </w:r>
      <w:r>
        <w:rPr>
          <w:rFonts w:ascii="Times New Roman" w:hAnsi="Times New Roman" w:eastAsia="Times New Roman" w:cs="Times New Roman"/>
          <w:color w:val="000000"/>
          <w:sz w:val="24"/>
          <w:szCs w:val="24"/>
        </w:rPr>
        <w:t xml:space="preserve"> ký ngày 15/5/2025 giữa Công Ty Cổ Phần Đầu Tư Thương Mại Và Vận Tải Sông Hồng</w:t>
      </w:r>
      <w:r>
        <w:rPr>
          <w:rFonts w:ascii="Times New Roman" w:hAnsi="Times New Roman" w:eastAsia="Times New Roman" w:cs="Times New Roman"/>
          <w:color w:val="000000"/>
          <w:spacing w:val="-6"/>
          <w:sz w:val="24"/>
          <w:szCs w:val="24"/>
        </w:rPr>
        <w:t xml:space="preserve"> và Công ty Cổ phần Thẩm định và Đầu tư Tài chính Hoa Sen</w:t>
      </w: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color w:val="000000" w:themeColor="text1"/>
          <w:sz w:val="24"/>
          <w:szCs w:val="24"/>
          <w:lang w:val="pt-BR"/>
        </w:rPr>
        <w:t xml:space="preserve">.</w:t>
      </w:r>
      <w:r>
        <w:rPr>
          <w:rFonts w:ascii="Times New Roman" w:hAnsi="Times New Roman" w:cs="Times New Roman"/>
          <w:b/>
          <w:sz w:val="24"/>
          <w:szCs w:val="24"/>
        </w:rPr>
      </w:r>
      <w:r>
        <w:rPr>
          <w:rFonts w:ascii="Times New Roman" w:hAnsi="Times New Roman" w:cs="Times New Roman"/>
          <w:b/>
          <w:sz w:val="24"/>
          <w:szCs w:val="24"/>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 xml:space="preserve"> Thanh Xuân đang trở thành tâm điểm thu hút sự chú ý của giới đầu tư nhờ vị trí chiến lược và hạ tầng phát triển đồng bộ. Với hệ thống giao thông kết nối thuận tiện, các tiện ích hiện đại cùng tiềm năng gia tăng giá trị mạnh mẽ, bất động sản Thanh Xuân khô</w:t>
      </w:r>
      <w:r>
        <w:rPr>
          <w:rFonts w:ascii="Times New Roman" w:hAnsi="Times New Roman" w:eastAsia="Times New Roman" w:cs="Times New Roman"/>
          <w:color w:val="000000"/>
          <w:sz w:val="24"/>
        </w:rPr>
        <w:t xml:space="preserve">ng chỉ đáp ứng nhu cầu an cư mà còn là lựa chọn lý tưởng cho những ai tìm kiếm cơ hội sinh lời bền vững. Vậy, lý do gì khiến khu vực này trở nên thu hút như vậy? Hãy cùng tìm hiểu trong bài viết dưới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Một số thông tin nổi bật về quận Thanh Xuân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Thanh Xuân từ lâu đã nổi danh là vùng đất "địa linh nhân kiệt" nhờ vị trí đắc địa. Nơi đây giáp ranh với các quận trung tâm của Hà Nội như Hai Bà Trưng, Nam Từ Liêm, Hà Đông, Thanh Trì, Hoàng Mai, Đống Đa và Cầu Giấy. Nhờ lợi thế này, Thanh Xuân có n</w:t>
      </w:r>
      <w:r>
        <w:rPr>
          <w:rFonts w:ascii="Times New Roman" w:hAnsi="Times New Roman" w:eastAsia="Times New Roman" w:cs="Times New Roman"/>
          <w:color w:val="000000"/>
          <w:sz w:val="24"/>
        </w:rPr>
        <w:t xml:space="preserve">ền kinh tế sôi động, các hoạt động giao thương và giải trí phát triển mạnh mẽ.</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Phát triển kinh tế và hạ tầng quận Thanh Xuân được xem là một trong những khu vực trọng yếu của Hà Nội về phát triển kinh tế - xã hội. Trong 6 tháng đầu năm 2024, quận đã đạt kết quả ấn tượng khi tổng thu ngân sách đạt khoảng 3.666 tỷ 261 triệu đồng, chiế</w:t>
      </w:r>
      <w:r>
        <w:rPr>
          <w:rFonts w:ascii="Times New Roman" w:hAnsi="Times New Roman" w:eastAsia="Times New Roman" w:cs="Times New Roman"/>
          <w:color w:val="000000"/>
          <w:sz w:val="24"/>
        </w:rPr>
        <w:t xml:space="preserve">m 55,4% chỉ tiêu toàn thành phố. Con số này phản ánh sự nỗ lực không ngừng trong việc thúc đẩy tăng trưởng kinh tế.</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Về hạ tầng, Thanh Xuân có mạng lưới giao thông hiện đại với nhiều tuyến đường chính như Vành đai 3, Đường Láng, Trường Chinh, Nguyễn Trãi, Lương Thế Vinh,... giúp giao thông thuận tiện. Đặc biệt, tuyến Metro Cát Linh - Hà Đông đi qua địa bàn cũng mang đến</w:t>
      </w:r>
      <w:r>
        <w:rPr>
          <w:rFonts w:ascii="Times New Roman" w:hAnsi="Times New Roman" w:eastAsia="Times New Roman" w:cs="Times New Roman"/>
          <w:color w:val="000000"/>
          <w:sz w:val="24"/>
        </w:rPr>
        <w:t xml:space="preserve"> sự thuận lợi cho người dân khi đi đến các khu vực lân cận. Trong thời gian tới, quận sẽ tiếp tục triển khai các kế hoạch cải tạo và nâng cấp hạ tầng giao thông, đảm bảo sự đồng bộ và hiện đại, góp phần đẩy nhanh quá trình đô thị hóa.</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Tình hình thị trường bất động sản tại quận Thanh Xuân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Thanh Xuân đang nổi lên như một khu vực tiềm năng trong phát triển bất động sản. Không chỉ sở hữu vị trí địa lý thuận lợi, hệ thống hạ tầng giao thông hiện đại và tốc độ tăng trưởng kinh tế ấn tượng, nhu cầu nhà ở ngày càng tăng cũng là yếu tố góp ph</w:t>
      </w:r>
      <w:r>
        <w:rPr>
          <w:rFonts w:ascii="Times New Roman" w:hAnsi="Times New Roman" w:eastAsia="Times New Roman" w:cs="Times New Roman"/>
          <w:color w:val="000000"/>
          <w:sz w:val="24"/>
        </w:rPr>
        <w:t xml:space="preserve">ần đẩy giá đất lên cao.</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Tính đến năm 2022, dân số quận đã đạt 293.292 người với mật độ lên tới 31.971 người/km2. Bên cạnh đó, Thanh Xuân còn là nơi tập trung nhiều doanh nghiệp, trường học và khu vui chơi giải trí, thu hút một lượng lớn người lao động và sinh viên đến làm việc, </w:t>
      </w:r>
      <w:r>
        <w:rPr>
          <w:rFonts w:ascii="Times New Roman" w:hAnsi="Times New Roman" w:eastAsia="Times New Roman" w:cs="Times New Roman"/>
          <w:color w:val="000000"/>
          <w:sz w:val="24"/>
        </w:rPr>
        <w:t xml:space="preserve">học tập. Điều này dự kiến sẽ khiến dân số tiếp tục tăng trong những năm tới, tạo áp lực lớn về nhu cầu nhà ở.</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Hơn nữa, quỹ đất chưa quy hoạch tại Thanh Xuân hiện đang khá hạn chế. Kết hợp với việc nhiều dự án bất động sản quy mô lớn đang được triển khai, thị trường nhà đất tại đây liên tục ghi nhận mức tăng giá mạnh mẽ và sự cạnh tranh quyết liệt giữa các nhà đầu</w:t>
      </w:r>
      <w:r>
        <w:rPr>
          <w:rFonts w:ascii="Times New Roman" w:hAnsi="Times New Roman" w:eastAsia="Times New Roman" w:cs="Times New Roman"/>
          <w:color w:val="000000"/>
          <w:sz w:val="24"/>
        </w:rPr>
        <w:t xml:space="preserve"> tư. Các chuyên gia dự đoán rằng giá đất tại Thanh Xuân sẽ còn tiếp tục tăng khi cơ sở hạ tầng hoàn thiện hơn trong tương lai.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Tiềm năng của thị trường bất động sản Thanh Xuân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Thanh Xuân nằm ở phía Tây Nam Hà Nội đã trải qua chặng đường phát triển ấn tượng từ khi thành lập năm 1996. Ban đầu chỉ có 5 phường với diện tích 78,1 ha, quận đã không ngừng mở rộng và hiện nay có 11 phường, trở thành một trong những khu vực có tốc </w:t>
      </w:r>
      <w:r>
        <w:rPr>
          <w:rFonts w:ascii="Times New Roman" w:hAnsi="Times New Roman" w:eastAsia="Times New Roman" w:cs="Times New Roman"/>
          <w:color w:val="000000"/>
          <w:sz w:val="24"/>
        </w:rPr>
        <w:t xml:space="preserve">độ đô thị hóa cao nhất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tại Thanh Xuân phát triển mạnh mẽ nhờ vị trí thuận lợi, quy hoạch thông minh và hạ tầng hiện đại. Quận còn nổi tiếng với hệ thống giáo dục chất lượng, quy tụ nhiều trường đại học hàng đầu như Đại học Khoa học Xã hội &amp; Nhân văn, Đại</w:t>
      </w:r>
      <w:r>
        <w:rPr>
          <w:rFonts w:ascii="Times New Roman" w:hAnsi="Times New Roman" w:eastAsia="Times New Roman" w:cs="Times New Roman"/>
          <w:color w:val="000000"/>
          <w:sz w:val="24"/>
        </w:rPr>
        <w:t xml:space="preserve"> học Hà Nội, Đại học Kiến trúc và Học viện Bưu chính Viễn thông.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Cơ sở hạ tầng phục vụ nhu cầu sinh hoạt như y tế, mua sắm và giải trí cũng rất phát triển. Các bệnh viện lớn như bệnh viện Medlatec, bệnh viện Đại học Quốc gia Hà Nội và các địa điểm mua sắm nổi tiếng như Big C, Royal City đều góp phần nâng cao chất lượng</w:t>
      </w:r>
      <w:r>
        <w:rPr>
          <w:rFonts w:ascii="Times New Roman" w:hAnsi="Times New Roman" w:eastAsia="Times New Roman" w:cs="Times New Roman"/>
          <w:color w:val="000000"/>
          <w:sz w:val="24"/>
        </w:rPr>
        <w:t xml:space="preserve"> cuộc sống cho cư dân.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Những yếu tố này đã làm thay đổi diện mạo Thanh Xuân, đồng thời tạo nên sức hút đặc biệt cho thị trường bất động sản tại đây. Quận cũng là nơi đặt trụ sở của nhiều cơ quan hành chính và doanh nghiệp, góp phần làm tăng nhu cầu nhà đất và đẩy giá trị bất độ</w:t>
      </w:r>
      <w:r>
        <w:rPr>
          <w:rFonts w:ascii="Times New Roman" w:hAnsi="Times New Roman" w:eastAsia="Times New Roman" w:cs="Times New Roman"/>
          <w:color w:val="000000"/>
          <w:sz w:val="24"/>
        </w:rPr>
        <w:t xml:space="preserve">ng sản ngày càng cao.</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Hạ tầng giao thông vượt trội đã góp phần quan trọng vào sự phát triển mạnh mẽ của thị trường bất động sản khu vực Thanh Xuân. Những tuyến đường huyết mạch như Láng Hạ - Lê Văn Lương, Nguyễn Trãi, và đường vành đai 3 được thường xuyên nâng cấp và mở rộng. </w:t>
      </w:r>
      <w:r>
        <w:rPr>
          <w:rFonts w:ascii="Times New Roman" w:hAnsi="Times New Roman" w:eastAsia="Times New Roman" w:cs="Times New Roman"/>
          <w:color w:val="000000"/>
          <w:sz w:val="24"/>
        </w:rPr>
        <w:t xml:space="preserve">Bên cạnh đó, hệ thống cầu qua sông Tô Lịch và các tuyến đường trên cao cũng được cải thiện đáng kể.</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Việc nâng cấp mạng lưới giao thông không chỉ giảm thiểu tình trạng tắc nghẽn vào giờ cao điểm, mà còn tạo điều kiện cho cư dân di chuyển thuận lợi giữa các quận và vùng lân cận.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báo cáo từ Xemnha, từ cuối năm 2019, bất động sản Thanh Xuân đã chứng kiến sự bùng nổ, đặc biệt trong phân khúc căn hộ cao cấp và các khu đô thị mới. Số lượng giao dịch và giá nhà đất gia tăng đáng kể, thu hút các nhà đầu tư lớn với tầm nhìn chiến lư</w:t>
      </w:r>
      <w:r>
        <w:rPr>
          <w:rFonts w:ascii="Times New Roman" w:hAnsi="Times New Roman" w:eastAsia="Times New Roman" w:cs="Times New Roman"/>
          <w:color w:val="000000"/>
          <w:sz w:val="24"/>
        </w:rPr>
        <w:t xml:space="preserve">ợc.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Các chuyên gia bất động sản dự đoán sự kết hợp của nhiều yếu tố như quỹ đất ngày càng khan hiếm, nhu cầu nhà ở tăng, cùng với sự phát triển hạ tầng và sự ra mắt của các dự án cao cấp, sẽ tiếp tục đẩy giá trị thị trường bất động sản Thanh Xuân lên cao tron</w:t>
      </w:r>
      <w:r>
        <w:rPr>
          <w:rFonts w:ascii="Times New Roman" w:hAnsi="Times New Roman" w:eastAsia="Times New Roman" w:cs="Times New Roman"/>
          <w:color w:val="000000"/>
          <w:sz w:val="24"/>
        </w:rPr>
        <w:t xml:space="preserve">g tương lai.</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https://onehousing.vn/blog/suc-hut-ve-tiem-nang-bat-dong-san-khu-vuc-thanh-xuan-co-gi-noi-bat-n17t?utm_source=social_share&amp;utm_medium=copyurl&amp;utm_campaign=d8d26551-fcc1-4028-94f0-aac20e029b68)</w:t>
      </w:r>
      <w:r>
        <w:rPr>
          <w:bCs/>
          <w:i/>
          <w:lang w:val="pt-BR"/>
        </w:rPr>
      </w:r>
      <w:r>
        <w:rPr>
          <w:bCs/>
          <w:i/>
          <w:lang w:val="pt-BR"/>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số: 48, tờ bản đồ số: 5H-I-47 có địa chỉ: Tổ 41, phường Phương Liệt, quận Thanh Xuân, thành </w:t>
            </w:r>
            <w:r>
              <w:rPr>
                <w:b/>
                <w:bCs/>
                <w:color w:val="000000"/>
              </w:rPr>
              <w:t xml:space="preserve">phố Hà Nội (nay là phường Phương Liệt, thành p</w:t>
            </w:r>
            <w:r>
              <w:rPr>
                <w:b/>
                <w:bCs/>
                <w:color w:val="000000"/>
              </w:rPr>
              <w:t xml:space="preserve">hố Hà Nội) theo Giấy chứng nhận quyền sở hữu nhà ở và quyền sử dụng đất ở số: 10111070848, hồ sơ gốc số: 5935.2002.QĐUB 24323.2002 do Uỷ ban nhân dân thành phố Hà Nội cấp ngày 26/08/2002 cho Ông Dương Văn Lương và Bà Phạm Thị Lựu (cập nhập ngày 23/12/2005)</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5H-I-47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Tổ 41, phường Phương Liệt, quận Thanh Xuân, thành </w:t>
            </w:r>
            <w:r>
              <w:rPr>
                <w:b w:val="0"/>
                <w:bCs w:val="0"/>
                <w:color w:val="000000"/>
              </w:rPr>
              <w:t xml:space="preserve">phố Hà Nội (nay là phường Phương Liệt, thành p</w:t>
            </w:r>
            <w:r>
              <w:rPr>
                <w:b w:val="0"/>
                <w:bCs w:val="0"/>
                <w:color w:val="000000"/>
              </w:rPr>
              <w:t xml:space="preserve">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99,1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Địa chỉ thực tế</w:t>
            </w:r>
            <w:r>
              <w:rPr>
                <w:color w:val="000000"/>
              </w:rPr>
            </w:r>
            <w:r>
              <w:rPr>
                <w:color w:val="000000"/>
              </w:rPr>
            </w:r>
          </w:p>
        </w:tc>
        <w:tc>
          <w:tcPr>
            <w:gridSpan w:val="3"/>
            <w:tcBorders/>
            <w:tcW w:w="6259" w:type="dxa"/>
            <w:vAlign w:val="center"/>
            <w:vMerge w:val="restart"/>
            <w:textDirection w:val="lrTb"/>
            <w:noWrap w:val="false"/>
          </w:tcPr>
          <w:p>
            <w:pPr>
              <w:pBdr/>
              <w:spacing/>
              <w:ind/>
              <w:jc w:val="left"/>
              <w:rPr>
                <w:color w:val="000000"/>
              </w:rPr>
            </w:pPr>
            <w:r>
              <w:rPr>
                <w:color w:val="000000"/>
              </w:rPr>
            </w:r>
            <w:r>
              <w:rPr>
                <w:rFonts w:ascii="Times New Roman" w:hAnsi="Times New Roman" w:eastAsia="Times New Roman" w:cs="Times New Roman"/>
                <w:color w:val="000000"/>
                <w:sz w:val="24"/>
              </w:rPr>
              <w:t xml:space="preserve">Số 10 ngõ 1, Phan Đình Giót, quận Thanh Xuân,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sz w:val="24"/>
                <w:szCs w:val="24"/>
              </w:rPr>
            </w:pPr>
            <w:r>
              <w:rPr>
                <w:color w:val="000000" w:themeColor="text1"/>
                <w:sz w:val="24"/>
                <w:szCs w:val="24"/>
              </w:rPr>
            </w:r>
            <w:r>
              <w:rPr>
                <w:color w:val="000000" w:themeColor="text1"/>
                <w:sz w:val="24"/>
                <w:szCs w:val="24"/>
              </w:rPr>
              <w:t xml:space="preserve">Tài sản nằm tiếp giáp đường ngõ Phan Đình Giót, cách đường Giải Phòng khoảng 200m</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Đông: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20.990305555556</w:t>
            </w:r>
            <w:r>
              <w:rPr>
                <w:color w:val="000000"/>
              </w:rPr>
              <w:t xml:space="preserve">, </w:t>
            </w:r>
            <w:r>
              <w:rPr>
                <w:color w:val="000000"/>
              </w:rPr>
              <w:t xml:space="preserve">105.84063888889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99,1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7,02</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14,19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Nhà 3 tầng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tổ thẩm định nhận thấy trên đất có 01 nhà 3 tầng, kết cấu BTCT, tường gạch chịu lực, sàn lát gạch men, ngoại quan còn khá. Diện tích xây dựng khoảng 66,0m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sàn.  Hiện công trình đã được chứng nhận trên GC</w:t>
            </w:r>
            <w:r>
              <w:rPr>
                <w:rFonts w:ascii="Times New Roman" w:hAnsi="Times New Roman" w:eastAsia="Times New Roman" w:cs="Times New Roman"/>
                <w:b w:val="0"/>
                <w:bCs w:val="0"/>
                <w:color w:val="000000"/>
                <w:sz w:val="24"/>
              </w:rPr>
              <w:t xml:space="preserve">N số</w:t>
            </w:r>
            <w:r>
              <w:rPr>
                <w:rFonts w:ascii="Times New Roman" w:hAnsi="Times New Roman" w:eastAsia="Times New Roman" w:cs="Times New Roman"/>
                <w:b w:val="0"/>
                <w:bCs w:val="0"/>
                <w:color w:val="000000"/>
                <w:spacing w:val="3"/>
                <w:sz w:val="24"/>
                <w:highlight w:val="white"/>
              </w:rPr>
              <w:t xml:space="preserve"> </w:t>
            </w:r>
            <w:r>
              <w:rPr>
                <w:b w:val="0"/>
                <w:bCs w:val="0"/>
                <w:color w:val="000000"/>
              </w:rPr>
              <w:t xml:space="preserve">10111070848</w:t>
            </w:r>
            <w:r>
              <w:rPr>
                <w:rFonts w:ascii="Times New Roman" w:hAnsi="Times New Roman" w:eastAsia="Times New Roman" w:cs="Times New Roman"/>
                <w:b w:val="0"/>
                <w:bCs w:val="0"/>
                <w:color w:val="000000"/>
                <w:sz w:val="24"/>
              </w:rPr>
              <w:t xml:space="preserve">.</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nhận thấy trên đất có 01 nhà 3 tầng, kết cấu BTCT, tường gạch chịu lực, sàn lát gạch men, ngoại quan còn khá. Diện tích xây dựng khoảng 66,0m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sàn.  Hiện công trình đã được chứng nhận trên GC</w:t>
      </w:r>
      <w:r>
        <w:rPr>
          <w:rFonts w:ascii="Times New Roman" w:hAnsi="Times New Roman" w:eastAsia="Times New Roman" w:cs="Times New Roman"/>
          <w:b w:val="0"/>
          <w:bCs w:val="0"/>
          <w:color w:val="000000"/>
          <w:sz w:val="24"/>
        </w:rPr>
        <w:t xml:space="preserve">N số</w:t>
      </w:r>
      <w:r>
        <w:rPr>
          <w:rFonts w:ascii="Times New Roman" w:hAnsi="Times New Roman" w:eastAsia="Times New Roman" w:cs="Times New Roman"/>
          <w:b w:val="0"/>
          <w:bCs w:val="0"/>
          <w:color w:val="000000"/>
          <w:spacing w:val="3"/>
          <w:sz w:val="24"/>
          <w:highlight w:val="white"/>
        </w:rPr>
        <w:t xml:space="preserve"> </w:t>
      </w:r>
      <w:r>
        <w:rPr>
          <w:b w:val="0"/>
          <w:bCs w:val="0"/>
          <w:color w:val="000000"/>
        </w:rPr>
        <w:t xml:space="preserve">10111070848</w:t>
      </w:r>
      <w:r>
        <w:rPr>
          <w:rFonts w:ascii="Times New Roman" w:hAnsi="Times New Roman" w:eastAsia="Times New Roman" w:cs="Times New Roman"/>
          <w:b w:val="0"/>
          <w:bCs w:val="0"/>
          <w:color w:val="000000"/>
          <w:sz w:val="24"/>
        </w:rPr>
        <w:t xml:space="preserve">. Đ</w:t>
      </w:r>
      <w:r>
        <w:rPr>
          <w:rFonts w:ascii="Times New Roman" w:hAnsi="Times New Roman" w:eastAsia="Times New Roman" w:cs="Times New Roman"/>
          <w:color w:val="000000"/>
          <w:sz w:val="24"/>
        </w:rPr>
        <w:t xml:space="preserve">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w:t>
      </w:r>
      <w:r>
        <w:rPr>
          <w:rFonts w:ascii="Times New Roman" w:hAnsi="Times New Roman" w:eastAsia="Times New Roman" w:cs="Times New Roman"/>
          <w:color w:val="000000"/>
          <w:sz w:val="24"/>
        </w:rPr>
        <w:t xml:space="preserve">ựng hiện có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Phương Liệt,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Phương Liệt,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Phương Liệt,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Phương Liệt, Quận Thanh Xuân,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Phân lô Trường Chinh, Ô tô tránh, kinh doanh, dt 41m2, 5 tầng chắc chắn, Giá 16.3 tỷ. - 17779930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https://alonhadat.com.vn/ban-nha-pho-phan-dinh-thanh-xuan-7-tang-o-to-tranh-kinh-doanh-dt-68m-mt-4-2m-gia-27-2ty-18033871.html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0972024768</w:t>
            </w:r>
            <w:r>
              <w:rPr>
                <w:sz w:val="22"/>
                <w:szCs w:val="22"/>
              </w:rPr>
              <w:t xml:space="preserve"> </w:t>
            </w:r>
            <w:r>
              <w:rPr>
                <w:sz w:val="22"/>
                <w:szCs w:val="22"/>
              </w:rPr>
              <w:br/>
              <w:t xml:space="preserve">(</w:t>
            </w:r>
            <w:r>
              <w:rPr>
                <w:sz w:val="22"/>
                <w:szCs w:val="22"/>
              </w:rPr>
              <w:t xml:space="preserve">Đặng Xuân Thuỷ</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0906.556.885</w:t>
            </w:r>
            <w:r>
              <w:rPr>
                <w:sz w:val="22"/>
                <w:szCs w:val="22"/>
              </w:rPr>
              <w:br/>
            </w:r>
            <w:r>
              <w:rPr>
                <w:sz w:val="22"/>
                <w:szCs w:val="22"/>
              </w:rPr>
              <w:t xml:space="preserve">(</w:t>
            </w:r>
            <w:r>
              <w:rPr>
                <w:sz w:val="22"/>
                <w:szCs w:val="22"/>
              </w:rPr>
              <w:t xml:space="preserve">Tuấn Trụ</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0963.492.893</w:t>
            </w:r>
            <w:r>
              <w:rPr>
                <w:sz w:val="22"/>
                <w:szCs w:val="22"/>
              </w:rPr>
              <w:br/>
            </w:r>
            <w:r>
              <w:rPr>
                <w:sz w:val="22"/>
                <w:szCs w:val="22"/>
              </w:rPr>
              <w:t xml:space="preserve">(</w:t>
            </w:r>
            <w:r>
              <w:rPr>
                <w:sz w:val="22"/>
                <w:szCs w:val="22"/>
              </w:rPr>
              <w:t xml:space="preserve">Bùi Nghiêm</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hữu nhà ở và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nằm tiếp giáp đường ngõ Phan Đình Giót, cách đường Giải Phòng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ngõ Phan Đình Giót, cách đường Giải Phòng khoảng 150m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ngõ 181 Trường Chinh, cách đường Trường Chinh khoảng 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Giải Phóng khoảng 300m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7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5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7 tầng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476,0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23.120.000.000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4.247.860.176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1.399.843.648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3.126.246.320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Đơn giá xây dựng</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10.118.000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8.966.000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8.350.000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Tỷ lệ CLCL (%)</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22.952.139.824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12.455.156.352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19.903.753.680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327.887.712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303.784.301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292.702.260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22.952.139.824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12.455.156.352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19.903.753.680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327.887.712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303.784.301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292.702.260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327.887.712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303.784.301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312.702.260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nằm tiếp giáp đường ngõ Phan Đình Giót, cách đường Giải Phòng khoảng 200m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ngõ Phan Đình Giót, cách đường Giải Phòng khoảng 150m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ngõ 181 Trường Chinh, cách đường Trường Chinh khoảng 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Giải Phóng khoảng 300m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9.836.631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9.381.068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337.724.343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303.784.301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322.083.328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30.378.430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15.635.113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337.724.343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334.162.731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337.718.441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99,1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68,0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-16.394.386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-45.567.645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-15.635.113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321.329.957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288.595.086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322.083.328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16.394.386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15.189.215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15.635.113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337.724.343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303.784.301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337.718.441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337.724.343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303.784.301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337.718.441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337.724.343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303.784.301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337.718.441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337.724.343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303.784.301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317.718.441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319.742.362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5,62%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-0,63%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42.625.403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91.135.290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56.286.407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9.836.631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25.016.181</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0,63% </w:t>
      </w:r>
      <w:r>
        <w:t xml:space="preserve">đến</w:t>
      </w:r>
      <w:r>
        <w:t xml:space="preserve"> 5,62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337.724.343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112.597.296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303.784.301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101.251.308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317.718.441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105.895.556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319.744.160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320.000.000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320.000.000</w:t>
      </w:r>
      <w:r>
        <w:rPr>
          <w:b/>
          <w:bCs/>
          <w:color w:val="000000" w:themeColor="text1"/>
        </w:rPr>
        <w:t xml:space="preserve"> </w:t>
      </w:r>
      <w:r>
        <w:rPr>
          <w:b/>
          <w:bCs/>
        </w:rPr>
        <w:t xml:space="preserve">đồng</w:t>
      </w:r>
      <w:r>
        <w:rPr>
          <w:b/>
          <w:bCs/>
        </w:rPr>
        <w:t xml:space="preserve">/m²</w:t>
      </w:r>
      <w:r>
        <w:rPr>
          <w:b/>
          <w:bCs/>
        </w:rPr>
      </w:r>
      <w:r>
        <w:rPr>
          <w:b/>
          <w:bCs/>
        </w:rPr>
      </w:r>
    </w:p>
    <w:p>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color w:val="000000"/>
              </w:rPr>
              <w:t xml:space="preserve">Quyền sử dụng đất số: 48, tờ bản đồ số: 5H-I-47 có địa chỉ: Tổ 41, phường Phương Liệt, quận Thanh Xuân, thành </w:t>
            </w:r>
            <w:r>
              <w:rPr>
                <w:color w:val="000000"/>
              </w:rPr>
              <w:t xml:space="preserve">phố Hà Nội (nay là phường Phương Liệt, thành p</w:t>
            </w:r>
            <w:r>
              <w:rPr>
                <w:color w:val="000000"/>
              </w:rPr>
              <w:t xml:space="preserve">h</w:t>
            </w:r>
            <w:r>
              <w:rPr>
                <w:color w:val="000000"/>
              </w:rPr>
              <w:t xml:space="preserve">ố Hà Nội) theo Giấy chứng nhận quyền sở hữu nhà ở và quyền sử dụng đất ở số: 10111070848, hồ sơ gốc số: 5935.2002.QĐUB 24323.2002 do Uỷ ban nhân dân thành phố Hà Nội cấp ngày 26/08/2002 cho Ông Dương Văn Lương và Bà Phạm Thị Lựu (cập nhập ngày 23/12/2005).</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99,1</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320.000.000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31.712.000.000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31.712.000.000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31.712.000.000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mươi mốt tỷ bảy trăm mười hai triệu</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Style w:val="103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275/2026/0191/VFI-CT.48.A</w:t>
      </w:r>
      <w:r>
        <w:rPr>
          <w:color w:val="ff0000"/>
          <w:lang w:val="vi-VN"/>
        </w:rPr>
        <w:t xml:space="preserve"> </w:t>
      </w:r>
      <w:r>
        <w:rPr>
          <w:color w:val="000000" w:themeColor="text1"/>
        </w:rPr>
        <w:t xml:space="preserve">ngày 23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275/2026/0191/VFI-BC.48.A</w:t>
      </w:r>
      <w:r>
        <w:rPr>
          <w:i/>
          <w:lang w:val="pt-BR"/>
        </w:rPr>
        <w:t xml:space="preserve"> </w:t>
      </w:r>
      <w:r>
        <w:rPr>
          <w:i/>
          <w:lang w:val="pt-BR"/>
        </w:rPr>
        <w:t xml:space="preserve">23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79683" cy="233931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70219" name=""/>
                              <pic:cNvPicPr>
                                <a:picLocks noChangeAspect="1"/>
                              </pic:cNvPicPr>
                              <pic:nvPr/>
                            </pic:nvPicPr>
                            <pic:blipFill rotWithShape="1">
                              <a:blip r:embed="rId19"/>
                              <a:stretch/>
                            </pic:blipFill>
                            <pic:spPr bwMode="auto">
                              <a:xfrm flipH="0" flipV="0">
                                <a:off x="0" y="0"/>
                                <a:ext cx="1079683" cy="23393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5.01pt;height:184.2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7950" cy="223346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92152" name=""/>
                              <pic:cNvPicPr>
                                <a:picLocks noChangeAspect="1"/>
                              </pic:cNvPicPr>
                              <pic:nvPr/>
                            </pic:nvPicPr>
                            <pic:blipFill rotWithShape="1">
                              <a:blip r:embed="rId20"/>
                              <a:stretch/>
                            </pic:blipFill>
                            <pic:spPr bwMode="auto">
                              <a:xfrm flipH="0" flipV="0">
                                <a:off x="0" y="0"/>
                                <a:ext cx="2977949" cy="22334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4.48pt;height:175.8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9963" cy="210747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874877" name=""/>
                              <pic:cNvPicPr>
                                <a:picLocks noChangeAspect="1"/>
                              </pic:cNvPicPr>
                              <pic:nvPr/>
                            </pic:nvPicPr>
                            <pic:blipFill rotWithShape="1">
                              <a:blip r:embed="rId21"/>
                              <a:stretch/>
                            </pic:blipFill>
                            <pic:spPr bwMode="auto">
                              <a:xfrm flipH="0" flipV="0">
                                <a:off x="0" y="0"/>
                                <a:ext cx="2809963" cy="21074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1.26pt;height:165.9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1713" cy="213128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837542" name=""/>
                              <pic:cNvPicPr>
                                <a:picLocks noChangeAspect="1"/>
                              </pic:cNvPicPr>
                              <pic:nvPr/>
                            </pic:nvPicPr>
                            <pic:blipFill rotWithShape="1">
                              <a:blip r:embed="rId22"/>
                              <a:stretch/>
                            </pic:blipFill>
                            <pic:spPr bwMode="auto">
                              <a:xfrm flipH="0" flipV="0">
                                <a:off x="0" y="0"/>
                                <a:ext cx="2841712" cy="21312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76pt;height:167.8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9300" cy="21669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46064" name=""/>
                              <pic:cNvPicPr>
                                <a:picLocks noChangeAspect="1"/>
                              </pic:cNvPicPr>
                              <pic:nvPr/>
                            </pic:nvPicPr>
                            <pic:blipFill rotWithShape="1">
                              <a:blip r:embed="rId23"/>
                              <a:stretch/>
                            </pic:blipFill>
                            <pic:spPr bwMode="auto">
                              <a:xfrm flipH="0" flipV="0">
                                <a:off x="0" y="0"/>
                                <a:ext cx="2889300" cy="21669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7.50pt;height:170.6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4448" cy="212583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041854" name=""/>
                              <pic:cNvPicPr>
                                <a:picLocks noChangeAspect="1"/>
                              </pic:cNvPicPr>
                              <pic:nvPr/>
                            </pic:nvPicPr>
                            <pic:blipFill rotWithShape="1">
                              <a:blip r:embed="rId24"/>
                              <a:stretch/>
                            </pic:blipFill>
                            <pic:spPr bwMode="auto">
                              <a:xfrm flipH="0" flipV="0">
                                <a:off x="0" y="0"/>
                                <a:ext cx="2834448" cy="21258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3.18pt;height:167.3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275/2026/0191/VFI-BC.48.A</w:t>
      </w:r>
      <w:r>
        <w:rPr>
          <w:i/>
          <w:lang w:val="pt-BR"/>
        </w:rPr>
        <w:t xml:space="preserve"> </w:t>
      </w:r>
      <w:r>
        <w:rPr>
          <w:i/>
          <w:lang w:val="pt-BR"/>
        </w:rPr>
        <w:t xml:space="preserve">23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0972024768</w:t>
            </w:r>
            <w:r>
              <w:rPr>
                <w:sz w:val="22"/>
                <w:szCs w:val="22"/>
              </w:rPr>
              <w:t xml:space="preserve"> </w:t>
            </w:r>
            <w:r>
              <w:rPr>
                <w:sz w:val="22"/>
                <w:szCs w:val="22"/>
              </w:rPr>
              <w:br/>
              <w:t xml:space="preserve">(Đặng Xuân Thuỷ</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nằm tiếp giáp đường ngõ Phan Đình Giót, cách đường Giải Phòng khoảng 150m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22510" cy="2524305"/>
                      <wp:effectExtent l="0" t="0" r="0" b="0"/>
                      <wp:docPr id="12" name=""/>
                      <wp:cNvGraphicFramePr/>
                      <a:graphic xmlns:a="http://schemas.openxmlformats.org/drawingml/2006/main">
                        <a:graphicData uri="http://schemas.openxmlformats.org/drawingml/2006/picture">
                          <pic:pic xmlns:pic="http://schemas.openxmlformats.org/drawingml/2006/picture">
                            <pic:nvPicPr>
                              <pic:cNvPr id="125626157" name="" descr=""/>
                              <pic:cNvPicPr/>
                              <pic:nvPr/>
                            </pic:nvPicPr>
                            <pic:blipFill rotWithShape="1">
                              <a:blip r:embed="rId25"/>
                              <a:stretch/>
                            </pic:blipFill>
                            <pic:spPr bwMode="auto">
                              <a:xfrm flipH="0" flipV="0">
                                <a:off x="0" y="0"/>
                                <a:ext cx="2122509" cy="25243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67.13pt;height:198.76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Phân lô Trường Chinh, Ô tô tránh, kinh doanh, dt 41m2, 5 tầng chắc chắn, Giá 16.3 tỷ. - 17779930</w:t>
            </w:r>
            <w:r>
              <w:rPr>
                <w:color w:val="000000" w:themeColor="text1"/>
                <w:sz w:val="22"/>
                <w:szCs w:val="22"/>
              </w:rPr>
              <w:br/>
              <w:t xml:space="preserve">0906.556.885</w:t>
            </w:r>
            <w:r>
              <w:rPr>
                <w:sz w:val="22"/>
                <w:szCs w:val="22"/>
              </w:rPr>
              <w:t xml:space="preserve"> </w:t>
            </w:r>
            <w:r>
              <w:rPr>
                <w:sz w:val="22"/>
                <w:szCs w:val="22"/>
              </w:rPr>
              <w:br/>
              <w:t xml:space="preserve">(Tuấn Trụ</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13.855.000.000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nằm tiếp giáp ngõ 181 Trường Chinh, cách đường Trường Chinh khoảng 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27360" cy="1917978"/>
                      <wp:effectExtent l="0" t="0" r="0" b="0"/>
                      <wp:docPr id="13" name=""/>
                      <wp:cNvGraphicFramePr/>
                      <a:graphic xmlns:a="http://schemas.openxmlformats.org/drawingml/2006/main">
                        <a:graphicData uri="http://schemas.openxmlformats.org/drawingml/2006/picture">
                          <pic:pic xmlns:pic="http://schemas.openxmlformats.org/drawingml/2006/picture">
                            <pic:nvPicPr>
                              <pic:cNvPr id="216187692" name="" descr=""/>
                              <pic:cNvPicPr/>
                              <pic:nvPr/>
                            </pic:nvPicPr>
                            <pic:blipFill rotWithShape="1">
                              <a:blip r:embed="rId26"/>
                              <a:stretch/>
                            </pic:blipFill>
                            <pic:spPr bwMode="auto">
                              <a:xfrm flipH="0" flipV="0">
                                <a:off x="0" y="0"/>
                                <a:ext cx="2827359" cy="19179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2.63pt;height:151.02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65460" cy="191716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865459" cy="19171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5.63pt;height:150.96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br w:type="page" w:clear="all"/>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333"/>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https://alonhadat.com.vn/ban-nha-pho-phan-dinh-thanh-xuan-7-tang-o-to-tranh-kinh-doanh-dt-68m-mt-4-2m-gia-27-2ty-18033871.html</w:t>
            </w:r>
            <w:r>
              <w:rPr>
                <w:color w:val="000000" w:themeColor="text1"/>
                <w:sz w:val="22"/>
                <w:szCs w:val="22"/>
              </w:rPr>
              <w:br/>
            </w:r>
            <w:r>
              <w:rPr>
                <w:sz w:val="22"/>
                <w:szCs w:val="22"/>
              </w:rPr>
              <w:t xml:space="preserve">SĐT: </w:t>
            </w:r>
            <w:r>
              <w:rPr>
                <w:color w:val="000000" w:themeColor="text1"/>
                <w:sz w:val="22"/>
                <w:szCs w:val="22"/>
              </w:rPr>
              <w:t xml:space="preserve">0963.492.893</w:t>
            </w:r>
            <w:r>
              <w:rPr>
                <w:sz w:val="22"/>
                <w:szCs w:val="22"/>
              </w:rPr>
              <w:t xml:space="preserve"> </w:t>
            </w:r>
            <w:r>
              <w:rPr>
                <w:sz w:val="22"/>
                <w:szCs w:val="22"/>
              </w:rPr>
              <w:br/>
              <w:t xml:space="preserve">(Bùi Nghiêm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23.120.000.000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cách đường Giải Phóng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94010" cy="2085636"/>
                      <wp:effectExtent l="0" t="0" r="0" b="0"/>
                      <wp:docPr id="15" name=""/>
                      <wp:cNvGraphicFramePr/>
                      <a:graphic xmlns:a="http://schemas.openxmlformats.org/drawingml/2006/main">
                        <a:graphicData uri="http://schemas.openxmlformats.org/drawingml/2006/picture">
                          <pic:pic xmlns:pic="http://schemas.openxmlformats.org/drawingml/2006/picture">
                            <pic:nvPicPr>
                              <pic:cNvPr id="1082849220" name="" descr=""/>
                              <pic:cNvPicPr/>
                              <pic:nvPr/>
                            </pic:nvPicPr>
                            <pic:blipFill rotWithShape="1">
                              <a:blip r:embed="rId28"/>
                              <a:stretch/>
                            </pic:blipFill>
                            <pic:spPr bwMode="auto">
                              <a:xfrm flipH="0" flipV="0">
                                <a:off x="0" y="0"/>
                                <a:ext cx="2694009" cy="208563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2.13pt;height:164.22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47988" cy="2060035"/>
                      <wp:effectExtent l="0" t="0" r="0" b="0"/>
                      <wp:docPr id="16" name=""/>
                      <wp:cNvGraphicFramePr/>
                      <a:graphic xmlns:a="http://schemas.openxmlformats.org/drawingml/2006/main">
                        <a:graphicData uri="http://schemas.openxmlformats.org/drawingml/2006/picture">
                          <pic:pic xmlns:pic="http://schemas.openxmlformats.org/drawingml/2006/picture">
                            <pic:nvPicPr>
                              <pic:cNvPr id="568971671" name="" descr=""/>
                              <pic:cNvPicPr/>
                              <pic:nvPr/>
                            </pic:nvPicPr>
                            <pic:blipFill rotWithShape="1">
                              <a:blip r:embed="rId29"/>
                              <a:stretch/>
                            </pic:blipFill>
                            <pic:spPr bwMode="auto">
                              <a:xfrm flipH="0" flipV="0">
                                <a:off x="0" y="0"/>
                                <a:ext cx="2747988" cy="20600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6.38pt;height:162.21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rPr>
                <w:b/>
                <w:bCs/>
              </w:rPr>
            </w:r>
            <w:r/>
          </w:p>
        </w:tc>
      </w:tr>
    </w:tbl>
    <w:p>
      <w:pPr>
        <w:pBdr/>
        <w:shd w:val="nil" w:color="000000"/>
        <w:spacing/>
        <w:ind/>
        <w:rPr>
          <w:lang w:val="pt-BR"/>
        </w:rPr>
      </w:pPr>
      <w:r>
        <w:rPr>
          <w:iCs/>
          <w:highlight w:val="none"/>
          <w:lang w:val="pt-BR"/>
        </w:rPr>
      </w:r>
      <w:r>
        <w:rPr>
          <w:lang w:val="pt-BR"/>
        </w:rPr>
      </w:r>
      <w:r>
        <w:rPr>
          <w:lang w:val="pt-BR"/>
        </w:rPr>
      </w:r>
    </w:p>
    <w:p>
      <w:pPr>
        <w:pBdr/>
        <w:shd w:val="nil" w:color="auto"/>
        <w:spacing/>
        <w:ind/>
        <w:jc w:val="center"/>
        <w:rPr>
          <w:highlight w:val="none"/>
          <w:lang w:val="pt-BR"/>
        </w:rPr>
      </w:pPr>
      <w:r>
        <w:rPr>
          <w:iCs/>
          <w:lang w:val="pt-BR"/>
        </w:rPr>
        <w:br w:type="page" w:clear="all"/>
        <w:t xml:space="preserve">GIẤY CHỨNG NHẬN QSDĐ</w:t>
      </w:r>
      <w:r>
        <w:rPr>
          <w:highlight w:val="none"/>
          <w:lang w:val="pt-BR"/>
        </w:rPr>
      </w:r>
      <w:r>
        <w:rPr>
          <w:highlight w:val="none"/>
          <w:lang w:val="pt-BR"/>
        </w:rPr>
      </w:r>
    </w:p>
    <w:p>
      <w:pPr>
        <w:pBdr/>
        <w:shd w:val="nil" w:color="000000"/>
        <w:spacing/>
        <w:ind/>
        <w:jc w:val="center"/>
        <w:rPr>
          <w:highlight w:val="none"/>
          <w:lang w:val="pt-BR"/>
        </w:rPr>
      </w:pPr>
      <w:r>
        <w:rPr>
          <w:iCs/>
          <w:highlight w:val="none"/>
          <w:lang w:val="pt-BR" w:bidi="pt-BR"/>
        </w:rPr>
        <mc:AlternateContent>
          <mc:Choice Requires="wpg">
            <w:drawing>
              <wp:inline xmlns:wp="http://schemas.openxmlformats.org/drawingml/2006/wordprocessingDrawing" distT="0" distB="0" distL="0" distR="0">
                <wp:extent cx="6048375" cy="775046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91213" name=""/>
                        <pic:cNvPicPr>
                          <a:picLocks noChangeAspect="1"/>
                        </pic:cNvPicPr>
                        <pic:nvPr/>
                      </pic:nvPicPr>
                      <pic:blipFill rotWithShape="1">
                        <a:blip r:embed="rId30"/>
                        <a:stretch/>
                      </pic:blipFill>
                      <pic:spPr bwMode="auto">
                        <a:xfrm>
                          <a:off x="0" y="0"/>
                          <a:ext cx="6048374" cy="77504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10.27pt;mso-wrap-distance-left:0.00pt;mso-wrap-distance-top:0.00pt;mso-wrap-distance-right:0.00pt;mso-wrap-distance-bottom:0.00pt;z-index:1;" stroked="false">
                <v:imagedata r:id="rId30" o:title=""/>
                <o:lock v:ext="edit" rotation="t"/>
              </v:shape>
            </w:pict>
          </mc:Fallback>
        </mc:AlternateContent>
      </w:r>
      <w:r>
        <w:rPr>
          <w:highlight w:val="none"/>
          <w:lang w:val="pt-BR"/>
        </w:rPr>
      </w:r>
      <w:r>
        <w:rPr>
          <w:highlight w:val="none"/>
          <w:lang w:val="pt-BR"/>
        </w:rPr>
      </w:r>
    </w:p>
    <w:p>
      <w:pPr>
        <w:pBdr/>
        <w:tabs>
          <w:tab w:val="left" w:leader="none" w:pos="1861"/>
        </w:tabs>
        <w:spacing/>
        <w:ind/>
        <w:rPr>
          <w:highlight w:val="none"/>
        </w:rPr>
      </w:pPr>
      <w:r>
        <w:tab/>
      </w:r>
      <w:r>
        <w:rPr>
          <w:highlight w:val="none"/>
        </w:rPr>
      </w:r>
      <w:r>
        <w:rPr>
          <w:highlight w:val="none"/>
        </w:rPr>
      </w:r>
    </w:p>
    <w:p>
      <w:pPr>
        <w:pBdr/>
        <w:shd w:val="nil" w:color="auto"/>
        <w:spacing/>
        <w:ind/>
        <w:rPr/>
      </w:pPr>
      <w:r>
        <w:br w:type="page" w:clear="all"/>
      </w:r>
      <w:r/>
    </w:p>
    <w:p>
      <w:pPr>
        <w:pBdr/>
        <w:tabs>
          <w:tab w:val="left" w:leader="none" w:pos="1861"/>
        </w:tabs>
        <w:spacing/>
        <w:ind/>
        <w:rPr>
          <w:highlight w:val="none"/>
        </w:rPr>
      </w:pPr>
      <w:r>
        <w:rPr>
          <w:highlight w:val="none"/>
        </w:rPr>
        <mc:AlternateContent>
          <mc:Choice Requires="wpg">
            <w:drawing>
              <wp:inline xmlns:wp="http://schemas.openxmlformats.org/drawingml/2006/wordprocessingDrawing" distT="0" distB="0" distL="0" distR="0">
                <wp:extent cx="6048375" cy="782248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63263" name=""/>
                        <pic:cNvPicPr>
                          <a:picLocks noChangeAspect="1"/>
                        </pic:cNvPicPr>
                        <pic:nvPr/>
                      </pic:nvPicPr>
                      <pic:blipFill rotWithShape="1">
                        <a:blip r:embed="rId31"/>
                        <a:stretch/>
                      </pic:blipFill>
                      <pic:spPr bwMode="auto">
                        <a:xfrm>
                          <a:off x="0" y="0"/>
                          <a:ext cx="6048374" cy="78224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15.94pt;mso-wrap-distance-left:0.00pt;mso-wrap-distance-top:0.00pt;mso-wrap-distance-right:0.00pt;mso-wrap-distance-bottom:0.00pt;z-index:1;" stroked="false">
                <v:imagedata r:id="rId31" o:title=""/>
                <o:lock v:ext="edit" rotation="t"/>
              </v:shape>
            </w:pict>
          </mc:Fallback>
        </mc:AlternateContent>
      </w:r>
      <w:r>
        <w:rPr>
          <w:highlight w:val="none"/>
        </w:rPr>
      </w:r>
      <w:r>
        <w:rPr>
          <w:highlight w:val="none"/>
        </w:rPr>
      </w:r>
    </w:p>
    <w:p>
      <w:pPr>
        <w:pBdr/>
        <w:shd w:val="nil" w:color="auto"/>
        <w:spacing/>
        <w:ind/>
        <w:rPr/>
      </w:pPr>
      <w:r>
        <w:br w:type="page" w:clear="all"/>
      </w:r>
      <w:r/>
    </w:p>
    <w:p>
      <w:pPr>
        <w:pBdr/>
        <w:tabs>
          <w:tab w:val="left" w:leader="none" w:pos="1861"/>
        </w:tabs>
        <w:spacing/>
        <w:ind/>
        <w:rPr>
          <w:highlight w:val="none"/>
        </w:rPr>
      </w:pPr>
      <w:r>
        <w:rPr>
          <w:highlight w:val="none"/>
        </w:rPr>
        <mc:AlternateContent>
          <mc:Choice Requires="wpg">
            <w:drawing>
              <wp:inline xmlns:wp="http://schemas.openxmlformats.org/drawingml/2006/wordprocessingDrawing" distT="0" distB="0" distL="0" distR="0">
                <wp:extent cx="6048375" cy="788235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91033" name=""/>
                        <pic:cNvPicPr>
                          <a:picLocks noChangeAspect="1"/>
                        </pic:cNvPicPr>
                        <pic:nvPr/>
                      </pic:nvPicPr>
                      <pic:blipFill rotWithShape="1">
                        <a:blip r:embed="rId32"/>
                        <a:stretch/>
                      </pic:blipFill>
                      <pic:spPr bwMode="auto">
                        <a:xfrm>
                          <a:off x="0" y="0"/>
                          <a:ext cx="6048374" cy="78823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20.66pt;mso-wrap-distance-left:0.00pt;mso-wrap-distance-top:0.00pt;mso-wrap-distance-right:0.00pt;mso-wrap-distance-bottom:0.00pt;z-index:1;" stroked="false">
                <v:imagedata r:id="rId32" o:title=""/>
                <o:lock v:ext="edit" rotation="t"/>
              </v:shape>
            </w:pict>
          </mc:Fallback>
        </mc:AlternateContent>
      </w:r>
      <w:r>
        <w:rPr>
          <w:highlight w:val="none"/>
        </w:rPr>
      </w:r>
    </w:p>
    <w:p>
      <w:pPr>
        <w:pBdr/>
        <w:shd w:val="nil" w:color="auto"/>
        <w:spacing/>
        <w:ind/>
        <w:rPr/>
      </w:pPr>
      <w:r>
        <w:br w:type="page" w:clear="all"/>
      </w:r>
      <w:r/>
    </w:p>
    <w:p>
      <w:pPr>
        <w:pBdr/>
        <w:tabs>
          <w:tab w:val="left" w:leader="none" w:pos="1861"/>
        </w:tabs>
        <w:spacing/>
        <w:ind/>
        <w:jc w:val="center"/>
        <w:rPr>
          <w:b/>
          <w:bCs/>
          <w:highlight w:val="none"/>
        </w:rPr>
      </w:pPr>
      <w:r>
        <w:rPr>
          <w:b/>
          <w:bCs/>
          <w:highlight w:val="none"/>
        </w:rPr>
        <w:t xml:space="preserve">BIÊN BẢN KHẢO SÁT</w:t>
      </w:r>
      <w:r>
        <w:rPr>
          <w:b/>
          <w:bCs/>
        </w:rPr>
      </w:r>
      <w:r>
        <w:rPr>
          <w:b/>
          <w:bCs/>
          <w:highlight w:val="none"/>
        </w:rPr>
      </w:r>
    </w:p>
    <w:p>
      <w:pPr>
        <w:pBdr/>
        <w:tabs>
          <w:tab w:val="left" w:leader="none" w:pos="1861"/>
        </w:tabs>
        <w:spacing/>
        <w:ind/>
        <w:jc w:val="center"/>
        <w:rPr>
          <w:b/>
          <w:bCs/>
        </w:rPr>
      </w:pPr>
      <w:r>
        <w:rPr>
          <w:b/>
          <w:bCs/>
          <w:highlight w:val="none"/>
        </w:rP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13863"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3" o:title=""/>
                <o:lock v:ext="edit" rotation="t"/>
              </v:shape>
            </w:pict>
          </mc:Fallback>
        </mc:AlternateContent>
      </w:r>
      <w:r>
        <w:rPr>
          <w:b/>
          <w:bCs/>
          <w:highlight w:val="none"/>
        </w:rPr>
      </w:r>
      <w:r>
        <w:rPr>
          <w:b/>
          <w:bCs/>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274</cp:revision>
  <dcterms:created xsi:type="dcterms:W3CDTF">2025-09-15T09:58:00Z</dcterms:created>
  <dcterms:modified xsi:type="dcterms:W3CDTF">2026-01-26T02:50:25Z</dcterms:modified>
</cp:coreProperties>
</file>