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727378</wp:posOffset>
                </wp:positionV>
                <wp:extent cx="5467350" cy="3505200"/>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5051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275/2026/0191/VFI-CT.48.A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CỔ PHẦN ĐẦU TƯ THƯƠNG MẠI VÀ VẬN TẢI SÔNG HỒNG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số: 48, tờ bản đồ số: 5H-I-47 có địa chỉ: Tổ 41, phường Phương Liệt, quận Thanh Xuân, thành </w:t>
                            </w:r>
                            <w:r>
                              <w:rPr>
                                <w:color w:val="000000"/>
                              </w:rPr>
                              <w:t xml:space="preserve">phố Hà Nội (nay là phường Phương Liệt, thành p</w:t>
                            </w:r>
                            <w:r>
                              <w:rPr>
                                <w:color w:val="000000"/>
                              </w:rPr>
                              <w:t xml:space="preserve">hố Hà Nội) theo Giấy chứng nhận quyền sở hữu nhà ở và quyền sử dụng đất ở số: 10111070848, hồ sơ gốc số: 5935.2002.QĐUB 24323.2002 do Uỷ ban nhân dân thành phố Hà Nội cấp ngày 26/08/2002 cho Ông Dương Văn Lương và Bà Phạm Thị Lựu (cập nhập ngày 23/12/2005)</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57.27pt;mso-position-vertical:absolute;width:430.50pt;height:276.0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275/2026/0191/VFI-CT.48.A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CÔNG TY CỔ PHẦN ĐẦU TƯ THƯƠNG MẠI VÀ VẬN TẢI SÔNG HỒNG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số: 48, tờ bản đồ số: 5H-I-47 có địa chỉ: Tổ 41, phường Phương Liệt, quận Thanh Xuân, thành </w:t>
                      </w:r>
                      <w:r>
                        <w:rPr>
                          <w:color w:val="000000"/>
                        </w:rPr>
                        <w:t xml:space="preserve">phố Hà Nội (nay là phường Phương Liệt, thành p</w:t>
                      </w:r>
                      <w:r>
                        <w:rPr>
                          <w:color w:val="000000"/>
                        </w:rPr>
                        <w:t xml:space="preserve">hố Hà Nội) theo Giấy chứng nhận quyền sở hữu nhà ở và quyền sử dụng đất ở số: 10111070848, hồ sơ gốc số: 5935.2002.QĐUB 24323.2002 do Uỷ ban nhân dân thành phố Hà Nội cấp ngày 26/08/2002 cho Ông Dương Văn Lương và Bà Phạm Thị Lựu (cập nhập ngày 23/12/2005)</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01/2026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t xml:space="preserve">            21-28</w:t>
            </w:r>
            <w:r>
              <w:rPr>
                <w:b/>
                <w:bCs/>
              </w:rPr>
            </w:r>
            <w:r>
              <w:rPr>
                <w:b/>
                <w:bCs/>
              </w:rPr>
            </w:r>
          </w:p>
        </w:tc>
      </w:tr>
    </w:tbl>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rPr>
          <w:b/>
          <w:sz w:val="22"/>
          <w:szCs w:val="22"/>
          <w:lang w:val="vi-VN"/>
        </w:rPr>
        <w:sectPr>
          <w:footerReference w:type="first" r:id="rId12"/>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55" w:type="dxa"/>
        <w:tblW w:w="9921" w:type="dxa"/>
        <w:tblBorders/>
        <w:tblLayout w:type="fixed"/>
        <w:tblLook w:val="04A0" w:firstRow="1" w:lastRow="0" w:firstColumn="1" w:lastColumn="0" w:noHBand="0" w:noVBand="1"/>
      </w:tblPr>
      <w:tblGrid>
        <w:gridCol w:w="1701"/>
        <w:gridCol w:w="3260"/>
        <w:gridCol w:w="4961"/>
      </w:tblGrid>
      <w:tr>
        <w:trPr>
          <w:trHeight w:val="1152"/>
        </w:trPr>
        <w:tc>
          <w:tcPr>
            <w:tcBorders/>
            <w:tcW w:w="170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2"/>
            <w:tcBorders/>
            <w:tcW w:w="822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2"/>
        </w:trPr>
        <w:tc>
          <w:tcPr>
            <w:gridSpan w:val="2"/>
            <w:shd w:val="clear" w:color="auto" w:fill="auto"/>
            <w:tcBorders/>
            <w:tcMar>
              <w:left w:w="108" w:type="dxa"/>
              <w:top w:w="0" w:type="dxa"/>
              <w:right w:w="108" w:type="dxa"/>
              <w:bottom w:w="0" w:type="dxa"/>
            </w:tcMar>
            <w:tcW w:w="4961"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275/2026/0191/VFI-CT.48.A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961"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23 tháng 1 năm 2026</w:t>
            </w:r>
            <w:r>
              <w:rPr>
                <w:color w:val="000000" w:themeColor="text1"/>
                <w:sz w:val="24"/>
                <w:szCs w:val="24"/>
                <w:lang w:val="vi-VN"/>
              </w:rPr>
            </w:r>
            <w:r>
              <w:rPr>
                <w:color w:val="000000" w:themeColor="text1"/>
                <w:sz w:val="24"/>
                <w:szCs w:val="24"/>
                <w:lang w:val="vi-VN"/>
              </w:rPr>
            </w:r>
          </w:p>
        </w:tc>
      </w:tr>
    </w:tbl>
    <w:p>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ĐẦU TƯ THƯƠNG MẠI VÀ VẬN TẢI SÔNG HỒNG</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275/2026/0191/VFI-HĐTĐ.48.A</w:t>
      </w:r>
      <w:r>
        <w:rPr>
          <w:spacing w:val="-4"/>
          <w:lang w:val="vi-VN"/>
        </w:rPr>
        <w:t xml:space="preserve"> ký ngày </w:t>
      </w:r>
      <w:r>
        <w:rPr>
          <w:color w:val="000000" w:themeColor="text1"/>
          <w:spacing w:val="-4"/>
        </w:rPr>
        <w:t xml:space="preserve">22 tháng 1 năm 2026</w:t>
      </w:r>
      <w:r>
        <w:rPr>
          <w:spacing w:val="-4"/>
          <w:lang w:val="vi-VN"/>
        </w:rPr>
        <w:t xml:space="preserve"> </w:t>
      </w:r>
      <w:r>
        <w:rPr>
          <w:spacing w:val="-4"/>
          <w:lang w:val="vi-VN"/>
        </w:rPr>
        <w:t xml:space="preserve">giữa </w:t>
      </w:r>
      <w:r>
        <w:rPr>
          <w:rFonts w:ascii="Times New Roman" w:hAnsi="Times New Roman" w:eastAsia="Times New Roman" w:cs="Times New Roman"/>
          <w:color w:val="000000"/>
          <w:sz w:val="24"/>
        </w:rPr>
        <w:t xml:space="preserve">Công Ty Cổ Phần Đầu Tư Thương Mại Và Vận Tải Sông Hồng</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275/2026/0191/VFI-BC.48.A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23 tháng 1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CÔNG TY CỔ PHẦN ĐẦU TƯ THƯƠNG MẠI VÀ VẬN TẢI SÔNG HỒNG</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Đại diện</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Ông Phạm Văn Lượng           Chức vụ: Giám đốc</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Số nhà 3, ngõ 2, phố Yên Bình, Phường Phúc La, Quận Hà Đông, Tp Hà Nội</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Mã số thuế</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0107586147</w:t>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rPr>
        <w:t xml:space="preserve"> Quyền sử dụng đất số: 48, tờ bản đồ số: 5H-I-47 có địa chỉ: Tổ 41, phường Phương Liệt, quận Thanh Xuân, thành </w:t>
      </w:r>
      <w:r>
        <w:rPr>
          <w:color w:val="000000"/>
        </w:rPr>
        <w:t xml:space="preserve">phố Hà Nội (nay là phường Phương Liệt, thành p</w:t>
      </w:r>
      <w:r>
        <w:rPr>
          <w:color w:val="000000"/>
        </w:rPr>
        <w:t xml:space="preserve">hố Hà Nội) theo Giấy chứng nhận quyền sở hữu nhà ở và quyền sử dụng đất ở số: 10111070848, hồ sơ gốc số: 5935.2002.QĐUB 24323.2002 do Uỷ ban nhân dân thành phố Hà Nội cấp ngày 26/08/2002 cho Ông Dương Văn Lương và Bà Phạm Thị Lựu (cập nhập ngày 23/12/2005)</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01/2026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01/2026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r>
            <w:r>
              <w:rPr>
                <w:color w:val="000000"/>
              </w:rPr>
              <w:t xml:space="preserve">Quyền sử dụng đất số: 48, tờ bản đồ số: 5H-I-47 có địa chỉ: Tổ 41, phường Phương Liệt, quận Thanh Xuân, thành </w:t>
            </w:r>
            <w:r>
              <w:rPr>
                <w:color w:val="000000"/>
              </w:rPr>
              <w:t xml:space="preserve">phố Hà Nội (nay là phường Phương Liệt, thành p</w:t>
            </w:r>
            <w:r>
              <w:rPr>
                <w:color w:val="000000"/>
              </w:rPr>
              <w:t xml:space="preserve">hố Hà Nội) theo Giấy chứng nhận quyền sở hữu nhà ở và quyền sử dụng đất ở số: 10111070848, hồ sơ gốc số: 5935.2002.QĐUB 24323.2002 do Uỷ ban nhân dân thành phố Hà Nội cấp ngày 26/08/2002 cho Ông Dương Văn Lương và Bà Phạm Thị Lựu (cập nhập ngày 23/12/2005)</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Đất ở</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99,1</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320.000.000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31.712.000.000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31.712.000.000</w:t>
            </w:r>
            <w:r>
              <w:rPr>
                <w:b/>
                <w:bCs/>
                <w:color w:val="000000"/>
              </w:rPr>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color w:val="000000"/>
              </w:rPr>
              <w:t xml:space="preserve">31.712.000.000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Ba mươi mốt tỷ bảy trăm mười hai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bCs/>
          <w:spacing w:val="-4"/>
          <w:lang w:val="pt-BR"/>
        </w:rPr>
      </w:r>
      <w:r>
        <w:rPr>
          <w:rFonts w:eastAsia="Calibri"/>
          <w:b/>
          <w:bCs/>
          <w:spacing w:val="-4"/>
          <w:lang w:val="pt-BR"/>
        </w:rPr>
      </w:r>
    </w:p>
    <w:p>
      <w:pPr>
        <w:pBdr/>
        <w:spacing w:after="120" w:before="120" w:line="312" w:lineRule="auto"/>
        <w:ind w:firstLine="36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VIII13.721</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950" w:type="dxa"/>
        <w:tblBorders/>
        <w:tblLayout w:type="fixed"/>
        <w:tblLook w:val="04A0" w:firstRow="1" w:lastRow="0" w:firstColumn="1" w:lastColumn="0" w:noHBand="0" w:noVBand="1"/>
      </w:tblPr>
      <w:tblGrid>
        <w:gridCol w:w="1871"/>
        <w:gridCol w:w="3090"/>
        <w:gridCol w:w="4961"/>
        <w:gridCol w:w="29"/>
      </w:tblGrid>
      <w:tr>
        <w:trPr>
          <w:trHeight w:val="1152"/>
        </w:trPr>
        <w:tc>
          <w:tcPr>
            <w:tcBorders/>
            <w:tcW w:w="1871"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079"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7"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482"/>
        </w:trPr>
        <w:tc>
          <w:tcPr>
            <w:gridSpan w:val="2"/>
            <w:shd w:val="clear" w:color="auto" w:fill="auto"/>
            <w:tcBorders/>
            <w:tcMar>
              <w:left w:w="108" w:type="dxa"/>
              <w:top w:w="0" w:type="dxa"/>
              <w:right w:w="108" w:type="dxa"/>
              <w:bottom w:w="0" w:type="dxa"/>
            </w:tcMar>
            <w:tcW w:w="4961"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275/2026/0191/VFI-CT.48.A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961"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23 tháng 1 năm 2026</w:t>
            </w:r>
            <w:r>
              <w:rPr>
                <w:color w:val="000000" w:themeColor="text1"/>
                <w:sz w:val="24"/>
                <w:szCs w:val="24"/>
                <w:lang w:val="vi-VN"/>
              </w:rPr>
            </w:r>
            <w:r>
              <w:rPr>
                <w:color w:val="000000" w:themeColor="text1"/>
                <w:sz w:val="24"/>
                <w:szCs w:val="24"/>
                <w:lang w:val="vi-VN"/>
              </w:rPr>
            </w:r>
          </w:p>
        </w:tc>
      </w:tr>
    </w:tbl>
    <w:p>
      <w:pPr>
        <w:pStyle w:val="103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275/2026/0191/VFI-CT.48.A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23 tháng 1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771"/>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CÔNG TY CỔ PHẦN ĐẦU TƯ THƯƠNG MẠI VÀ VẬN TẢI SÔNG HỒNG</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Ông Phạm Văn Lượng           Chức vụ: Giám đốc</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w:t>
            </w: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Số nhà 3, ngõ 2, phố Yên Bình, Phường Phúc La, Quận Hà Đông, Tp Hà Nội</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0107586147</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r>
            <w:r>
              <w:rPr>
                <w:color w:val="000000"/>
              </w:rPr>
              <w:t xml:space="preserve">Quyền sử dụng đất số: 48, tờ bản đồ số: 5H-I-47 có địa chỉ: Tổ 41, phường Phương Liệt, quận Thanh Xuân, thành </w:t>
            </w:r>
            <w:r>
              <w:rPr>
                <w:color w:val="000000"/>
              </w:rPr>
              <w:t xml:space="preserve">phố Hà Nội (nay là phường Phương Liệt, thành p</w:t>
            </w:r>
            <w:r>
              <w:rPr>
                <w:color w:val="000000"/>
              </w:rPr>
              <w:t xml:space="preserve">hố Hà Nội) theo Giấy chứng nhận quyền sở hữu nhà ở và quyền sử dụng đất ở số: 10111070848, hồ sơ gốc số: 5935.2002.QĐUB 24323.2002 do Uỷ ban nhân dân thành phố Hà Nội cấp ngày 26/08/2002 cho Ông Dương Văn Lương và Bà Phạm Thị Lựu (cập nhập ngày 23/12/2005)</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01/2026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color w:val="000000"/>
              </w:rPr>
              <w:t xml:space="preserve">Phường Phương Liệt, thành p</w:t>
            </w:r>
            <w:r>
              <w:rPr>
                <w:color w:val="000000"/>
              </w:rPr>
              <w:t xml:space="preserve">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20.990305555556, 105.84063888889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01/2026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3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35"/>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3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3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sở hữu nhà ở và quyền sử dụng đất ở số: 10111070848, hồ sơ gốc số: 5935.2002.QĐUB 24323.2002 do Uỷ ban nhân dân thành phố Hà Nội cấp ngày 26/08/2002 cho Ông Dương Văn Lương và Bà Phạm Thị Lựu (cập nhập ngày 23/12/2005)</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35"/>
        <w:numPr>
          <w:ilvl w:val="0"/>
          <w:numId w:val="2"/>
        </w:numPr>
        <w:pBdr/>
        <w:tabs>
          <w:tab w:val="left" w:leader="none" w:pos="993"/>
        </w:tabs>
        <w:spacing w:after="120" w:before="120" w:line="276" w:lineRule="auto"/>
        <w:ind/>
        <w:jc w:val="both"/>
        <w:rPr>
          <w:rFonts w:ascii="Times New Roman" w:hAnsi="Times New Roman" w:cs="Times New Roman"/>
          <w:b/>
          <w:sz w:val="24"/>
          <w:szCs w:val="24"/>
        </w:rPr>
      </w:pPr>
      <w:r>
        <w:rPr>
          <w:rFonts w:ascii="Times New Roman" w:hAnsi="Times New Roman" w:eastAsia="Times New Roman" w:cs="Times New Roman"/>
          <w:color w:val="000000" w:themeColor="text1"/>
          <w:sz w:val="24"/>
          <w:szCs w:val="24"/>
          <w:lang w:val="pt-BR"/>
        </w:rPr>
      </w:r>
      <w:r>
        <w:rPr>
          <w:rFonts w:ascii="Times New Roman" w:hAnsi="Times New Roman" w:eastAsia="Times New Roman" w:cs="Times New Roman"/>
          <w:color w:val="000000"/>
          <w:sz w:val="24"/>
          <w:szCs w:val="24"/>
        </w:rPr>
        <w:t xml:space="preserve">Hợp đồng dịch vụ thẩm định giá số: </w:t>
      </w:r>
      <w:r>
        <w:rPr>
          <w:rFonts w:ascii="Times New Roman" w:hAnsi="Times New Roman" w:eastAsia="Times New Roman" w:cs="Times New Roman"/>
          <w:color w:val="081b3a"/>
          <w:spacing w:val="3"/>
          <w:sz w:val="24"/>
          <w:szCs w:val="24"/>
          <w:highlight w:val="white"/>
        </w:rPr>
        <w:t xml:space="preserve">275/2026/0191/VFI-HĐTĐ.48.A</w:t>
      </w:r>
      <w:r>
        <w:rPr>
          <w:rFonts w:ascii="Times New Roman" w:hAnsi="Times New Roman" w:eastAsia="Times New Roman" w:cs="Times New Roman"/>
          <w:color w:val="000000"/>
          <w:sz w:val="24"/>
          <w:szCs w:val="24"/>
        </w:rPr>
        <w:t xml:space="preserve"> ký ngày 15/5/2025 giữa Công Ty Cổ Phần Đầu Tư Thương Mại Và Vận Tải Sông Hồng</w:t>
      </w:r>
      <w:r>
        <w:rPr>
          <w:rFonts w:ascii="Times New Roman" w:hAnsi="Times New Roman" w:eastAsia="Times New Roman" w:cs="Times New Roman"/>
          <w:color w:val="000000"/>
          <w:spacing w:val="-6"/>
          <w:sz w:val="24"/>
          <w:szCs w:val="24"/>
        </w:rPr>
        <w:t xml:space="preserve"> và Công ty Cổ phần Thẩm định và Đầu tư Tài chính Hoa Sen</w:t>
      </w:r>
      <w:r>
        <w:rPr>
          <w:rFonts w:ascii="Times New Roman" w:hAnsi="Times New Roman" w:eastAsia="Times New Roman" w:cs="Times New Roman"/>
          <w:color w:val="000000"/>
          <w:sz w:val="24"/>
          <w:szCs w:val="24"/>
        </w:rPr>
        <w:t xml:space="preserve">;</w:t>
      </w:r>
      <w:r>
        <w:rPr>
          <w:rFonts w:ascii="Times New Roman" w:hAnsi="Times New Roman" w:eastAsia="Times New Roman" w:cs="Times New Roman"/>
          <w:color w:val="000000" w:themeColor="text1"/>
          <w:sz w:val="24"/>
          <w:szCs w:val="24"/>
          <w:lang w:val="pt-BR"/>
        </w:rPr>
        <w:t xml:space="preserve">.</w:t>
      </w:r>
      <w:r>
        <w:rPr>
          <w:rFonts w:ascii="Times New Roman" w:hAnsi="Times New Roman" w:cs="Times New Roman"/>
          <w:b/>
          <w:sz w:val="24"/>
          <w:szCs w:val="24"/>
        </w:rPr>
      </w:r>
      <w:r>
        <w:rPr>
          <w:rFonts w:ascii="Times New Roman" w:hAnsi="Times New Roman" w:cs="Times New Roman"/>
          <w:b/>
          <w:sz w:val="24"/>
          <w:szCs w:val="24"/>
        </w:rPr>
      </w:r>
    </w:p>
    <w:p>
      <w:pPr>
        <w:pStyle w:val="103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lang w:val="pt-BR"/>
        </w:rPr>
        <w:tab/>
      </w:r>
      <w:r>
        <w:rPr>
          <w:rFonts w:ascii="Times New Roman" w:hAnsi="Times New Roman" w:eastAsia="Times New Roman" w:cs="Times New Roman"/>
          <w:color w:val="000000"/>
          <w:sz w:val="24"/>
        </w:rPr>
        <w:t xml:space="preserve"> Thanh Xuân đang trở thành tâm điểm thu hút sự chú ý của giới đầu tư nhờ vị trí chiến lược và hạ tầng phát triển đồng bộ. Với hệ thống giao thông kết nối thuận tiện, các tiện ích hiện đại cùng tiềm năng gia tăng giá trị mạnh mẽ, bất động sản Thanh Xuân khô</w:t>
      </w:r>
      <w:r>
        <w:rPr>
          <w:rFonts w:ascii="Times New Roman" w:hAnsi="Times New Roman" w:eastAsia="Times New Roman" w:cs="Times New Roman"/>
          <w:color w:val="000000"/>
          <w:sz w:val="24"/>
        </w:rPr>
        <w:t xml:space="preserve">ng chỉ đáp ứng nhu cầu an cư mà còn là lựa chọn lý tưởng cho những ai tìm kiếm cơ hội sinh lời bền vững. Vậy, lý do gì khiến khu vực này trở nên thu hút như vậy? Hãy cùng tìm hiểu trong bài viết dưới đây!</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Một số thông tin nổi bật về quận Thanh Xuân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Quận Thanh Xuân từ lâu đã nổi danh là vùng đất "địa linh nhân kiệt" nhờ vị trí đắc địa. Nơi đây giáp ranh với các quận trung tâm của Hà Nội như Hai Bà Trưng, Nam Từ Liêm, Hà Đông, Thanh Trì, Hoàng Mai, Đống Đa và Cầu Giấy. Nhờ lợi thế này, Thanh Xuân có n</w:t>
      </w:r>
      <w:r>
        <w:rPr>
          <w:rFonts w:ascii="Times New Roman" w:hAnsi="Times New Roman" w:eastAsia="Times New Roman" w:cs="Times New Roman"/>
          <w:color w:val="000000"/>
          <w:sz w:val="24"/>
        </w:rPr>
        <w:t xml:space="preserve">ền kinh tế sôi động, các hoạt động giao thương và giải trí phát triển mạnh mẽ.</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Phát triển kinh tế và hạ tầng quận Thanh Xuân được xem là một trong những khu vực trọng yếu của Hà Nội về phát triển kinh tế - xã hội. Trong 6 tháng đầu năm 2024, quận đã đạt kết quả ấn tượng khi tổng thu ngân sách đạt khoảng 3.666 tỷ 261 triệu đồng, chiế</w:t>
      </w:r>
      <w:r>
        <w:rPr>
          <w:rFonts w:ascii="Times New Roman" w:hAnsi="Times New Roman" w:eastAsia="Times New Roman" w:cs="Times New Roman"/>
          <w:color w:val="000000"/>
          <w:sz w:val="24"/>
        </w:rPr>
        <w:t xml:space="preserve">m 55,4% chỉ tiêu toàn thành phố. Con số này phản ánh sự nỗ lực không ngừng trong việc thúc đẩy tăng trưởng kinh tế.</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Về hạ tầng, Thanh Xuân có mạng lưới giao thông hiện đại với nhiều tuyến đường chính như Vành đai 3, Đường Láng, Trường Chinh, Nguyễn Trãi, Lương Thế Vinh,... giúp giao thông thuận tiện. Đặc biệt, tuyến Metro Cát Linh - Hà Đông đi qua địa bàn cũng mang đến</w:t>
      </w:r>
      <w:r>
        <w:rPr>
          <w:rFonts w:ascii="Times New Roman" w:hAnsi="Times New Roman" w:eastAsia="Times New Roman" w:cs="Times New Roman"/>
          <w:color w:val="000000"/>
          <w:sz w:val="24"/>
        </w:rPr>
        <w:t xml:space="preserve"> sự thuận lợi cho người dân khi đi đến các khu vực lân cận. Trong thời gian tới, quận sẽ tiếp tục triển khai các kế hoạch cải tạo và nâng cấp hạ tầng giao thông, đảm bảo sự đồng bộ và hiện đại, góp phần đẩy nhanh quá trình đô thị hóa.</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Tình hình thị trường bất động sản tại quận Thanh Xuân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Quận Thanh Xuân đang nổi lên như một khu vực tiềm năng trong phát triển bất động sản. Không chỉ sở hữu vị trí địa lý thuận lợi, hệ thống hạ tầng giao thông hiện đại và tốc độ tăng trưởng kinh tế ấn tượng, nhu cầu nhà ở ngày càng tăng cũng là yếu tố góp ph</w:t>
      </w:r>
      <w:r>
        <w:rPr>
          <w:rFonts w:ascii="Times New Roman" w:hAnsi="Times New Roman" w:eastAsia="Times New Roman" w:cs="Times New Roman"/>
          <w:color w:val="000000"/>
          <w:sz w:val="24"/>
        </w:rPr>
        <w:t xml:space="preserve">ần đẩy giá đất lên cao.</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Tính đến năm 2022, dân số quận đã đạt 293.292 người với mật độ lên tới 31.971 người/km2. Bên cạnh đó, Thanh Xuân còn là nơi tập trung nhiều doanh nghiệp, trường học và khu vui chơi giải trí, thu hút một lượng lớn người lao động và sinh viên đến làm việc, </w:t>
      </w:r>
      <w:r>
        <w:rPr>
          <w:rFonts w:ascii="Times New Roman" w:hAnsi="Times New Roman" w:eastAsia="Times New Roman" w:cs="Times New Roman"/>
          <w:color w:val="000000"/>
          <w:sz w:val="24"/>
        </w:rPr>
        <w:t xml:space="preserve">học tập. Điều này dự kiến sẽ khiến dân số tiếp tục tăng trong những năm tới, tạo áp lực lớn về nhu cầu nhà ở.</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Hơn nữa, quỹ đất chưa quy hoạch tại Thanh Xuân hiện đang khá hạn chế. Kết hợp với việc nhiều dự án bất động sản quy mô lớn đang được triển khai, thị trường nhà đất tại đây liên tục ghi nhận mức tăng giá mạnh mẽ và sự cạnh tranh quyết liệt giữa các nhà đầu</w:t>
      </w:r>
      <w:r>
        <w:rPr>
          <w:rFonts w:ascii="Times New Roman" w:hAnsi="Times New Roman" w:eastAsia="Times New Roman" w:cs="Times New Roman"/>
          <w:color w:val="000000"/>
          <w:sz w:val="24"/>
        </w:rPr>
        <w:t xml:space="preserve"> tư. Các chuyên gia dự đoán rằng giá đất tại Thanh Xuân sẽ còn tiếp tục tăng khi cơ sở hạ tầng hoàn thiện hơn trong tương lai.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r>
      <w:r>
        <w:rPr>
          <w:rFonts w:ascii="Times New Roman" w:hAnsi="Times New Roman" w:eastAsia="Times New Roman" w:cs="Times New Roman"/>
          <w:b/>
          <w:color w:val="000000"/>
          <w:sz w:val="24"/>
        </w:rPr>
        <w:t xml:space="preserve">Tiềm năng của thị trường bất động sản Thanh Xuân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Quận Thanh Xuân nằm ở phía Tây Nam Hà Nội đã trải qua chặng đường phát triển ấn tượng từ khi thành lập năm 1996. Ban đầu chỉ có 5 phường với diện tích 78,1 ha, quận đã không ngừng mở rộng và hiện nay có 11 phường, trở thành một trong những khu vực có tốc </w:t>
      </w:r>
      <w:r>
        <w:rPr>
          <w:rFonts w:ascii="Times New Roman" w:hAnsi="Times New Roman" w:eastAsia="Times New Roman" w:cs="Times New Roman"/>
          <w:color w:val="000000"/>
          <w:sz w:val="24"/>
        </w:rPr>
        <w:t xml:space="preserve">độ đô thị hóa cao nhất thủ đô.</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Thị trường bất động sản tại Thanh Xuân phát triển mạnh mẽ nhờ vị trí thuận lợi, quy hoạch thông minh và hạ tầng hiện đại. Quận còn nổi tiếng với hệ thống giáo dục chất lượng, quy tụ nhiều trường đại học hàng đầu như Đại học Khoa học Xã hội &amp; Nhân văn, Đại</w:t>
      </w:r>
      <w:r>
        <w:rPr>
          <w:rFonts w:ascii="Times New Roman" w:hAnsi="Times New Roman" w:eastAsia="Times New Roman" w:cs="Times New Roman"/>
          <w:color w:val="000000"/>
          <w:sz w:val="24"/>
        </w:rPr>
        <w:t xml:space="preserve"> học Hà Nội, Đại học Kiến trúc và Học viện Bưu chính Viễn thông.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Cơ sở hạ tầng phục vụ nhu cầu sinh hoạt như y tế, mua sắm và giải trí cũng rất phát triển. Các bệnh viện lớn như bệnh viện Medlatec, bệnh viện Đại học Quốc gia Hà Nội và các địa điểm mua sắm nổi tiếng như Big C, Royal City đều góp phần nâng cao chất lượng</w:t>
      </w:r>
      <w:r>
        <w:rPr>
          <w:rFonts w:ascii="Times New Roman" w:hAnsi="Times New Roman" w:eastAsia="Times New Roman" w:cs="Times New Roman"/>
          <w:color w:val="000000"/>
          <w:sz w:val="24"/>
        </w:rPr>
        <w:t xml:space="preserve"> cuộc sống cho cư dân.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Những yếu tố này đã làm thay đổi diện mạo Thanh Xuân, đồng thời tạo nên sức hút đặc biệt cho thị trường bất động sản tại đây. Quận cũng là nơi đặt trụ sở của nhiều cơ quan hành chính và doanh nghiệp, góp phần làm tăng nhu cầu nhà đất và đẩy giá trị bất độ</w:t>
      </w:r>
      <w:r>
        <w:rPr>
          <w:rFonts w:ascii="Times New Roman" w:hAnsi="Times New Roman" w:eastAsia="Times New Roman" w:cs="Times New Roman"/>
          <w:color w:val="000000"/>
          <w:sz w:val="24"/>
        </w:rPr>
        <w:t xml:space="preserve">ng sản ngày càng cao.</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Hạ tầng giao thông vượt trội đã góp phần quan trọng vào sự phát triển mạnh mẽ của thị trường bất động sản khu vực Thanh Xuân. Những tuyến đường huyết mạch như Láng Hạ - Lê Văn Lương, Nguyễn Trãi, và đường vành đai 3 được thường xuyên nâng cấp và mở rộng. </w:t>
      </w:r>
      <w:r>
        <w:rPr>
          <w:rFonts w:ascii="Times New Roman" w:hAnsi="Times New Roman" w:eastAsia="Times New Roman" w:cs="Times New Roman"/>
          <w:color w:val="000000"/>
          <w:sz w:val="24"/>
        </w:rPr>
        <w:t xml:space="preserve">Bên cạnh đó, hệ thống cầu qua sông Tô Lịch và các tuyến đường trên cao cũng được cải thiện đáng kể.</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Việc nâng cấp mạng lưới giao thông không chỉ giảm thiểu tình trạng tắc nghẽn vào giờ cao điểm, mà còn tạo điều kiện cho cư dân di chuyển thuận lợi giữa các quận và vùng lân cận.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báo cáo từ Xemnha, từ cuối năm 2019, bất động sản Thanh Xuân đã chứng kiến sự bùng nổ, đặc biệt trong phân khúc căn hộ cao cấp và các khu đô thị mới. Số lượng giao dịch và giá nhà đất gia tăng đáng kể, thu hút các nhà đầu tư lớn với tầm nhìn chiến lư</w:t>
      </w:r>
      <w:r>
        <w:rPr>
          <w:rFonts w:ascii="Times New Roman" w:hAnsi="Times New Roman" w:eastAsia="Times New Roman" w:cs="Times New Roman"/>
          <w:color w:val="000000"/>
          <w:sz w:val="24"/>
        </w:rPr>
        <w:t xml:space="preserve">ợc.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Các chuyên gia bất động sản dự đoán sự kết hợp của nhiều yếu tố như quỹ đất ngày càng khan hiếm, nhu cầu nhà ở tăng, cùng với sự phát triển hạ tầng và sự ra mắt của các dự án cao cấp, sẽ tiếp tục đẩy giá trị thị trường bất động sản Thanh Xuân lên cao tron</w:t>
      </w:r>
      <w:r>
        <w:rPr>
          <w:rFonts w:ascii="Times New Roman" w:hAnsi="Times New Roman" w:eastAsia="Times New Roman" w:cs="Times New Roman"/>
          <w:color w:val="000000"/>
          <w:sz w:val="24"/>
        </w:rPr>
        <w:t xml:space="preserve">g tương lai.</w:t>
      </w:r>
      <w:r/>
    </w:p>
    <w:p>
      <w:pPr>
        <w:pBdr/>
        <w:tabs>
          <w:tab w:val="left" w:leader="none" w:pos="426"/>
        </w:tabs>
        <w:spacing w:after="120" w:before="120" w:line="276" w:lineRule="auto"/>
        <w:ind/>
        <w:jc w:val="center"/>
        <w:rPr>
          <w:bCs/>
          <w:i/>
          <w:lang w:val="pt-BR"/>
        </w:rPr>
      </w:pPr>
      <w:r>
        <w:rPr>
          <w:rFonts w:ascii="Times New Roman" w:hAnsi="Times New Roman" w:eastAsia="Times New Roman" w:cs="Times New Roman"/>
          <w:i/>
          <w:color w:val="000000"/>
          <w:sz w:val="24"/>
        </w:rPr>
        <w:t xml:space="preserve">(Nguồn: https://onehousing.vn/blog/suc-hut-ve-tiem-nang-bat-dong-san-khu-vuc-thanh-xuan-co-gi-noi-bat-n17t?utm_source=social_share&amp;utm_medium=copyurl&amp;utm_campaign=d8d26551-fcc1-4028-94f0-aac20e029b68)</w:t>
      </w:r>
      <w:r>
        <w:rPr>
          <w:bCs/>
          <w:i/>
          <w:lang w:val="pt-BR"/>
        </w:rPr>
      </w:r>
      <w:r>
        <w:rPr>
          <w:bCs/>
          <w:i/>
          <w:lang w:val="pt-BR"/>
        </w:rPr>
      </w:r>
    </w:p>
    <w:p>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r>
            <w:r>
              <w:rPr>
                <w:b/>
                <w:bCs/>
                <w:color w:val="000000"/>
              </w:rPr>
              <w:t xml:space="preserve">Quyền sử dụng đất số: 48, tờ bản đồ số: 5H-I-47 có địa chỉ: Tổ 41, phường Phương Liệt, quận Thanh Xuân, thành </w:t>
            </w:r>
            <w:r>
              <w:rPr>
                <w:b/>
                <w:bCs/>
                <w:color w:val="000000"/>
              </w:rPr>
              <w:t xml:space="preserve">phố Hà Nội (nay là phường Phương Liệt, thành p</w:t>
            </w:r>
            <w:r>
              <w:rPr>
                <w:b/>
                <w:bCs/>
                <w:color w:val="000000"/>
              </w:rPr>
              <w:t xml:space="preserve">hố Hà Nội) theo Giấy chứng nhận quyền sở hữu nhà ở và quyền sử dụng đất ở số: 10111070848, hồ sơ gốc số: 5935.2002.QĐUB 24323.2002 do Uỷ ban nhân dân thành phố Hà Nội cấp ngày 26/08/2002 cho Ông Dương Văn Lương và Bà Phạm Thị Lựu (cập nhập ngày 23/12/2005)</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48</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5H-I-47</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b w:val="0"/>
                <w:bCs w:val="0"/>
                <w:color w:val="000000"/>
              </w:rPr>
            </w:pPr>
            <w:r>
              <w:rPr>
                <w:b w:val="0"/>
                <w:bCs w:val="0"/>
                <w:color w:val="000000"/>
              </w:rPr>
            </w:r>
            <w:r>
              <w:rPr>
                <w:b w:val="0"/>
                <w:bCs w:val="0"/>
                <w:color w:val="000000"/>
              </w:rPr>
              <w:t xml:space="preserve">Tổ 41, phường Phương Liệt, quận Thanh Xuân, thành </w:t>
            </w:r>
            <w:r>
              <w:rPr>
                <w:b w:val="0"/>
                <w:bCs w:val="0"/>
                <w:color w:val="000000"/>
              </w:rPr>
              <w:t xml:space="preserve">phố Hà Nội (nay là phường Phương Liệt, thành p</w:t>
            </w:r>
            <w:r>
              <w:rPr>
                <w:b w:val="0"/>
                <w:bCs w:val="0"/>
                <w:color w:val="000000"/>
              </w:rPr>
              <w:t xml:space="preserve">hố Hà Nội</w:t>
            </w:r>
            <w:r>
              <w:rPr>
                <w:b w:val="0"/>
                <w:bCs w:val="0"/>
                <w:color w:val="000000"/>
              </w:rPr>
            </w:r>
            <w:r>
              <w:rPr>
                <w:b w:val="0"/>
                <w:bCs w:val="0"/>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99,1</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vMerge w:val="restart"/>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vMerge w:val="restart"/>
            <w:textDirection w:val="lrTb"/>
            <w:noWrap w:val="false"/>
          </w:tcPr>
          <w:p>
            <w:pPr>
              <w:pBdr/>
              <w:spacing/>
              <w:ind/>
              <w:rPr>
                <w:color w:val="000000"/>
              </w:rPr>
            </w:pPr>
            <w:r>
              <w:rPr>
                <w:color w:val="000000"/>
              </w:rPr>
              <w:t xml:space="preserve">Địa chỉ thực tế</w:t>
            </w:r>
            <w:r>
              <w:rPr>
                <w:color w:val="000000"/>
              </w:rPr>
            </w:r>
            <w:r>
              <w:rPr>
                <w:color w:val="000000"/>
              </w:rPr>
            </w:r>
          </w:p>
        </w:tc>
        <w:tc>
          <w:tcPr>
            <w:gridSpan w:val="3"/>
            <w:tcBorders/>
            <w:tcW w:w="6259" w:type="dxa"/>
            <w:vAlign w:val="center"/>
            <w:vMerge w:val="restart"/>
            <w:textDirection w:val="lrTb"/>
            <w:noWrap w:val="false"/>
          </w:tcPr>
          <w:p>
            <w:pPr>
              <w:pBdr/>
              <w:spacing/>
              <w:ind/>
              <w:jc w:val="left"/>
              <w:rPr>
                <w:color w:val="000000"/>
              </w:rPr>
            </w:pPr>
            <w:r>
              <w:rPr>
                <w:color w:val="000000"/>
              </w:rPr>
            </w:r>
            <w:r>
              <w:rPr>
                <w:rFonts w:ascii="Times New Roman" w:hAnsi="Times New Roman" w:eastAsia="Times New Roman" w:cs="Times New Roman"/>
                <w:color w:val="000000"/>
                <w:sz w:val="24"/>
              </w:rPr>
              <w:t xml:space="preserve">Số 10 ngõ 1, Phan Đình Giót, quận Thanh Xuân, thành phố Hà Nội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nhựa</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7,5</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7,5</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sz w:val="24"/>
                <w:szCs w:val="24"/>
              </w:rPr>
            </w:pPr>
            <w:r>
              <w:rPr>
                <w:color w:val="000000" w:themeColor="text1"/>
                <w:sz w:val="24"/>
                <w:szCs w:val="24"/>
              </w:rPr>
            </w:r>
            <w:r>
              <w:rPr>
                <w:color w:val="000000" w:themeColor="text1"/>
                <w:sz w:val="24"/>
                <w:szCs w:val="24"/>
              </w:rPr>
              <w:t xml:space="preserve">Tài sản nằm tiếp giáp đường ngõ Phan Đình Giót, cách đường Giải Phòng khoảng 200m</w:t>
            </w:r>
            <w:r>
              <w:rPr>
                <w:color w:val="000000"/>
                <w:sz w:val="24"/>
                <w:szCs w:val="24"/>
              </w:rPr>
            </w:r>
            <w:r>
              <w:rPr>
                <w:color w:val="000000"/>
                <w:sz w:val="24"/>
                <w:szCs w:val="24"/>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t xml:space="preserve">Hướng Đông: Tiếp giáp đường giao thông.</w:t>
              <w:br/>
              <w:t xml:space="preserve">Hướng Các hướng khác: Tiếp giáp thửa đất khác.</w:t>
            </w:r>
            <w:bookmarkEnd w:id="3"/>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20.990305555556</w:t>
            </w:r>
            <w:r>
              <w:rPr>
                <w:color w:val="000000"/>
              </w:rPr>
              <w:t xml:space="preserve">, </w:t>
            </w:r>
            <w:r>
              <w:rPr>
                <w:color w:val="000000"/>
              </w:rPr>
              <w:t xml:space="preserve">105.84063888889</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1222"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4981222"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22pt;height:200.00pt;mso-wrap-distance-left:0.00pt;mso-wrap-distance-top:0.00pt;mso-wrap-distance-right:0.00pt;mso-wrap-distance-bottom:0.00pt;z-index:1;" stroked="false">
                      <v:imagedata r:id="rId18"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99,1</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7,02</w:t>
            </w:r>
            <w:r>
              <w:rPr>
                <w:color w:val="000000"/>
              </w:rPr>
            </w:r>
            <w:r>
              <w:rPr>
                <w:color w:val="000000"/>
              </w:rPr>
            </w:r>
          </w:p>
        </w:tc>
        <w:tc>
          <w:tcPr>
            <w:tcBorders/>
            <w:tcW w:w="2126" w:type="dxa"/>
            <w:vAlign w:val="center"/>
            <w:textDirection w:val="lrTb"/>
            <w:noWrap w:val="false"/>
          </w:tcPr>
          <w:p>
            <w:pPr>
              <w:pBdr/>
              <w:spacing/>
              <w:ind/>
              <w:rPr/>
            </w:pPr>
            <w:r>
              <w:t xml:space="preserve">Chiều</w:t>
            </w:r>
            <w:r>
              <w:t xml:space="preserve"> </w:t>
            </w:r>
            <w:r>
              <w:t xml:space="preserve">sâu</w:t>
            </w:r>
            <w:r>
              <w:t xml:space="preserve">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14,19</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Tương đối vuông vức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Đông</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 Nhà 3 tầng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khảo sát, tổ thẩm định nhận thấy trên đất có 01 nhà 3 tầng, kết cấu BTCT, tường gạch chịu lực, sàn lát gạch men, ngoại quan còn khá. Diện tích xây dựng khoảng 66,0m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sàn.  Hiện công trình đã được chứng nhận trên GC</w:t>
            </w:r>
            <w:r>
              <w:rPr>
                <w:rFonts w:ascii="Times New Roman" w:hAnsi="Times New Roman" w:eastAsia="Times New Roman" w:cs="Times New Roman"/>
                <w:b w:val="0"/>
                <w:bCs w:val="0"/>
                <w:color w:val="000000"/>
                <w:sz w:val="24"/>
              </w:rPr>
              <w:t xml:space="preserve">N số</w:t>
            </w:r>
            <w:r>
              <w:rPr>
                <w:rFonts w:ascii="Times New Roman" w:hAnsi="Times New Roman" w:eastAsia="Times New Roman" w:cs="Times New Roman"/>
                <w:b w:val="0"/>
                <w:bCs w:val="0"/>
                <w:color w:val="000000"/>
                <w:spacing w:val="3"/>
                <w:sz w:val="24"/>
                <w:highlight w:val="white"/>
              </w:rPr>
              <w:t xml:space="preserve"> </w:t>
            </w:r>
            <w:r>
              <w:rPr>
                <w:b w:val="0"/>
                <w:bCs w:val="0"/>
                <w:color w:val="000000"/>
              </w:rPr>
              <w:t xml:space="preserve">10111070848</w:t>
            </w:r>
            <w:r>
              <w:rPr>
                <w:rFonts w:ascii="Times New Roman" w:hAnsi="Times New Roman" w:eastAsia="Times New Roman" w:cs="Times New Roman"/>
                <w:b w:val="0"/>
                <w:bCs w:val="0"/>
                <w:color w:val="000000"/>
                <w:sz w:val="24"/>
              </w:rPr>
              <w:t xml:space="preserve">.</w:t>
            </w:r>
            <w:r>
              <w:rPr>
                <w:color w:val="000000"/>
              </w:rPr>
            </w:r>
            <w:r>
              <w:rPr>
                <w:color w:val="000000"/>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Style w:val="1035"/>
        <w:numPr>
          <w:ilvl w:val="0"/>
          <w:numId w:val="3"/>
        </w:numPr>
        <w:pBdr/>
        <w:tabs>
          <w:tab w:val="left" w:leader="none" w:pos="993"/>
        </w:tabs>
        <w:spacing w:after="120" w:before="120" w:line="264" w:lineRule="auto"/>
        <w:ind/>
        <w:jc w:val="both"/>
        <w:rPr>
          <w:spacing w:val="-2"/>
          <w:lang w:val="pt-BR"/>
        </w:rPr>
      </w:pPr>
      <w:r>
        <w:rPr>
          <w:highlight w:val="none"/>
          <w:lang w:val="pt-BR" w:bidi="pt-BR"/>
        </w:rPr>
      </w:r>
      <w:r>
        <w:rPr>
          <w:rFonts w:ascii="Times New Roman" w:hAnsi="Times New Roman" w:eastAsia="Times New Roman" w:cs="Times New Roman"/>
          <w:color w:val="000000"/>
          <w:sz w:val="24"/>
        </w:rPr>
        <w:t xml:space="preserve">Tại thời điểm khảo sát, tổ thẩm định nhận thấy trên đất có 01 nhà 3 tầng, kết cấu BTCT, tường gạch chịu lực, sàn lát gạch men, ngoại quan còn khá. Diện tích xây dựng khoảng 66,0m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sàn.  Hiện công trình đã được chứng nhận trên GC</w:t>
      </w:r>
      <w:r>
        <w:rPr>
          <w:rFonts w:ascii="Times New Roman" w:hAnsi="Times New Roman" w:eastAsia="Times New Roman" w:cs="Times New Roman"/>
          <w:b w:val="0"/>
          <w:bCs w:val="0"/>
          <w:color w:val="000000"/>
          <w:sz w:val="24"/>
        </w:rPr>
        <w:t xml:space="preserve">N số</w:t>
      </w:r>
      <w:r>
        <w:rPr>
          <w:rFonts w:ascii="Times New Roman" w:hAnsi="Times New Roman" w:eastAsia="Times New Roman" w:cs="Times New Roman"/>
          <w:b w:val="0"/>
          <w:bCs w:val="0"/>
          <w:color w:val="000000"/>
          <w:spacing w:val="3"/>
          <w:sz w:val="24"/>
          <w:highlight w:val="white"/>
        </w:rPr>
        <w:t xml:space="preserve"> </w:t>
      </w:r>
      <w:r>
        <w:rPr>
          <w:b w:val="0"/>
          <w:bCs w:val="0"/>
          <w:color w:val="000000"/>
        </w:rPr>
        <w:t xml:space="preserve">10111070848</w:t>
      </w:r>
      <w:r>
        <w:rPr>
          <w:rFonts w:ascii="Times New Roman" w:hAnsi="Times New Roman" w:eastAsia="Times New Roman" w:cs="Times New Roman"/>
          <w:b w:val="0"/>
          <w:bCs w:val="0"/>
          <w:color w:val="000000"/>
          <w:sz w:val="24"/>
        </w:rPr>
        <w:t xml:space="preserve">. Đ</w:t>
      </w:r>
      <w:r>
        <w:rPr>
          <w:rFonts w:ascii="Times New Roman" w:hAnsi="Times New Roman" w:eastAsia="Times New Roman" w:cs="Times New Roman"/>
          <w:color w:val="000000"/>
          <w:sz w:val="24"/>
        </w:rPr>
        <w:t xml:space="preserve">ồng thời tổ thẩm định cũng không nhận được bất kỳ hồ sơ pháp lý nào liên quan tới CTXD hiện có này. Do đó, theo đề nghị của ngân hàng/khách hàng, tổ thẩm định chỉ xác định giá trị quyền sử dụng đất, không xác định giá trị của công trình xây d</w:t>
      </w:r>
      <w:r>
        <w:rPr>
          <w:rFonts w:ascii="Times New Roman" w:hAnsi="Times New Roman" w:eastAsia="Times New Roman" w:cs="Times New Roman"/>
          <w:color w:val="000000"/>
          <w:sz w:val="24"/>
        </w:rPr>
        <w:t xml:space="preserve">ựng hiện có vào tổng giá trị nhưng vẫn coi công trình xây dựng là phần không thể tách rời của tài sản thẩm định. Kính đề nghị đơn vị sử dụng kết quả lưu ý</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35"/>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3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3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Phương Liệt,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Phương Liệt,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Phương Liệt, Quận Thanh Xuân,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Phương Liệt, Quận Thanh Xuân, Thành phố Hà Nội</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Phân lô Trường Chinh, Ô tô tránh, kinh doanh, dt 41m2, 5 tầng chắc chắn, Giá 16.3 tỷ. - 17779930</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https://alonhadat.com.vn/ban-nha-pho-phan-dinh-thanh-xuan-7-tang-o-to-tranh-kinh-doanh-dt-68m-mt-4-2m-gia-27-2ty-18033871.html</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0972024768</w:t>
            </w:r>
            <w:r>
              <w:rPr>
                <w:sz w:val="22"/>
                <w:szCs w:val="22"/>
              </w:rPr>
              <w:t xml:space="preserve"> </w:t>
            </w:r>
            <w:r>
              <w:rPr>
                <w:sz w:val="22"/>
                <w:szCs w:val="22"/>
              </w:rPr>
              <w:br/>
              <w:t xml:space="preserve">(</w:t>
            </w:r>
            <w:r>
              <w:rPr>
                <w:sz w:val="22"/>
                <w:szCs w:val="22"/>
              </w:rPr>
              <w:t xml:space="preserve">Đặng Xuân Thuỷ</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0906.556.885</w:t>
            </w:r>
            <w:r>
              <w:rPr>
                <w:sz w:val="22"/>
                <w:szCs w:val="22"/>
              </w:rPr>
              <w:br/>
            </w:r>
            <w:r>
              <w:rPr>
                <w:sz w:val="22"/>
                <w:szCs w:val="22"/>
              </w:rPr>
              <w:t xml:space="preserve">(</w:t>
            </w:r>
            <w:r>
              <w:rPr>
                <w:sz w:val="22"/>
                <w:szCs w:val="22"/>
              </w:rPr>
              <w:t xml:space="preserve">Tuấn Trụ</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0963.492.893</w:t>
            </w:r>
            <w:r>
              <w:rPr>
                <w:sz w:val="22"/>
                <w:szCs w:val="22"/>
              </w:rPr>
              <w:br/>
            </w:r>
            <w:r>
              <w:rPr>
                <w:sz w:val="22"/>
                <w:szCs w:val="22"/>
              </w:rPr>
              <w:t xml:space="preserve">(</w:t>
            </w:r>
            <w:r>
              <w:rPr>
                <w:sz w:val="22"/>
                <w:szCs w:val="22"/>
              </w:rPr>
              <w:t xml:space="preserve">Bùi Nghiêm</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t xml:space="preserve"> </w:t>
            </w:r>
            <w:r>
              <w:rPr>
                <w:color w:val="000000" w:themeColor="text1"/>
                <w:sz w:val="22"/>
                <w:szCs w:val="22"/>
              </w:rPr>
              <w:t xml:space="preserve">Đang giao dịch</w:t>
            </w: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01/2026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hữu nhà ở và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Tài sản nằm tiếp giáp đường ngõ Phan Đình Giót, cách đường Giải Phòng khoảng 200m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nằm tiếp giáp đường ngõ Phan Đình Giót, cách đường Giải Phòng khoảng 150m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nằm tiếp giáp ngõ 181 Trường Chinh, cách đường Trường Chinh khoảng 50m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cách đường Giải Phóng khoảng 300m</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99,1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68,0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7,78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Tài sản trên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Nhà 7 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Nhà 5 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Nhà 7 tầng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490,0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476,0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32.000.000.000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16.300.000.000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27.200.000.000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27.200.000.000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13.855.000.000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23.120.000.000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4.247.860.176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1.399.843.648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3.126.246.320</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b w:val="0"/>
                <w:bCs w:val="0"/>
                <w:color w:val="000000"/>
                <w:sz w:val="22"/>
                <w:szCs w:val="22"/>
              </w:rPr>
            </w:pPr>
            <w:r>
              <w:rPr>
                <w:b w:val="0"/>
                <w:bCs w:val="0"/>
                <w:color w:val="000000"/>
                <w:sz w:val="22"/>
                <w:szCs w:val="22"/>
              </w:rPr>
              <w:t xml:space="preserve">Đơn giá xây dựng</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10.118.000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8.966.000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8.350.000</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b w:val="0"/>
                <w:bCs w:val="0"/>
                <w:color w:val="000000"/>
                <w:sz w:val="22"/>
                <w:szCs w:val="22"/>
              </w:rPr>
            </w:pPr>
            <w:r>
              <w:rPr>
                <w:b w:val="0"/>
                <w:bCs w:val="0"/>
                <w:color w:val="000000"/>
                <w:sz w:val="22"/>
                <w:szCs w:val="22"/>
              </w:rPr>
              <w:t xml:space="preserve">Tỷ lệ CLCL (%)</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90%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80%</w:t>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t xml:space="preserve">85%</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22.952.139.824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12.455.156.352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19.903.753.680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327.887.712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303.784.301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292.702.260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22.952.139.824</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12.455.156.352</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19.903.753.680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327.887.712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303.784.301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292.702.260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327.887.712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303.784.301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312.702.260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'Tài sản nằm tiếp giáp đường ngõ Phan Đình Giót, cách đường Giải Phòng khoảng 200m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nằm tiếp giáp đường ngõ Phan Đình Giót, cách đường Giải Phòng khoảng 150m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nằm tiếp giáp ngõ 181 Trường Chinh, cách đường Trường Chinh khoảng 50m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cách đường Giải Phóng khoảng 300m</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9.836.631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9.381.068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337.724.343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303.784.301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322.083.328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30.378.430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15.635.113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337.724.343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334.162.731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337.718.441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99,1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41,0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68,0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-16.394.386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-45.567.645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-15.635.113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321.329.957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288.595.086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322.083.328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7,78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16.394.386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15.189.215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15.635.113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337.724.343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303.784.301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337.718.441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337.724.343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303.784.301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337.718.441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337.724.343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303.784.301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337.718.441</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337.724.343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303.784.301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317.718.441</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319.742.362</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5,62%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-4,99%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-0,63%</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42.625.403</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91.135.290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56.286.407</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9.836.631</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25.016.181</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0,63% </w:t>
      </w:r>
      <w:r>
        <w:t xml:space="preserve">đến</w:t>
      </w:r>
      <w:r>
        <w:t xml:space="preserve"> 5,62</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337.724.343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112.597.296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303.784.301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101.251.308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317.718.441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105.895.556</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319.744.160</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320.000.000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320.000.000</w:t>
      </w:r>
      <w:r>
        <w:rPr>
          <w:b/>
          <w:bCs/>
          <w:color w:val="000000" w:themeColor="text1"/>
        </w:rPr>
        <w:t xml:space="preserve"> </w:t>
      </w:r>
      <w:r>
        <w:rPr>
          <w:b/>
          <w:bCs/>
        </w:rPr>
        <w:t xml:space="preserve">đồng</w:t>
      </w:r>
      <w:r>
        <w:rPr>
          <w:b/>
          <w:bCs/>
        </w:rPr>
        <w:t xml:space="preserve">/m²</w:t>
      </w:r>
      <w:r>
        <w:rPr>
          <w:b/>
          <w:bCs/>
        </w:rPr>
      </w:r>
      <w:r>
        <w:rPr>
          <w:b/>
          <w:bCs/>
        </w:rPr>
      </w:r>
    </w:p>
    <w:p>
      <w:pPr>
        <w:pStyle w:val="103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01/2026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r>
            <w:r>
              <w:rPr>
                <w:color w:val="000000"/>
              </w:rPr>
              <w:t xml:space="preserve">Quyền sử dụng đất số: 48, tờ bản đồ số: 5H-I-47 có địa chỉ: Tổ 41, phường Phương Liệt, quận Thanh Xuân, thành </w:t>
            </w:r>
            <w:r>
              <w:rPr>
                <w:color w:val="000000"/>
              </w:rPr>
              <w:t xml:space="preserve">phố Hà Nội (nay là phường Phương Liệt, thành p</w:t>
            </w:r>
            <w:r>
              <w:rPr>
                <w:color w:val="000000"/>
              </w:rPr>
              <w:t xml:space="preserve">h</w:t>
            </w:r>
            <w:r>
              <w:rPr>
                <w:color w:val="000000"/>
              </w:rPr>
              <w:t xml:space="preserve">ố Hà Nội) theo Giấy chứng nhận quyền sở hữu nhà ở và quyền sử dụng đất ở số: 10111070848, hồ sơ gốc số: 5935.2002.QĐUB 24323.2002 do Uỷ ban nhân dân thành phố Hà Nội cấp ngày 26/08/2002 cho Ông Dương Văn Lương và Bà Phạm Thị Lựu (cập nhập ngày 23/12/2005).</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Đất ở </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99,1</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320.000.000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31.712.000.000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31.712.000.000</w:t>
            </w:r>
            <w:r>
              <w:rPr>
                <w:b/>
                <w:bCs/>
                <w:color w:val="000000"/>
              </w:rPr>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31.712.000.000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Ba mươi mốt tỷ bảy trăm mười hai triệu</w:t>
            </w:r>
            <w:r>
              <w:rPr>
                <w:b/>
                <w:bCs/>
                <w:i/>
                <w:iCs/>
                <w:color w:val="000000"/>
              </w:rPr>
              <w:t xml:space="preserve">./.)</w:t>
            </w:r>
            <w:r>
              <w:rPr>
                <w:b/>
                <w:bCs/>
                <w:i/>
                <w:iCs/>
                <w:color w:val="000000"/>
              </w:rPr>
            </w:r>
            <w:r>
              <w:rPr>
                <w:b/>
                <w:bCs/>
                <w:i/>
                <w:iCs/>
                <w:color w:val="000000"/>
              </w:rPr>
            </w:r>
          </w:p>
        </w:tc>
      </w:tr>
    </w:tbl>
    <w:p>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35"/>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35"/>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35"/>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3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5"/>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35"/>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Bdr/>
        <w:shd w:val="nil" w:color="auto"/>
        <w:spacing/>
        <w:ind/>
        <w:rPr>
          <w:lang w:val="vi-VN"/>
        </w:rPr>
      </w:pPr>
      <w:r>
        <w:rPr>
          <w:highlight w:val="none"/>
          <w:lang w:val="vi-VN"/>
        </w:rPr>
        <w:br w:type="page" w:clear="all"/>
      </w:r>
      <w:r>
        <w:rPr>
          <w:lang w:val="vi-VN"/>
        </w:rPr>
      </w:r>
      <w:r>
        <w:rPr>
          <w:lang w:val="vi-VN"/>
        </w:rPr>
      </w:r>
    </w:p>
    <w:p>
      <w:pPr>
        <w:pStyle w:val="1035"/>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275/2026/0191/VFI-CT.48.A</w:t>
      </w:r>
      <w:r>
        <w:rPr>
          <w:color w:val="ff0000"/>
          <w:lang w:val="vi-VN"/>
        </w:rPr>
        <w:t xml:space="preserve"> </w:t>
      </w:r>
      <w:r>
        <w:rPr>
          <w:color w:val="000000" w:themeColor="text1"/>
        </w:rPr>
        <w:t xml:space="preserve">ngày 23 tháng 1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highlight w:val="none"/>
          <w:lang w:val="vi-VN"/>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VIII13.721</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275/2026/0191/VFI-BC.48.A</w:t>
      </w:r>
      <w:r>
        <w:rPr>
          <w:i/>
          <w:lang w:val="pt-BR"/>
        </w:rPr>
        <w:t xml:space="preserve"> </w:t>
      </w:r>
      <w:r>
        <w:rPr>
          <w:i/>
          <w:lang w:val="pt-BR"/>
        </w:rPr>
        <w:t xml:space="preserve">23 tháng 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079683" cy="2339314"/>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70219" name=""/>
                              <pic:cNvPicPr>
                                <a:picLocks noChangeAspect="1"/>
                              </pic:cNvPicPr>
                              <pic:nvPr/>
                            </pic:nvPicPr>
                            <pic:blipFill rotWithShape="1">
                              <a:blip r:embed="rId19"/>
                              <a:stretch/>
                            </pic:blipFill>
                            <pic:spPr bwMode="auto">
                              <a:xfrm flipH="0" flipV="0">
                                <a:off x="0" y="0"/>
                                <a:ext cx="1079683" cy="23393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85.01pt;height:184.20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77950" cy="2233462"/>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92152" name=""/>
                              <pic:cNvPicPr>
                                <a:picLocks noChangeAspect="1"/>
                              </pic:cNvPicPr>
                              <pic:nvPr/>
                            </pic:nvPicPr>
                            <pic:blipFill rotWithShape="1">
                              <a:blip r:embed="rId20"/>
                              <a:stretch/>
                            </pic:blipFill>
                            <pic:spPr bwMode="auto">
                              <a:xfrm flipH="0" flipV="0">
                                <a:off x="0" y="0"/>
                                <a:ext cx="2977949" cy="22334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4.48pt;height:175.86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09963" cy="2107472"/>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74877" name=""/>
                              <pic:cNvPicPr>
                                <a:picLocks noChangeAspect="1"/>
                              </pic:cNvPicPr>
                              <pic:nvPr/>
                            </pic:nvPicPr>
                            <pic:blipFill rotWithShape="1">
                              <a:blip r:embed="rId21"/>
                              <a:stretch/>
                            </pic:blipFill>
                            <pic:spPr bwMode="auto">
                              <a:xfrm flipH="0" flipV="0">
                                <a:off x="0" y="0"/>
                                <a:ext cx="2809963" cy="21074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1.26pt;height:165.94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41713" cy="213128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37542" name=""/>
                              <pic:cNvPicPr>
                                <a:picLocks noChangeAspect="1"/>
                              </pic:cNvPicPr>
                              <pic:nvPr/>
                            </pic:nvPicPr>
                            <pic:blipFill rotWithShape="1">
                              <a:blip r:embed="rId22"/>
                              <a:stretch/>
                            </pic:blipFill>
                            <pic:spPr bwMode="auto">
                              <a:xfrm flipH="0" flipV="0">
                                <a:off x="0" y="0"/>
                                <a:ext cx="2841712" cy="21312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3.76pt;height:167.82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89300" cy="21669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46064" name=""/>
                              <pic:cNvPicPr>
                                <a:picLocks noChangeAspect="1"/>
                              </pic:cNvPicPr>
                              <pic:nvPr/>
                            </pic:nvPicPr>
                            <pic:blipFill rotWithShape="1">
                              <a:blip r:embed="rId23"/>
                              <a:stretch/>
                            </pic:blipFill>
                            <pic:spPr bwMode="auto">
                              <a:xfrm flipH="0" flipV="0">
                                <a:off x="0" y="0"/>
                                <a:ext cx="2889300" cy="21669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7.50pt;height:170.63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34448" cy="2125836"/>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41854" name=""/>
                              <pic:cNvPicPr>
                                <a:picLocks noChangeAspect="1"/>
                              </pic:cNvPicPr>
                              <pic:nvPr/>
                            </pic:nvPicPr>
                            <pic:blipFill rotWithShape="1">
                              <a:blip r:embed="rId24"/>
                              <a:stretch/>
                            </pic:blipFill>
                            <pic:spPr bwMode="auto">
                              <a:xfrm flipH="0" flipV="0">
                                <a:off x="0" y="0"/>
                                <a:ext cx="2834448" cy="212583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3.18pt;height:167.39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275/2026/0191/VFI-BC.48.A</w:t>
      </w:r>
      <w:r>
        <w:rPr>
          <w:i/>
          <w:lang w:val="pt-BR"/>
        </w:rPr>
        <w:t xml:space="preserve"> </w:t>
      </w:r>
      <w:r>
        <w:rPr>
          <w:i/>
          <w:lang w:val="pt-BR"/>
        </w:rPr>
        <w:t xml:space="preserve">23 tháng 1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0972024768</w:t>
            </w:r>
            <w:r>
              <w:rPr>
                <w:sz w:val="22"/>
                <w:szCs w:val="22"/>
              </w:rPr>
              <w:t xml:space="preserve"> </w:t>
            </w:r>
            <w:r>
              <w:rPr>
                <w:sz w:val="22"/>
                <w:szCs w:val="22"/>
              </w:rPr>
              <w:br/>
              <w:t xml:space="preserve">(Đặng Xuân Thuỷ</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32.000.000.000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27.200.000.000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(70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color w:val="000000" w:themeColor="text1"/>
                <w:sz w:val="22"/>
                <w:szCs w:val="22"/>
              </w:rPr>
              <w:t xml:space="preserve">Tài sản nằm tiếp giáp đường ngõ Phan Đình Giót, cách đường Giải Phòng khoảng 150m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gridSpan w:val="3"/>
            <w:shd w:val="clear" w:color="auto" w:fill="auto"/>
            <w:tcBorders>
              <w:top w:val="none" w:color="000000" w:sz="4" w:space="0"/>
              <w:left w:val="single" w:color="auto" w:sz="4" w:space="0"/>
              <w:bottom w:val="single" w:color="auto" w:sz="4" w:space="0"/>
              <w:right w:val="single" w:color="auto" w:sz="4" w:space="0"/>
            </w:tcBorders>
            <w:tcW w:w="9619" w:type="dxa"/>
            <w:vAlign w:val="center"/>
            <w:textDirection w:val="lrTb"/>
            <w:noWrap/>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122510" cy="2524305"/>
                      <wp:effectExtent l="0" t="0" r="0" b="0"/>
                      <wp:docPr id="12" name=""/>
                      <wp:cNvGraphicFramePr/>
                      <a:graphic xmlns:a="http://schemas.openxmlformats.org/drawingml/2006/main">
                        <a:graphicData uri="http://schemas.openxmlformats.org/drawingml/2006/picture">
                          <pic:pic xmlns:pic="http://schemas.openxmlformats.org/drawingml/2006/picture">
                            <pic:nvPicPr>
                              <pic:cNvPr id="125626157" name="" descr=""/>
                              <pic:cNvPicPr/>
                              <pic:nvPr/>
                            </pic:nvPicPr>
                            <pic:blipFill rotWithShape="1">
                              <a:blip r:embed="rId25"/>
                              <a:stretch/>
                            </pic:blipFill>
                            <pic:spPr bwMode="auto">
                              <a:xfrm flipH="0" flipV="0">
                                <a:off x="0" y="0"/>
                                <a:ext cx="2122509" cy="252430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67.13pt;height:198.76pt;mso-wrap-distance-left:0.00pt;mso-wrap-distance-top:0.00pt;mso-wrap-distance-right:0.00pt;mso-wrap-distance-bottom:0.00pt;z-index:1;" stroked="false">
                      <v:imagedata r:id="rId25" o:title=""/>
                      <o:lock v:ext="edit" rotation="t"/>
                    </v:shape>
                  </w:pict>
                </mc:Fallback>
              </mc:AlternateContent>
            </w:r>
            <w:r>
              <w:rPr>
                <w:color w:val="000000"/>
                <w:sz w:val="22"/>
                <w:szCs w:val="22"/>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Phân lô Trường Chinh, Ô tô tránh, kinh doanh, dt 41m2, 5 tầng chắc chắn, Giá 16.3 tỷ. - 17779930</w:t>
            </w:r>
            <w:r>
              <w:rPr>
                <w:color w:val="000000" w:themeColor="text1"/>
                <w:sz w:val="22"/>
                <w:szCs w:val="22"/>
              </w:rPr>
              <w:br/>
              <w:t xml:space="preserve">0906.556.885</w:t>
            </w:r>
            <w:r>
              <w:rPr>
                <w:sz w:val="22"/>
                <w:szCs w:val="22"/>
              </w:rPr>
              <w:t xml:space="preserve"> </w:t>
            </w:r>
            <w:r>
              <w:rPr>
                <w:sz w:val="22"/>
                <w:szCs w:val="22"/>
              </w:rPr>
              <w:br/>
              <w:t xml:space="preserve">(Tuấn Trụ</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16.300.000.000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13.855.000.000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(41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color w:val="000000" w:themeColor="text1"/>
                <w:sz w:val="22"/>
                <w:szCs w:val="22"/>
              </w:rPr>
              <w:t xml:space="preserve">Tài sản nằm tiếp giáp ngõ 181 Trường Chinh, cách đường Trường Chinh khoảng 50m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gridSpan w:val="3"/>
            <w:shd w:val="clear" w:color="auto" w:fill="auto"/>
            <w:tcBorders>
              <w:top w:val="none" w:color="000000" w:sz="4" w:space="0"/>
              <w:left w:val="single" w:color="auto" w:sz="4" w:space="0"/>
              <w:bottom w:val="single" w:color="auto" w:sz="4" w:space="0"/>
              <w:right w:val="single" w:color="auto" w:sz="4" w:space="0"/>
            </w:tcBorders>
            <w:tcW w:w="9619" w:type="dxa"/>
            <w:vAlign w:val="center"/>
            <w:textDirection w:val="lrTb"/>
            <w:noWrap/>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827360" cy="1917978"/>
                      <wp:effectExtent l="0" t="0" r="0" b="0"/>
                      <wp:docPr id="13" name=""/>
                      <wp:cNvGraphicFramePr/>
                      <a:graphic xmlns:a="http://schemas.openxmlformats.org/drawingml/2006/main">
                        <a:graphicData uri="http://schemas.openxmlformats.org/drawingml/2006/picture">
                          <pic:pic xmlns:pic="http://schemas.openxmlformats.org/drawingml/2006/picture">
                            <pic:nvPicPr>
                              <pic:cNvPr id="216187692" name="" descr=""/>
                              <pic:cNvPicPr/>
                              <pic:nvPr/>
                            </pic:nvPicPr>
                            <pic:blipFill rotWithShape="1">
                              <a:blip r:embed="rId26"/>
                              <a:stretch/>
                            </pic:blipFill>
                            <pic:spPr bwMode="auto">
                              <a:xfrm flipH="0" flipV="0">
                                <a:off x="0" y="0"/>
                                <a:ext cx="2827359" cy="191797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2.63pt;height:151.02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865460" cy="191716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2865459" cy="19171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5.63pt;height:150.96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jc w:val="center"/>
        <w:rPr>
          <w:iCs/>
          <w:lang w:val="pt-BR"/>
        </w:rPr>
      </w:pPr>
      <w:r>
        <w:rPr>
          <w:iCs/>
          <w:lang w:val="pt-BR"/>
        </w:rPr>
        <w:br w:type="page" w:clear="all"/>
      </w:r>
      <w:r>
        <w:rPr>
          <w:b/>
          <w:bCs/>
          <w:iCs/>
          <w:lang w:val="pt-BR"/>
        </w:rPr>
        <w:t xml:space="preserve">TSSS 3</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333"/>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https://alonhadat.com.vn/ban-nha-pho-phan-dinh-thanh-xuan-7-tang-o-to-tranh-kinh-doanh-dt-68m-mt-4-2m-gia-27-2ty-18033871.html</w:t>
            </w:r>
            <w:r>
              <w:rPr>
                <w:color w:val="000000" w:themeColor="text1"/>
                <w:sz w:val="22"/>
                <w:szCs w:val="22"/>
              </w:rPr>
              <w:br/>
            </w:r>
            <w:r>
              <w:rPr>
                <w:sz w:val="22"/>
                <w:szCs w:val="22"/>
              </w:rPr>
              <w:t xml:space="preserve">SĐT: </w:t>
            </w:r>
            <w:r>
              <w:rPr>
                <w:color w:val="000000" w:themeColor="text1"/>
                <w:sz w:val="22"/>
                <w:szCs w:val="22"/>
              </w:rPr>
              <w:t xml:space="preserve">0963.492.893</w:t>
            </w:r>
            <w:r>
              <w:rPr>
                <w:sz w:val="22"/>
                <w:szCs w:val="22"/>
              </w:rPr>
              <w:t xml:space="preserve"> </w:t>
            </w:r>
            <w:r>
              <w:rPr>
                <w:sz w:val="22"/>
                <w:szCs w:val="22"/>
              </w:rPr>
              <w:br/>
              <w:t xml:space="preserve">(Bùi Nghiêm</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27.200.000.000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23.120.000.000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(68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color w:val="000000" w:themeColor="text1"/>
                <w:sz w:val="22"/>
                <w:szCs w:val="22"/>
              </w:rPr>
              <w:t xml:space="preserve">Tài sản cách đường Giải Phóng khoảng 300m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gridSpan w:val="3"/>
            <w:shd w:val="clear" w:color="auto" w:fill="auto"/>
            <w:tcBorders>
              <w:top w:val="none" w:color="000000" w:sz="4" w:space="0"/>
              <w:left w:val="single" w:color="auto" w:sz="4" w:space="0"/>
              <w:bottom w:val="single" w:color="auto" w:sz="4" w:space="0"/>
              <w:right w:val="single" w:color="auto" w:sz="4" w:space="0"/>
            </w:tcBorders>
            <w:tcW w:w="9619" w:type="dxa"/>
            <w:vAlign w:val="center"/>
            <w:textDirection w:val="lrTb"/>
            <w:noWrap/>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694010" cy="2085636"/>
                      <wp:effectExtent l="0" t="0" r="0" b="0"/>
                      <wp:docPr id="15" name=""/>
                      <wp:cNvGraphicFramePr/>
                      <a:graphic xmlns:a="http://schemas.openxmlformats.org/drawingml/2006/main">
                        <a:graphicData uri="http://schemas.openxmlformats.org/drawingml/2006/picture">
                          <pic:pic xmlns:pic="http://schemas.openxmlformats.org/drawingml/2006/picture">
                            <pic:nvPicPr>
                              <pic:cNvPr id="1082849220" name="" descr=""/>
                              <pic:cNvPicPr/>
                              <pic:nvPr/>
                            </pic:nvPicPr>
                            <pic:blipFill rotWithShape="1">
                              <a:blip r:embed="rId28"/>
                              <a:stretch/>
                            </pic:blipFill>
                            <pic:spPr bwMode="auto">
                              <a:xfrm flipH="0" flipV="0">
                                <a:off x="0" y="0"/>
                                <a:ext cx="2694009" cy="20856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12.13pt;height:164.22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747988" cy="2060035"/>
                      <wp:effectExtent l="0" t="0" r="0" b="0"/>
                      <wp:docPr id="16" name=""/>
                      <wp:cNvGraphicFramePr/>
                      <a:graphic xmlns:a="http://schemas.openxmlformats.org/drawingml/2006/main">
                        <a:graphicData uri="http://schemas.openxmlformats.org/drawingml/2006/picture">
                          <pic:pic xmlns:pic="http://schemas.openxmlformats.org/drawingml/2006/picture">
                            <pic:nvPicPr>
                              <pic:cNvPr id="568971671" name="" descr=""/>
                              <pic:cNvPicPr/>
                              <pic:nvPr/>
                            </pic:nvPicPr>
                            <pic:blipFill rotWithShape="1">
                              <a:blip r:embed="rId29"/>
                              <a:stretch/>
                            </pic:blipFill>
                            <pic:spPr bwMode="auto">
                              <a:xfrm flipH="0" flipV="0">
                                <a:off x="0" y="0"/>
                                <a:ext cx="2747988" cy="20600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16.38pt;height:162.21pt;mso-wrap-distance-left:0.00pt;mso-wrap-distance-top:0.00pt;mso-wrap-distance-right:0.00pt;mso-wrap-distance-bottom:0.00pt;z-index:1;" stroked="false">
                      <v:imagedata r:id="rId29" o:title=""/>
                      <o:lock v:ext="edit" rotation="t"/>
                    </v:shape>
                  </w:pict>
                </mc:Fallback>
              </mc:AlternateConten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Phạm Thị Dung</w:t>
            </w:r>
            <w:r>
              <w:rPr>
                <w:b/>
                <w:bCs/>
              </w:rPr>
            </w:r>
            <w:r/>
          </w:p>
        </w:tc>
      </w:tr>
    </w:tbl>
    <w:p>
      <w:pPr>
        <w:pBdr/>
        <w:shd w:val="nil" w:color="000000"/>
        <w:spacing/>
        <w:ind/>
        <w:rPr>
          <w:lang w:val="pt-BR"/>
        </w:rPr>
      </w:pPr>
      <w:r>
        <w:rPr>
          <w:iCs/>
          <w:highlight w:val="none"/>
          <w:lang w:val="pt-BR"/>
        </w:rPr>
      </w:r>
      <w:r>
        <w:rPr>
          <w:lang w:val="pt-BR"/>
        </w:rPr>
      </w:r>
      <w:r>
        <w:rPr>
          <w:lang w:val="pt-BR"/>
        </w:rPr>
      </w:r>
    </w:p>
    <w:p>
      <w:pPr>
        <w:pBdr/>
        <w:shd w:val="nil" w:color="auto"/>
        <w:spacing/>
        <w:ind/>
        <w:jc w:val="center"/>
        <w:rPr>
          <w:highlight w:val="none"/>
          <w:lang w:val="pt-BR"/>
        </w:rPr>
      </w:pPr>
      <w:r>
        <w:rPr>
          <w:iCs/>
          <w:lang w:val="pt-BR"/>
        </w:rPr>
        <w:br w:type="page" w:clear="all"/>
        <w:t xml:space="preserve">GIẤY CHỨNG NHẬN QSDĐ</w:t>
      </w:r>
      <w:r>
        <w:rPr>
          <w:highlight w:val="none"/>
          <w:lang w:val="pt-BR"/>
        </w:rPr>
      </w:r>
      <w:r>
        <w:rPr>
          <w:highlight w:val="none"/>
          <w:lang w:val="pt-BR"/>
        </w:rPr>
      </w:r>
    </w:p>
    <w:p>
      <w:pPr>
        <w:pBdr/>
        <w:shd w:val="nil" w:color="000000"/>
        <w:spacing/>
        <w:ind/>
        <w:jc w:val="center"/>
        <w:rPr>
          <w:highlight w:val="none"/>
          <w:lang w:val="pt-BR"/>
        </w:rPr>
      </w:pPr>
      <w:r>
        <w:rPr>
          <w:iCs/>
          <w:highlight w:val="none"/>
          <w:lang w:val="pt-BR" w:bidi="pt-BR"/>
        </w:rPr>
        <mc:AlternateContent>
          <mc:Choice Requires="wpg">
            <w:drawing>
              <wp:inline xmlns:wp="http://schemas.openxmlformats.org/drawingml/2006/wordprocessingDrawing" distT="0" distB="0" distL="0" distR="0">
                <wp:extent cx="6048375" cy="7750462"/>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91213" name=""/>
                        <pic:cNvPicPr>
                          <a:picLocks noChangeAspect="1"/>
                        </pic:cNvPicPr>
                        <pic:nvPr/>
                      </pic:nvPicPr>
                      <pic:blipFill rotWithShape="1">
                        <a:blip r:embed="rId30"/>
                        <a:stretch/>
                      </pic:blipFill>
                      <pic:spPr bwMode="auto">
                        <a:xfrm>
                          <a:off x="0" y="0"/>
                          <a:ext cx="6048374" cy="77504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610.27pt;mso-wrap-distance-left:0.00pt;mso-wrap-distance-top:0.00pt;mso-wrap-distance-right:0.00pt;mso-wrap-distance-bottom:0.00pt;z-index:1;" stroked="false">
                <v:imagedata r:id="rId30" o:title=""/>
                <o:lock v:ext="edit" rotation="t"/>
              </v:shape>
            </w:pict>
          </mc:Fallback>
        </mc:AlternateContent>
      </w:r>
      <w:r>
        <w:rPr>
          <w:highlight w:val="none"/>
          <w:lang w:val="pt-BR"/>
        </w:rPr>
      </w:r>
      <w:r>
        <w:rPr>
          <w:highlight w:val="none"/>
          <w:lang w:val="pt-BR"/>
        </w:rPr>
      </w:r>
    </w:p>
    <w:p>
      <w:pPr>
        <w:pBdr/>
        <w:tabs>
          <w:tab w:val="left" w:leader="none" w:pos="1861"/>
        </w:tabs>
        <w:spacing/>
        <w:ind/>
        <w:rPr>
          <w:highlight w:val="none"/>
        </w:rPr>
      </w:pPr>
      <w:r>
        <w:tab/>
      </w:r>
      <w:r>
        <w:rPr>
          <w:highlight w:val="none"/>
        </w:rPr>
      </w:r>
      <w:r>
        <w:rPr>
          <w:highlight w:val="none"/>
        </w:rPr>
      </w:r>
    </w:p>
    <w:p>
      <w:pPr>
        <w:pBdr/>
        <w:shd w:val="nil" w:color="auto"/>
        <w:spacing/>
        <w:ind/>
        <w:rPr/>
      </w:pPr>
      <w:r>
        <w:br w:type="page" w:clear="all"/>
      </w:r>
      <w:r/>
    </w:p>
    <w:p>
      <w:pPr>
        <w:pBdr/>
        <w:tabs>
          <w:tab w:val="left" w:leader="none" w:pos="1861"/>
        </w:tabs>
        <w:spacing/>
        <w:ind/>
        <w:rPr>
          <w:highlight w:val="none"/>
        </w:rPr>
      </w:pPr>
      <w:r>
        <w:rPr>
          <w:highlight w:val="none"/>
        </w:rPr>
        <mc:AlternateContent>
          <mc:Choice Requires="wpg">
            <w:drawing>
              <wp:inline xmlns:wp="http://schemas.openxmlformats.org/drawingml/2006/wordprocessingDrawing" distT="0" distB="0" distL="0" distR="0">
                <wp:extent cx="6048375" cy="7822481"/>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63263" name=""/>
                        <pic:cNvPicPr>
                          <a:picLocks noChangeAspect="1"/>
                        </pic:cNvPicPr>
                        <pic:nvPr/>
                      </pic:nvPicPr>
                      <pic:blipFill rotWithShape="1">
                        <a:blip r:embed="rId31"/>
                        <a:stretch/>
                      </pic:blipFill>
                      <pic:spPr bwMode="auto">
                        <a:xfrm>
                          <a:off x="0" y="0"/>
                          <a:ext cx="6048374" cy="78224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615.94pt;mso-wrap-distance-left:0.00pt;mso-wrap-distance-top:0.00pt;mso-wrap-distance-right:0.00pt;mso-wrap-distance-bottom:0.00pt;z-index:1;" stroked="false">
                <v:imagedata r:id="rId31" o:title=""/>
                <o:lock v:ext="edit" rotation="t"/>
              </v:shape>
            </w:pict>
          </mc:Fallback>
        </mc:AlternateContent>
      </w:r>
      <w:r>
        <w:rPr>
          <w:highlight w:val="none"/>
        </w:rPr>
      </w:r>
      <w:r>
        <w:rPr>
          <w:highlight w:val="none"/>
        </w:rPr>
      </w:r>
    </w:p>
    <w:p>
      <w:pPr>
        <w:pBdr/>
        <w:shd w:val="nil" w:color="auto"/>
        <w:spacing/>
        <w:ind/>
        <w:rPr/>
      </w:pPr>
      <w:r>
        <w:br w:type="page" w:clear="all"/>
      </w:r>
      <w:r/>
    </w:p>
    <w:p>
      <w:pPr>
        <w:pBdr/>
        <w:tabs>
          <w:tab w:val="left" w:leader="none" w:pos="1861"/>
        </w:tabs>
        <w:spacing/>
        <w:ind/>
        <w:rPr>
          <w:highlight w:val="none"/>
        </w:rPr>
      </w:pPr>
      <w:r>
        <w:rPr>
          <w:highlight w:val="none"/>
        </w:rPr>
        <mc:AlternateContent>
          <mc:Choice Requires="wpg">
            <w:drawing>
              <wp:inline xmlns:wp="http://schemas.openxmlformats.org/drawingml/2006/wordprocessingDrawing" distT="0" distB="0" distL="0" distR="0">
                <wp:extent cx="6048375" cy="7882358"/>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91033" name=""/>
                        <pic:cNvPicPr>
                          <a:picLocks noChangeAspect="1"/>
                        </pic:cNvPicPr>
                        <pic:nvPr/>
                      </pic:nvPicPr>
                      <pic:blipFill rotWithShape="1">
                        <a:blip r:embed="rId32"/>
                        <a:stretch/>
                      </pic:blipFill>
                      <pic:spPr bwMode="auto">
                        <a:xfrm>
                          <a:off x="0" y="0"/>
                          <a:ext cx="6048374" cy="78823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620.66pt;mso-wrap-distance-left:0.00pt;mso-wrap-distance-top:0.00pt;mso-wrap-distance-right:0.00pt;mso-wrap-distance-bottom:0.00pt;z-index:1;" stroked="false">
                <v:imagedata r:id="rId32" o:title=""/>
                <o:lock v:ext="edit" rotation="t"/>
              </v:shape>
            </w:pict>
          </mc:Fallback>
        </mc:AlternateContent>
      </w:r>
      <w:r>
        <w:rPr>
          <w:highlight w:val="none"/>
        </w:rPr>
      </w:r>
    </w:p>
    <w:p>
      <w:pPr>
        <w:pBdr/>
        <w:shd w:val="nil" w:color="auto"/>
        <w:spacing/>
        <w:ind/>
        <w:rPr/>
      </w:pPr>
      <w:r>
        <w:br w:type="page" w:clear="all"/>
      </w:r>
      <w:r/>
    </w:p>
    <w:p>
      <w:pPr>
        <w:pBdr/>
        <w:tabs>
          <w:tab w:val="left" w:leader="none" w:pos="1861"/>
        </w:tabs>
        <w:spacing/>
        <w:ind/>
        <w:jc w:val="center"/>
        <w:rPr>
          <w:b/>
          <w:bCs/>
          <w:highlight w:val="none"/>
        </w:rPr>
      </w:pPr>
      <w:r>
        <w:rPr>
          <w:b/>
          <w:bCs/>
          <w:highlight w:val="none"/>
        </w:rPr>
        <w:t xml:space="preserve">BIÊN BẢN KHẢO SÁT</w:t>
      </w:r>
      <w:r>
        <w:rPr>
          <w:b/>
          <w:bCs/>
        </w:rPr>
      </w:r>
      <w:r>
        <w:rPr>
          <w:b/>
          <w:bCs/>
          <w:highlight w:val="none"/>
        </w:rPr>
      </w:r>
    </w:p>
    <w:p>
      <w:pPr>
        <w:pBdr/>
        <w:tabs>
          <w:tab w:val="left" w:leader="none" w:pos="1861"/>
        </w:tabs>
        <w:spacing/>
        <w:ind/>
        <w:jc w:val="center"/>
        <w:rPr>
          <w:b/>
          <w:bCs/>
        </w:rPr>
      </w:pPr>
      <w:r>
        <w:rPr>
          <w:b/>
          <w:bCs/>
          <w:highlight w:val="none"/>
        </w:rPr>
        <mc:AlternateContent>
          <mc:Choice Requires="wpg">
            <w:drawing>
              <wp:inline xmlns:wp="http://schemas.openxmlformats.org/drawingml/2006/wordprocessingDrawing" distT="0" distB="0" distL="0" distR="0">
                <wp:extent cx="6048375" cy="80645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13863" name=""/>
                        <pic:cNvPicPr>
                          <a:picLocks noChangeAspect="1"/>
                        </pic:cNvPicPr>
                        <pic:nvPr/>
                      </pic:nvPicPr>
                      <pic:blipFill rotWithShape="1">
                        <a:blip r:embed="rId33"/>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635.00pt;mso-wrap-distance-left:0.00pt;mso-wrap-distance-top:0.00pt;mso-wrap-distance-right:0.00pt;mso-wrap-distance-bottom:0.00pt;z-index:1;" stroked="false">
                <v:imagedata r:id="rId33" o:title=""/>
                <o:lock v:ext="edit" rotation="t"/>
              </v:shape>
            </w:pict>
          </mc:Fallback>
        </mc:AlternateContent>
      </w:r>
      <w:r>
        <w:rPr>
          <w:b/>
          <w:bCs/>
          <w:highlight w:val="none"/>
        </w:rPr>
      </w:r>
      <w:r>
        <w:rPr>
          <w:b/>
          <w:bCs/>
        </w:rPr>
      </w:r>
    </w:p>
    <w:sectPr>
      <w:footerReference w:type="even" r:id="rId13"/>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hyperlink" Target="mailto:ilotus.contact@gmail.com" TargetMode="External"/><Relationship Id="rId17" Type="http://schemas.openxmlformats.org/officeDocument/2006/relationships/hyperlink" Target="mailto:ilotus.contact@gmail.com" TargetMode="External"/><Relationship Id="rId18" Type="http://schemas.openxmlformats.org/officeDocument/2006/relationships/image" Target="media/image3.png"/><Relationship Id="rId19" Type="http://schemas.openxmlformats.org/officeDocument/2006/relationships/image" Target="media/image4.jp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jpg"/><Relationship Id="rId31" Type="http://schemas.openxmlformats.org/officeDocument/2006/relationships/image" Target="media/image16.jpg"/><Relationship Id="rId32" Type="http://schemas.openxmlformats.org/officeDocument/2006/relationships/image" Target="media/image17.jpg"/><Relationship Id="rId33" Type="http://schemas.openxmlformats.org/officeDocument/2006/relationships/image" Target="media/image18.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274</cp:revision>
  <dcterms:created xsi:type="dcterms:W3CDTF">2025-09-15T09:58:00Z</dcterms:created>
  <dcterms:modified xsi:type="dcterms:W3CDTF">2026-01-26T02:50:25Z</dcterms:modified>
</cp:coreProperties>
</file>