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030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030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w:t>
                            </w:r>
                            <w:r>
                              <w:rPr>
                                <w:b/>
                                <w:color w:val="000000" w:themeColor="text1"/>
                              </w:rPr>
                              <w:t xml:space="preserve">26/0214/VF</w:t>
                            </w:r>
                            <w:r>
                              <w:rPr>
                                <w:b/>
                                <w:color w:val="000000" w:themeColor="text1"/>
                              </w:rPr>
                              <w:t xml:space="preserve">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(AGRIBANK)- CHI NHÁNH HÀ TÂY I - PHÒNG GIAO DỊCH TÙNG THIỆN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270, tờ bản đồ số 44 có địa chỉ: Thôn Kim Đái 2, xã Kim Sơn, Thị xã Sơn Tây, Thành phố Hà Nội (Nay là xã Đoài Phương, Thành phố Hà Nội) theo Giấy chứ</w:t>
                            </w:r>
                            <w:r>
                              <w:rPr>
                                <w:color w:val="000000"/>
                              </w:rPr>
                              <w:t xml:space="preserve">ng nhận quyền sử dụng đất quyền sở hữu nhà ở và tài sản khác gắn liền với đất số: DĐ 682084, số vào sổ cấp GCN số: CS-ST 20009 do Sở Tài nguyên và Môi trường Thành phố Hà Nội cấp ngày 16/02/2022; Chủ sử dụng đất là Ông Khuất Duy Long và bà Nguyễn Thị Ngoan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w:t>
                      </w:r>
                      <w:r>
                        <w:rPr>
                          <w:b/>
                          <w:color w:val="000000" w:themeColor="text1"/>
                        </w:rPr>
                        <w:t xml:space="preserve">26/0214/VF</w:t>
                      </w:r>
                      <w:r>
                        <w:rPr>
                          <w:b/>
                          <w:color w:val="000000" w:themeColor="text1"/>
                        </w:rPr>
                        <w:t xml:space="preserve">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(AGRIBANK)- CHI NHÁNH HÀ TÂY I - PHÒNG GIAO DỊCH TÙNG THIỆN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270, tờ bản đồ số 44 có địa chỉ: Thôn Kim Đái 2, xã Kim Sơn, Thị xã Sơn Tây, Thành phố Hà Nội (Nay là xã Đoài Phương, Thành phố Hà Nội) theo Giấy chứ</w:t>
                      </w:r>
                      <w:r>
                        <w:rPr>
                          <w:color w:val="000000"/>
                        </w:rPr>
                        <w:t xml:space="preserve">ng nhận quyền sử dụng đất quyền sở hữu nhà ở và tài sản khác gắn liền với đất số: DĐ 682084, số vào sổ cấp GCN số: CS-ST 20009 do Sở Tài nguyên và Môi trường Thành phố Hà Nội cấp ngày 16/02/2022; Chủ sử dụng đất là Ông Khuất Duy Long và bà Nguyễn Thị Ngoan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w:t>
            </w:r>
            <w:r>
              <w:rPr>
                <w:rStyle w:val="1031"/>
                <w:rFonts w:ascii="Times New Roman" w:hAnsi="Times New Roman"/>
                <w:color w:val="000000" w:themeColor="text1"/>
                <w:lang w:val="pt-BR"/>
              </w:rPr>
              <w:t xml:space="preserve">: </w:t>
            </w:r>
            <w:r>
              <w:rPr>
                <w:rStyle w:val="1031"/>
                <w:rFonts w:ascii="Times New Roman" w:hAnsi="Times New Roman"/>
                <w:color w:val="000000" w:themeColor="text1"/>
                <w:lang w:val="pt-BR"/>
              </w:rPr>
              <w:t xml:space="preserve">275/2026/0214/VFI-CT.39.A                                     </w:t>
            </w: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27 tháng 1 năm 2026</w:t>
            </w:r>
            <w:r>
              <w:rPr>
                <w:color w:val="000000" w:themeColor="text1"/>
                <w:sz w:val="24"/>
                <w:szCs w:val="24"/>
              </w:rPr>
            </w:r>
            <w:r>
              <w:rPr>
                <w:color w:val="000000" w:themeColor="text1"/>
                <w:sz w:val="24"/>
                <w:szCs w:val="24"/>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(AGRIBANK)- CHI NHÁNH HÀ TÂY I - PHÒNG GIAO DỊCH TÙNG THIỆN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highlight w:val="white"/>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275/2026/0214/VFI-</w:t>
      </w:r>
      <w:r>
        <w:rPr>
          <w:color w:val="000000" w:themeColor="text1"/>
          <w:spacing w:val="-4"/>
          <w:highlight w:val="white"/>
          <w:lang w:val="vi-VN"/>
        </w:rPr>
        <w:t xml:space="preserve">HĐTĐ.39.A</w:t>
      </w:r>
      <w:r>
        <w:rPr>
          <w:spacing w:val="-4"/>
          <w:highlight w:val="white"/>
          <w:lang w:val="vi-VN"/>
        </w:rPr>
        <w:t xml:space="preserve"> ký ng</w:t>
      </w:r>
      <w:r>
        <w:rPr>
          <w:spacing w:val="-4"/>
          <w:highlight w:val="white"/>
          <w:lang w:val="vi-VN"/>
        </w:rPr>
        <w:t xml:space="preserve">ày </w:t>
      </w:r>
      <w:r>
        <w:rPr>
          <w:color w:val="000000" w:themeColor="text1"/>
          <w:spacing w:val="-4"/>
          <w:highlight w:val="white"/>
        </w:rPr>
        <w:t xml:space="preserve">26 tháng 1 </w:t>
      </w:r>
      <w:r>
        <w:rPr>
          <w:color w:val="000000" w:themeColor="text1"/>
          <w:spacing w:val="-4"/>
          <w:highlight w:val="white"/>
        </w:rPr>
        <w:t xml:space="preserve">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Ngân hàng Nông nghiệp và Phát triển Nông thôn Việt Nam (Agribank)- Chi nhánh Hà Tây I - Phòng giao dịch Tùng Thiện</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rPr>
      </w:pPr>
      <w:r>
        <w:rPr>
          <w:spacing w:val="-2"/>
          <w:highlight w:val="white"/>
          <w:lang w:val="pt-BR"/>
        </w:rPr>
        <w:t xml:space="preserve">Căn</w:t>
      </w:r>
      <w:r>
        <w:rPr>
          <w:spacing w:val="-2"/>
          <w:highlight w:val="white"/>
          <w:lang w:val="pt-BR"/>
        </w:rPr>
        <w:t xml:space="preserve"> </w:t>
      </w:r>
      <w:r>
        <w:rPr>
          <w:spacing w:val="-2"/>
          <w:highlight w:val="white"/>
          <w:lang w:val="pt-BR"/>
        </w:rPr>
        <w:t xml:space="preserve">cứ</w:t>
      </w:r>
      <w:r>
        <w:rPr>
          <w:spacing w:val="-2"/>
          <w:highlight w:val="white"/>
          <w:lang w:val="pt-BR"/>
        </w:rPr>
        <w:t xml:space="preserve"> </w:t>
      </w:r>
      <w:r>
        <w:rPr>
          <w:spacing w:val="-2"/>
          <w:highlight w:val="white"/>
          <w:lang w:val="pt-BR"/>
        </w:rPr>
        <w:t xml:space="preserve">Báo</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số</w:t>
      </w:r>
      <w:r>
        <w:rPr>
          <w:spacing w:val="-2"/>
          <w:highlight w:val="white"/>
          <w:lang w:val="vi-VN"/>
        </w:rPr>
        <w:t xml:space="preserve"> </w:t>
      </w:r>
      <w:r>
        <w:rPr>
          <w:color w:val="000000" w:themeColor="text1"/>
          <w:spacing w:val="-2"/>
          <w:highlight w:val="white"/>
          <w:lang w:val="pt-BR"/>
        </w:rPr>
        <w:t xml:space="preserve">275/2026/0215/VFI-BC.39.A</w:t>
      </w:r>
      <w:r>
        <w:rPr>
          <w:spacing w:val="-2"/>
          <w:highlight w:val="white"/>
          <w:lang w:val="pt-BR"/>
        </w:rPr>
        <w:t xml:space="preserve"> </w:t>
      </w:r>
      <w:r>
        <w:rPr>
          <w:spacing w:val="-2"/>
          <w:highlight w:val="white"/>
          <w:lang w:val="pt-BR"/>
        </w:rPr>
        <w:t xml:space="preserve">n</w:t>
      </w:r>
      <w:r>
        <w:rPr>
          <w:spacing w:val="-2"/>
          <w:highlight w:val="white"/>
          <w:lang w:val="pt-BR"/>
        </w:rPr>
        <w:t xml:space="preserve">gày</w:t>
      </w:r>
      <w:r>
        <w:rPr>
          <w:spacing w:val="-2"/>
          <w:highlight w:val="white"/>
          <w:lang w:val="vi-VN"/>
        </w:rPr>
        <w:t xml:space="preserve"> </w:t>
      </w:r>
      <w:r>
        <w:rPr>
          <w:color w:val="000000" w:themeColor="text1"/>
          <w:spacing w:val="-2"/>
          <w:highlight w:val="white"/>
        </w:rPr>
        <w:t xml:space="preserve">27 tháng 1 nă</w:t>
      </w:r>
      <w:r>
        <w:rPr>
          <w:color w:val="000000" w:themeColor="text1"/>
          <w:spacing w:val="-2"/>
          <w:highlight w:val="white"/>
        </w:rPr>
        <w:t xml:space="preserve">m 2</w:t>
      </w:r>
      <w:r>
        <w:rPr>
          <w:color w:val="000000" w:themeColor="text1"/>
          <w:spacing w:val="-2"/>
        </w:rPr>
        <w:t xml:space="preserve">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pPr>
            <w:r>
              <w:rPr>
                <w:rFonts w:ascii="Times New Roman" w:hAnsi="Times New Roman" w:eastAsia="Times New Roman" w:cs="Times New Roman"/>
                <w:b/>
                <w:color w:val="000000"/>
                <w:spacing w:val="-8"/>
                <w:sz w:val="24"/>
              </w:rPr>
              <w:t xml:space="preserve">NGÂN HÀNG NÔNG NGHIỆP VÀ PHÁT TRIỂN NÔNG THÔNG VIỆT NAM (AGRIBANK) - CHI NHÁNH HÀ TÂY I - PHÒNG GIAO DỊCH TÙNG THIỆN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0100686174-081</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Số 5 Chùa Thông, phường Sơn Tây, Thành phố Hà Nội</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270, tờ bản đồ số 44 có địa chỉ: Thôn Kim Đái 2, xã Kim Sơn, Thị xã Sơn Tây, Thành phố Hà Nội (Nay là xã Đoài Phương, Thành phố Hà Nội) theo Giấy chứ</w:t>
      </w:r>
      <w:r>
        <w:rPr>
          <w:color w:val="000000" w:themeColor="text1"/>
        </w:rPr>
        <w:t xml:space="preserve">ng nhận quyền sử dụng đất quyền sở hữu nhà ở và tài sản khác gắn liền với đất số: DĐ 682084, số vào sổ cấp GCN số: CS-ST 20009 do Sở Tài nguyên và Môi trường Thành phố Hà Nội cấp ngày 16/02/2022; Chủ sử dụng đất là Ông Khuất Duy Long và bà Nguyễn Thị Ngoan</w:t>
      </w:r>
      <w:r>
        <w:rPr>
          <w:i/>
          <w:iCs/>
        </w:rPr>
        <w:t xml:space="preserve">.</w:t>
      </w:r>
      <w:r>
        <w:rPr>
          <w:b/>
          <w:bCs/>
        </w:rPr>
      </w:r>
      <w:r>
        <w:rPr>
          <w:b/>
          <w:bCs/>
        </w:rPr>
      </w:r>
    </w:p>
    <w:p>
      <w:pPr>
        <w:pBdr/>
        <w:spacing w:after="120" w:before="120" w:line="276"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276"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276"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3402"/>
        <w:gridCol w:w="1558"/>
        <w:gridCol w:w="1985"/>
        <w:gridCol w:w="1985"/>
      </w:tblGrid>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402"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558"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4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270, tờ bản đồ số 44 có địa chỉ: Thôn Kim Đái 2, xã Kim Sơn, Thị xã Sơn Tây, Thành phố Hà Nội (Nay là xã Đoài Phương, Thành phố Hà Nội) theo Giấy chứ</w:t>
            </w:r>
            <w:r>
              <w:rPr>
                <w:color w:val="000000"/>
              </w:rPr>
              <w:t xml:space="preserve">ng nhận quyền sử dụng đất quyền sở hữu nhà ở và tài sản khác gắn liền với đất số: DĐ 682084, số vào sổ cấp GCN số: CS-ST 20009 do Sở Tài nguyên và Môi trường Thành phố Hà Nội cấp ngày 16/02/2022; Chủ sử dụng đất là Ông Khuất Duy Long và bà Nguyễn Thị Ngoan</w:t>
            </w:r>
            <w:r>
              <w:rPr>
                <w:b/>
                <w:bCs/>
              </w:rPr>
              <w:t xml:space="preserve">.</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402" w:type="dxa"/>
            <w:vAlign w:val="center"/>
            <w:textDirection w:val="lrTb"/>
            <w:noWrap w:val="false"/>
          </w:tcPr>
          <w:p>
            <w:pPr>
              <w:pBdr/>
              <w:spacing w:after="40" w:before="40" w:line="288" w:lineRule="auto"/>
              <w:ind/>
              <w:rPr>
                <w:b w:val="0"/>
                <w:bCs w:val="0"/>
              </w:rPr>
            </w:pPr>
            <w:r>
              <w:rPr>
                <w:b w:val="0"/>
                <w:bCs w:val="0"/>
              </w:rPr>
            </w:r>
            <w:r>
              <w:rPr>
                <w:b w:val="0"/>
                <w:bCs w:val="0"/>
              </w:rPr>
              <w:t xml:space="preserve">Quyền sử dụng đất nằm ngoài quy hoạch (đất ONT: 90m2, đất CLN: 158,5m2)</w:t>
            </w:r>
            <w:r>
              <w:rPr>
                <w:b w:val="0"/>
                <w:bCs w:val="0"/>
              </w:rPr>
            </w:r>
          </w:p>
        </w:tc>
        <w:tc>
          <w:tcPr>
            <w:tcBorders/>
            <w:tcW w:w="1558" w:type="dxa"/>
            <w:vAlign w:val="center"/>
            <w:textDirection w:val="lrTb"/>
            <w:noWrap/>
          </w:tcPr>
          <w:p>
            <w:pPr>
              <w:pBdr/>
              <w:spacing w:after="40" w:before="40" w:line="288" w:lineRule="auto"/>
              <w:ind/>
              <w:jc w:val="center"/>
              <w:rPr>
                <w:color w:val="000000"/>
              </w:rPr>
            </w:pPr>
            <w:r>
              <w:rPr>
                <w:color w:val="000000" w:themeColor="text1"/>
              </w:rPr>
              <w:t xml:space="preserve">248,5</w:t>
            </w:r>
            <w:r>
              <w:rPr>
                <w:color w:val="000000"/>
              </w:rPr>
            </w:r>
            <w:r>
              <w:rPr>
                <w:color w:val="000000"/>
              </w:rPr>
            </w:r>
          </w:p>
        </w:tc>
        <w:tc>
          <w:tcPr>
            <w:shd w:val="clear" w:color="000000" w:fill="ffffff"/>
            <w:tcBorders/>
            <w:tcW w:w="1985" w:type="dxa"/>
            <w:vAlign w:val="center"/>
            <w:textDirection w:val="lrTb"/>
            <w:noWrap w:val="false"/>
          </w:tcPr>
          <w:p>
            <w:pPr>
              <w:pBdr/>
              <w:spacing w:after="40" w:before="40" w:line="288" w:lineRule="auto"/>
              <w:ind/>
              <w:jc w:val="center"/>
              <w:rPr/>
            </w:pPr>
            <w:r>
              <w:rPr>
                <w:color w:val="000000" w:themeColor="text1"/>
              </w:rPr>
              <w:t xml:space="preserve">16.500.000</w:t>
            </w:r>
            <w:r/>
          </w:p>
        </w:tc>
        <w:tc>
          <w:tcPr>
            <w:shd w:val="clear" w:color="000000" w:fill="ffffff"/>
            <w:tcBorders/>
            <w:tcW w:w="1985" w:type="dxa"/>
            <w:vAlign w:val="center"/>
            <w:textDirection w:val="lrTb"/>
            <w:noWrap w:val="false"/>
          </w:tcPr>
          <w:p>
            <w:pPr>
              <w:pBdr/>
              <w:spacing w:after="40" w:before="40" w:line="288" w:lineRule="auto"/>
              <w:ind/>
              <w:jc w:val="right"/>
              <w:rPr>
                <w:b/>
                <w:bCs/>
                <w:color w:val="000000"/>
              </w:rPr>
            </w:pPr>
            <w:r>
              <w:t xml:space="preserve">4.100.250.000</w:t>
            </w:r>
            <w:r>
              <w:rPr>
                <w:b/>
                <w:bCs/>
                <w:color w:val="000000"/>
              </w:rPr>
            </w:r>
            <w:r>
              <w:rPr>
                <w:b/>
                <w:bCs/>
                <w:color w:val="000000"/>
              </w:rPr>
            </w:r>
          </w:p>
        </w:tc>
      </w:tr>
      <w:tr>
        <w:trPr>
          <w:trHeight w:val="583"/>
        </w:trPr>
        <w:tc>
          <w:tcPr>
            <w:shd w:val="clear" w:color="000000" w:fill="ffffff"/>
            <w:tcBorders/>
            <w:tcW w:w="595"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3402" w:type="dxa"/>
            <w:vAlign w:val="center"/>
            <w:textDirection w:val="lrTb"/>
            <w:noWrap w:val="false"/>
          </w:tcPr>
          <w:p>
            <w:pPr>
              <w:pBdr/>
              <w:spacing w:after="40" w:before="40" w:line="288" w:lineRule="auto"/>
              <w:ind/>
              <w:rPr>
                <w:b w:val="0"/>
                <w:bCs w:val="0"/>
              </w:rPr>
            </w:pPr>
            <w:r>
              <w:rPr>
                <w:b w:val="0"/>
                <w:bCs w:val="0"/>
              </w:rPr>
              <w:t xml:space="preserve">Quyền sử dụng đất nằm trong quy hoạch</w:t>
            </w:r>
            <w:r>
              <w:rPr>
                <w:b w:val="0"/>
                <w:bCs w:val="0"/>
              </w:rPr>
            </w:r>
            <w:r>
              <w:rPr>
                <w:b w:val="0"/>
                <w:bCs w:val="0"/>
              </w:rPr>
              <w:t xml:space="preserve"> (đất CLN: 77,5m2)</w:t>
            </w:r>
            <w:r>
              <w:rPr>
                <w:b w:val="0"/>
                <w:bCs w:val="0"/>
              </w:rPr>
            </w:r>
          </w:p>
        </w:tc>
        <w:tc>
          <w:tcPr>
            <w:tcBorders/>
            <w:tcW w:w="1558" w:type="dxa"/>
            <w:vAlign w:val="center"/>
            <w:textDirection w:val="lrTb"/>
            <w:noWrap/>
          </w:tcPr>
          <w:p>
            <w:pPr>
              <w:pBdr/>
              <w:spacing w:after="40" w:before="40" w:line="288" w:lineRule="auto"/>
              <w:ind/>
              <w:jc w:val="center"/>
              <w:rPr>
                <w:color w:val="000000"/>
              </w:rPr>
            </w:pPr>
            <w:r>
              <w:rPr>
                <w:color w:val="000000" w:themeColor="text1"/>
              </w:rPr>
              <w:t xml:space="preserve">77,5</w:t>
            </w:r>
            <w:r>
              <w:rPr>
                <w:color w:val="000000"/>
              </w:rPr>
            </w:r>
            <w:r>
              <w:rPr>
                <w:color w:val="000000"/>
              </w:rPr>
            </w:r>
          </w:p>
        </w:tc>
        <w:tc>
          <w:tcPr>
            <w:shd w:val="clear" w:color="000000" w:fill="ffffff"/>
            <w:tcBorders/>
            <w:tcW w:w="1985" w:type="dxa"/>
            <w:vAlign w:val="center"/>
            <w:textDirection w:val="lrTb"/>
            <w:noWrap w:val="false"/>
          </w:tcPr>
          <w:p>
            <w:pPr>
              <w:pBdr/>
              <w:spacing w:after="40" w:before="40" w:line="288" w:lineRule="auto"/>
              <w:ind/>
              <w:jc w:val="center"/>
              <w:rPr/>
            </w:pPr>
            <w:r>
              <w:rPr>
                <w:color w:val="000000" w:themeColor="text1"/>
              </w:rPr>
              <w:t xml:space="preserve">113.000</w:t>
            </w:r>
            <w:r/>
          </w:p>
        </w:tc>
        <w:tc>
          <w:tcPr>
            <w:shd w:val="clear" w:color="000000" w:fill="ffffff"/>
            <w:tcBorders/>
            <w:tcW w:w="1985"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8.757.500</w:t>
            </w: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85"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4.109.007.500</w:t>
            </w: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85"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4.109.000.000</w:t>
            </w:r>
            <w:r/>
          </w:p>
        </w:tc>
      </w:tr>
      <w:tr>
        <w:trPr>
          <w:trHeight w:val="20"/>
        </w:trPr>
        <w:tc>
          <w:tcPr>
            <w:gridSpan w:val="5"/>
            <w:tcBorders/>
            <w:tcW w:w="95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Bốn tỷ một trăm linh chín triệu đồng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856"/>
        <w:gridCol w:w="1299"/>
        <w:gridCol w:w="12259"/>
      </w:tblGrid>
      <w:tr>
        <w:trPr>
          <w:trHeight w:val="1152"/>
        </w:trPr>
        <w:tc>
          <w:tcPr>
            <w:gridSpan w:val="2"/>
            <w:tcBorders/>
            <w:tcW w:w="215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25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w:t>
            </w:r>
            <w:r>
              <w:rPr>
                <w:rStyle w:val="1031"/>
                <w:rFonts w:ascii="Times New Roman" w:hAnsi="Times New Roman"/>
                <w:color w:val="000000" w:themeColor="text1"/>
                <w:lang w:val="pt-BR"/>
              </w:rPr>
              <w:t xml:space="preserve">: </w:t>
            </w:r>
            <w:r>
              <w:rPr>
                <w:rStyle w:val="1031"/>
                <w:rFonts w:ascii="Times New Roman" w:hAnsi="Times New Roman"/>
                <w:color w:val="000000" w:themeColor="text1"/>
                <w:lang w:val="pt-BR"/>
              </w:rPr>
              <w:t xml:space="preserve">275/2026/0214/VFI-BC.39.A                                  </w:t>
            </w: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27 tháng 01 năm 2026</w:t>
            </w:r>
            <w:r>
              <w:rPr>
                <w:color w:val="000000" w:themeColor="text1"/>
                <w:sz w:val="24"/>
                <w:szCs w:val="24"/>
              </w:rPr>
            </w:r>
            <w:r>
              <w:rPr>
                <w:color w:val="000000" w:themeColor="text1"/>
                <w:sz w:val="24"/>
                <w:szCs w:val="24"/>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275/2026/0214/VFI-CT.39.A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27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NGÂN HÀNG NÔNG NGHIỆP VÀ PHÁT TRIỂN NÔNG THÔNG VIỆT NAM (AGRIBANK) - CHI NHÁNH HÀ TÂY I - PHÒNG GIAO DỊCH TÙNG THIỆN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0100686174-081</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5 Chùa Thông, phường Sơn Tây,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270, tờ bản đồ số 44 có địa chỉ: Thôn Kim Đái 2, xã Kim Sơn, Thị xã Sơn Tây, Thành phố Hà Nội (Nay là xã Đoài Phương, Thành phố Hà Nội) theo Giấy chứ</w:t>
            </w:r>
            <w:r>
              <w:rPr>
                <w:bCs/>
                <w:color w:val="000000" w:themeColor="text1"/>
                <w:lang w:val="pt-BR"/>
              </w:rPr>
              <w:t xml:space="preserve">ng nhận quyền sử dụng đất quyền sở hữu nhà ở và tài sản khác gắn liền với đất số: DĐ 682084, số vào sổ cấp GCN số: CS-ST 20009 do Sở Tài nguyên và Môi trường Thành phố Hà Nội cấp ngày 16/02/2022; Chủ sử dụng đất là Ông Khuất Duy Long và bà Nguyễn Thị Ngoan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Đoài Phương,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21.089055555556, 105.46830555556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3"/>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w:t>
      </w:r>
      <w:r>
        <w:rPr>
          <w:bCs/>
          <w:color w:val="000000" w:themeColor="text1"/>
          <w:lang w:val="pt-BR"/>
        </w:rPr>
        <w:t xml:space="preserve">ng nhận quyền sử dụng đất quyền sở hữu nhà ở và tài sản khác gắn liền với đất số: DĐ 682084, số vào sổ cấp GCN số: CS-ST 20009 do Sở Tài nguyên và Môi trường Thành phố Hà Nội cấp ngày 16/02/2022; Chủ sử dụng đất là Ông Khuất Duy Long và bà Nguyễn Thị Ngoan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275/2026/0214/VFI-HĐTĐ.39.A ngày 26/01/2026 giữa Ngân hàng Nông nghiệp và Phát triển Nông Thông Việt Nam (agribank) - Chi nhánh Hà Tây I - Phòng giao dịch Tùng Thiện I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Bước sang năm 2026, thị trường bất động sản Hà Nội được kỳ vọng bước vào chu kỳ tăng trưởng mới với nền tảng hạ tầng, pháp lý và chính sách ngày càng </w:t>
      </w:r>
      <w:r>
        <w:rPr>
          <w:shd w:val="clear" w:color="auto" w:fill="ffffff"/>
        </w:rPr>
        <w:t xml:space="preserve">rõ nét. Thay vì những cơn “sốt nóng”, thị trường vận động theo hướng chọn lọc, phân hóa mạnh, lấy nhu cầu ở thực, chất lượng dự án và năng lực doanh nghiệp làm trụ cột phát triển bền vững. Trong bối cảnh kinh tế vĩ mô dần ổn định, khuôn khổ pháp lý được ho</w:t>
      </w:r>
      <w:r>
        <w:rPr>
          <w:shd w:val="clear" w:color="auto" w:fill="ffffff"/>
        </w:rPr>
        <w:t xml:space="preserve">àn thiện và đầu tư công tiếp tục 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w:t>
      </w:r>
      <w:r>
        <w:rPr>
          <w:shd w:val="clear" w:color="auto" w:fill="ffffff"/>
        </w:rPr>
        <w:t xml:space="preserve">ng trưởng trên nền tảng bền vững, gắn chặt với quy hoạch đô thị, nhu cầu ở thực và năng lực triển khai của doanh nghiệp.</w:t>
        <w:br/>
        <w:t xml:space="preserve">Trong nhiều năm qua, hạ tầng giao thông luôn là yếu tố then chốt định hình không gian phát triển đô thị Hà Nội. Đến năm 2026, vai trò n</w:t>
      </w:r>
      <w:r>
        <w:rPr>
          <w:shd w:val="clear" w:color="auto" w:fill="ffffff"/>
        </w:rPr>
        <w:t xml:space="preserve">ày càng trở nên rõ rệt khi hàng loạt dự án trọng điểm được triển khai đồng bộ, tạo lực đẩy dài hạn cho thị trường bất động sản.</w:t>
        <w:br/>
        <w:t xml:space="preserve">Dự án đường Vành đai 4 – Vùng Thủ đô, với quy mô hơn 85.000 tỷ đồng, được coi là "đòn bẩy chiến lược" mở rộng không gian phát tr</w:t>
      </w:r>
      <w:r>
        <w:rPr>
          <w:shd w:val="clear" w:color="auto" w:fill="ffffff"/>
        </w:rPr>
        <w:t xml:space="preserve">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br/>
        <w:t xml:space="preserve">Cùng với đó, hệ thốn</w:t>
      </w:r>
      <w:r>
        <w:rPr>
          <w:shd w:val="clear" w:color="auto" w:fill="ffffff"/>
        </w:rPr>
        <w:t xml:space="preserve">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giao thông</w:t>
      </w:r>
      <w:r>
        <w:rPr>
          <w:shd w:val="clear" w:color="auto" w:fill="ffffff"/>
        </w:rPr>
        <w:t xml:space="preserve">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bất động sản</w:t>
      </w:r>
      <w:r>
        <w:rPr>
          <w:shd w:val="clear" w:color="auto" w:fill="ffffff"/>
        </w:rPr>
        <w:t xml:space="preserve"> dài hạn.</w:t>
        <w:b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w:t>
      </w:r>
      <w:r>
        <w:rPr>
          <w:shd w:val="clear" w:color="auto" w:fill="ffffff"/>
        </w:rPr>
        <w:t xml:space="preserve">c), đang nổi lên như một cực phát triển mới. Ở phía Đông, hệ thống cầu vượt sông Hồng, cùng quy hoạch chỉnh trang đô thị ven sông, tiếp tục mở ra dư địa cho các dự án nhà ở và đô thị sinh thái.</w:t>
        <w:br/>
        <w:t xml:space="preserve">Nếu như giai đoạn trước, thị trường bất động sản Hà Nội từng c</w:t>
      </w:r>
      <w:r>
        <w:rPr>
          <w:shd w:val="clear" w:color="auto" w:fill="ffffff"/>
        </w:rPr>
        <w:t xml:space="preserve">hứng kiến những đợt tăng giá nhanh ở một số phân khúc, thì bước sang năm 2026, xu hướng chủ đạo là tăng trưởng có chọn lọc. Dòng tiền không còn chạy theo "sóng ngắn" mà ưu tiên những khu vực có quy hoạch rõ ràng, hạ tầng đồng bộ và nhu cầu ở thực ổn định.S</w:t>
      </w:r>
      <w:r>
        <w:rPr>
          <w:shd w:val="clear" w:color="auto" w:fill="ffffff"/>
        </w:rPr>
        <w:t xml:space="preserve">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các</w:t>
      </w:r>
      <w:r>
        <w:rPr>
          <w:shd w:val="clear" w:color="auto" w:fill="ffffff"/>
        </w:rPr>
        <w:t xml:space="preserve"> phân khúc an toàn hơn, hạn chế rủi ro và có tiềm năng tăng trưởng dài hạn.</w:t>
        <w:br/>
        <w:t xml:space="preserve">(nguồn tham khảo: https://thanglong.chinhphu.vn/buc-tranh-thi-truong-bat-dong-san-ha-noi-nam-2026-ha-tang-dan-dat-thi-truong-buoc-vao-chu-ky-tang-truong-moi-103260101181315972.htm)</w:t>
      </w:r>
      <w:r>
        <w:rPr>
          <w:i/>
          <w:iCs/>
          <w:lang w:val="pt-BR"/>
        </w:rPr>
      </w:r>
      <w:r>
        <w:rPr>
          <w:i/>
          <w:iCs/>
          <w:lang w:val="pt-BR"/>
        </w:rP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129"/>
        <w:gridCol w:w="2409"/>
        <w:gridCol w:w="223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270, tờ bản đồ số 44 có địa chỉ: Thôn Kim Đái 2, xã Kim Sơn, Thị xã Sơn Tây, Thành phố Hà Nội (Nay là xã Đoài Phương, Thành phố Hà Nội) theo Giấy chứ</w:t>
            </w:r>
            <w:r>
              <w:rPr>
                <w:b/>
                <w:bCs/>
                <w:color w:val="000000"/>
              </w:rPr>
              <w:t xml:space="preserve">ng nhận quyền sử dụng đất quyền sở hữu nhà ở và tài sản khác gắn liền với đất số: DĐ 682084, số vào sổ cấp GCN số: CS-ST 20009 do Sở Tài nguyên và Môi trường Thành phố Hà Nội cấp ngày 16/02/2022; Chủ sử dụng đất là Ông Khuất Duy Long và bà Nguyễn Thị Ngoan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409" w:type="dxa"/>
            <w:vAlign w:val="center"/>
            <w:textDirection w:val="lrTb"/>
            <w:noWrap w:val="false"/>
          </w:tcPr>
          <w:p>
            <w:pPr>
              <w:pBdr/>
              <w:spacing/>
              <w:ind/>
              <w:jc w:val="center"/>
              <w:rPr>
                <w:color w:val="000000"/>
              </w:rPr>
            </w:pPr>
            <w:r>
              <w:rPr>
                <w:color w:val="000000" w:themeColor="text1"/>
              </w:rPr>
              <w:t xml:space="preserve">270</w:t>
            </w:r>
            <w:r>
              <w:rPr>
                <w:color w:val="000000"/>
              </w:rPr>
            </w:r>
            <w:r>
              <w:rPr>
                <w:color w:val="000000"/>
              </w:rPr>
            </w:r>
          </w:p>
        </w:tc>
        <w:tc>
          <w:tcPr>
            <w:tcBorders/>
            <w:tcW w:w="223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65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Kim Đái 2, xã Kim Sơn, Thị xã Sơn Tây, Thành phố Hà Nội (Nay là xã Đoài Phương,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409" w:type="dxa"/>
            <w:vAlign w:val="center"/>
            <w:textDirection w:val="lrTb"/>
            <w:noWrap w:val="false"/>
          </w:tcPr>
          <w:p>
            <w:pPr>
              <w:pBdr/>
              <w:spacing/>
              <w:ind/>
              <w:jc w:val="center"/>
              <w:rPr>
                <w:color w:val="000000"/>
              </w:rPr>
            </w:pPr>
            <w:r>
              <w:rPr>
                <w:color w:val="000000"/>
              </w:rPr>
              <w:t xml:space="preserve">326</w:t>
            </w:r>
            <w:r>
              <w:rPr>
                <w:color w:val="000000"/>
              </w:rPr>
            </w:r>
            <w:r>
              <w:rPr>
                <w:color w:val="000000"/>
              </w:rPr>
            </w:r>
          </w:p>
        </w:tc>
        <w:tc>
          <w:tcPr>
            <w:tcBorders/>
            <w:tcW w:w="223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409" w:type="dxa"/>
            <w:vAlign w:val="center"/>
            <w:textDirection w:val="lrTb"/>
            <w:noWrap w:val="false"/>
          </w:tcPr>
          <w:p>
            <w:pPr>
              <w:pBdr/>
              <w:spacing/>
              <w:ind/>
              <w:jc w:val="center"/>
              <w:rPr>
                <w:color w:val="000000"/>
              </w:rPr>
            </w:pPr>
            <w:r>
              <w:rPr>
                <w:color w:val="000000" w:themeColor="text1"/>
              </w:rPr>
              <w:t xml:space="preserve">Đất ở tại nông thôn: 90m2; Đất trồng cây lâu năm: 236m2</w:t>
            </w:r>
            <w:r>
              <w:rPr>
                <w:color w:val="000000"/>
              </w:rPr>
            </w:r>
            <w:r>
              <w:rPr>
                <w:color w:val="000000"/>
              </w:rPr>
            </w:r>
          </w:p>
        </w:tc>
        <w:tc>
          <w:tcPr>
            <w:tcBorders/>
            <w:tcW w:w="223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ở: Lâu dài; Đất trồng cây lâu năm: Sử dụng đến ngày 15/10/2043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652" w:type="dxa"/>
            <w:vAlign w:val="center"/>
            <w:textDirection w:val="lrTb"/>
            <w:noWrap w:val="false"/>
          </w:tcPr>
          <w:p>
            <w:pPr>
              <w:pBdr/>
              <w:spacing/>
              <w:ind/>
              <w:jc w:val="both"/>
              <w:rPr>
                <w:color w:val="000000"/>
              </w:rPr>
            </w:pPr>
            <w:r>
              <w:rPr>
                <w:color w:val="000000"/>
              </w:rPr>
              <w:t xml:space="preserve">Nhận chuyển nhượng đất được Công nhận QSDĐ như giao đất có thu tiền sử dụng đất 90,0m2; không thu tiền sử dụng đất 236,0m2</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vMerge w:val="restart"/>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652" w:type="dxa"/>
            <w:vAlign w:val="center"/>
            <w:vMerge w:val="restart"/>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Số tờ, số thửa được xác định theo bản đồ địa chính đo đạc dự án tổng thể.</w:t>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Thửa đất này được tách ra từ thửa đất số 22-1b, tờ bản đồ 4 đã được Sở TN&amp;MT thành phố Hà Nội cấp GCN số CP 148806 ngày 17/01/2019.</w:t>
              <w:br/>
              <w:t xml:space="preserve">- Theo bản đồ 2002-2003 là thửa đất số 22-1b1,</w:t>
            </w:r>
            <w:r>
              <w:rPr>
                <w:rFonts w:ascii="Times New Roman" w:hAnsi="Times New Roman" w:eastAsia="Times New Roman" w:cs="Times New Roman"/>
                <w:color w:val="000000"/>
                <w:sz w:val="24"/>
              </w:rPr>
              <w:t xml:space="preserve"> tờ 4.</w:t>
              <w:br/>
              <w:t xml:space="preserve">- Diện tích 77,5m2 đất thuộc HLGT được giới hạn bởi các điểm 1a, 1d, 1c, 1b, 1a. </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652" w:type="dxa"/>
            <w:vAlign w:val="center"/>
            <w:textDirection w:val="lrTb"/>
            <w:noWrap w:val="false"/>
          </w:tcPr>
          <w:p>
            <w:pPr>
              <w:pBdr/>
              <w:spacing/>
              <w:ind/>
              <w:jc w:val="both"/>
              <w:rPr>
                <w:color w:val="000000"/>
              </w:rPr>
            </w:pPr>
            <w:r>
              <w:rPr>
                <w:color w:val="000000"/>
              </w:rPr>
              <w:t xml:space="preserve">|</w:t>
            </w:r>
            <w:r>
              <w:rPr>
                <w:color w:val="000000"/>
              </w:rPr>
              <w:t xml:space="preserve">T</w:t>
            </w:r>
            <w:r>
              <w:rPr>
                <w:color w:val="000000"/>
              </w:rPr>
              <w:t xml:space="preserve">ại thời điểm thẩm định giá, theo thông tin tại GCN số DĐ 682084 tài sản thẩm định có 77,5m2 đất thuộc HLGT. Theo đề nghị của khách hàng, tổ thẩm định sử dụng kết quả quy hoạch theo GCN nêu trên để xác định giá trị của thửa đất. Kình đề nghị các đơn vị sử d</w:t>
            </w:r>
            <w:r>
              <w:rPr>
                <w:color w:val="000000"/>
              </w:rPr>
              <w:t xml:space="preserve">ụng kết quả lưu ý.</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409" w:type="dxa"/>
            <w:vAlign w:val="center"/>
            <w:textDirection w:val="lrTb"/>
            <w:noWrap w:val="false"/>
          </w:tcPr>
          <w:p>
            <w:pPr>
              <w:pBdr/>
              <w:spacing/>
              <w:ind/>
              <w:jc w:val="center"/>
              <w:rPr>
                <w:color w:val="000000"/>
              </w:rPr>
            </w:pPr>
            <w:r>
              <w:rPr>
                <w:color w:val="000000"/>
              </w:rPr>
              <w:t xml:space="preserve">Đường tỉnh 461</w:t>
            </w:r>
            <w:r>
              <w:rPr>
                <w:color w:val="000000"/>
              </w:rPr>
            </w:r>
            <w:r>
              <w:rPr>
                <w:color w:val="000000"/>
              </w:rPr>
            </w:r>
          </w:p>
        </w:tc>
        <w:tc>
          <w:tcPr>
            <w:tcBorders/>
            <w:tcW w:w="223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4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12m bao gồm cả hành lang</w:t>
            </w:r>
            <w:r/>
          </w:p>
        </w:tc>
        <w:tc>
          <w:tcPr>
            <w:tcBorders/>
            <w:tcW w:w="223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12m bao gồm cả hành lang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652" w:type="dxa"/>
            <w:vAlign w:val="center"/>
            <w:textDirection w:val="lrTb"/>
            <w:noWrap w:val="false"/>
          </w:tcPr>
          <w:p>
            <w:pPr>
              <w:pBdr/>
              <w:spacing/>
              <w:ind/>
              <w:jc w:val="both"/>
              <w:rPr>
                <w:color w:val="000000"/>
              </w:rPr>
            </w:pPr>
            <w:r>
              <w:rPr>
                <w:color w:val="000000" w:themeColor="text1"/>
              </w:rPr>
              <w:t xml:space="preserve">Tài sản nằm tại mặt tiền đường tỉnh 416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652"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Bắc: Tiếp giáp đường  tỉnh 416</w:t>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21.089055555556</w:t>
            </w:r>
            <w:r>
              <w:rPr>
                <w:color w:val="000000"/>
              </w:rPr>
              <w:t xml:space="preserve">, </w:t>
            </w:r>
            <w:r>
              <w:rPr>
                <w:color w:val="000000"/>
              </w:rPr>
              <w:t xml:space="preserve">105.46830555556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78839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78839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77.04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409" w:type="dxa"/>
            <w:vAlign w:val="center"/>
            <w:textDirection w:val="lrTb"/>
            <w:noWrap w:val="false"/>
          </w:tcPr>
          <w:p>
            <w:pPr>
              <w:pBdr/>
              <w:spacing/>
              <w:ind/>
              <w:jc w:val="center"/>
              <w:rPr>
                <w:color w:val="000000"/>
              </w:rPr>
            </w:pPr>
            <w:r>
              <w:rPr>
                <w:color w:val="000000" w:themeColor="text1"/>
              </w:rPr>
              <w:t xml:space="preserve">326</w:t>
            </w:r>
            <w:r>
              <w:rPr>
                <w:color w:val="000000"/>
              </w:rPr>
            </w:r>
            <w:r>
              <w:rPr>
                <w:color w:val="000000"/>
              </w:rPr>
            </w:r>
          </w:p>
        </w:tc>
        <w:tc>
          <w:tcPr>
            <w:tcBorders/>
            <w:tcW w:w="223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409" w:type="dxa"/>
            <w:vAlign w:val="center"/>
            <w:textDirection w:val="lrTb"/>
            <w:noWrap w:val="false"/>
          </w:tcPr>
          <w:p>
            <w:pPr>
              <w:pBdr/>
              <w:spacing/>
              <w:ind/>
              <w:jc w:val="center"/>
              <w:rPr>
                <w:color w:val="000000"/>
              </w:rPr>
            </w:pPr>
            <w:r>
              <w:rPr>
                <w:color w:val="000000" w:themeColor="text1"/>
              </w:rPr>
              <w:t xml:space="preserve">9,0</w:t>
            </w:r>
            <w:r>
              <w:rPr>
                <w:color w:val="000000"/>
              </w:rPr>
            </w:r>
            <w:r>
              <w:rPr>
                <w:color w:val="000000"/>
              </w:rPr>
            </w:r>
          </w:p>
        </w:tc>
        <w:tc>
          <w:tcPr>
            <w:tcBorders/>
            <w:tcW w:w="223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29,62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409"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23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652"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652"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409" w:type="dxa"/>
            <w:vAlign w:val="center"/>
            <w:textDirection w:val="lrTb"/>
            <w:noWrap w:val="false"/>
          </w:tcPr>
          <w:p>
            <w:pPr>
              <w:pBdr/>
              <w:spacing/>
              <w:ind/>
              <w:jc w:val="center"/>
              <w:rPr>
                <w:color w:val="ff0000"/>
              </w:rPr>
            </w:pPr>
            <w:r>
              <w:rPr>
                <w:color w:val="ff0000"/>
              </w:rPr>
              <w:t xml:space="preserve">Trung bình</w:t>
            </w:r>
            <w:r>
              <w:rPr>
                <w:color w:val="ff0000"/>
              </w:rPr>
            </w:r>
            <w:r>
              <w:rPr>
                <w:color w:val="ff0000"/>
              </w:rPr>
            </w:r>
          </w:p>
        </w:tc>
        <w:tc>
          <w:tcPr>
            <w:tcBorders/>
            <w:tcW w:w="223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ff0000"/>
              </w:rPr>
            </w:pPr>
            <w:r>
              <w:rPr>
                <w:color w:val="ff0000"/>
              </w:rPr>
              <w:t xml:space="preserve">Ổn định</w:t>
            </w:r>
            <w:r>
              <w:rPr>
                <w:color w:val="ff0000"/>
              </w:rPr>
            </w:r>
            <w:r>
              <w:rPr>
                <w:color w:val="ff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129"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409"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23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Tại thời điểm khảo sát, CTXD gắn liền với đất là Nhà cấp 4, DTXD khoảng 100m2, nhà xưởng khung sắt lợp tôn DT khoảng 300m2 xât dựng năm 2018</w:t>
              <w:br/>
              <w:t xml:space="preserve">+ Công trình chưa được chứng nhận trên Giấy chứng nhận quyền sử dụng đất quyền sở hữu nhà ở và tài sản khác gắn l</w:t>
            </w:r>
            <w:r>
              <w:rPr>
                <w:rFonts w:ascii="Times New Roman" w:hAnsi="Times New Roman" w:eastAsia="Times New Roman" w:cs="Times New Roman"/>
                <w:color w:val="000000"/>
                <w:sz w:val="24"/>
              </w:rPr>
              <w:t xml:space="preserve">iền với đất số: DĐ 682084.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w:t>
            </w:r>
            <w:r>
              <w:rPr>
                <w:rFonts w:ascii="Times New Roman" w:hAnsi="Times New Roman" w:eastAsia="Times New Roman" w:cs="Times New Roman"/>
                <w:color w:val="000000"/>
                <w:sz w:val="24"/>
              </w:rPr>
              <w:t xml:space="preserve">ưu ý.</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eastAsia="Times New Roman" w:cs="Times New Roman"/>
          <w:color w:val="000000"/>
          <w:sz w:val="24"/>
          <w:szCs w:val="24"/>
        </w:rPr>
      </w:pPr>
      <w:r>
        <w:rPr>
          <w:color w:val="000000"/>
        </w:rPr>
        <w:t xml:space="preserve">T</w:t>
      </w:r>
      <w:r>
        <w:rPr>
          <w:color w:val="000000"/>
        </w:rPr>
        <w:t xml:space="preserve">ại thời điểm thẩm định giá, theo thông tin tại GCN số DĐ 682084 tài sản thẩm định có 77,5m2 đất thuộc HLGT. Theo đề nghị của khách hàng, tổ thẩm định sử dụng kết quả quy hoạch theo GCN nêu trên để xác định giá trị của thửa đất. Kình đề nghị các đơn vị sử d</w:t>
      </w:r>
      <w:r>
        <w:rPr>
          <w:color w:val="000000"/>
        </w:rPr>
        <w:t xml:space="preserve">ụng kết quả lưu ý.</w:t>
      </w:r>
      <w:r>
        <w:rPr>
          <w:rFonts w:ascii="Times New Roman" w:hAnsi="Times New Roman" w:eastAsia="Times New Roman" w:cs="Times New Roman"/>
          <w:color w:val="000000"/>
          <w:sz w:val="24"/>
        </w:rPr>
        <w:t xml:space="preserve"> Theo đề nghị của Ngân hàng/Khách hàng, tổ thẩm định xác định giá trị tài sản theo thông tin quy hoạch nêu trên. Đối với diện tích nằm ngoài quy hoạch tổ thẩm định đánh giá th</w:t>
      </w:r>
      <w:r>
        <w:rPr>
          <w:rFonts w:ascii="Times New Roman" w:hAnsi="Times New Roman" w:eastAsia="Times New Roman" w:cs="Times New Roman"/>
          <w:color w:val="000000"/>
          <w:sz w:val="24"/>
        </w:rPr>
        <w:t xml:space="preserve">eo giá trị thị trường, đối với phần nằm trong quy hoạch tổ thẩm định đánh giá theo giá khung UBND từng thời kỳ, giá trị đền bù thực tế còn phụ thuộc vào thỏa thuận các bên tại thời điểm Nhà nước giải phóng mặt bằng thực hiện quy hoạch. Sơ đồ thửa đất tại m</w:t>
      </w:r>
      <w:r>
        <w:rPr>
          <w:rFonts w:ascii="Times New Roman" w:hAnsi="Times New Roman" w:eastAsia="Times New Roman" w:cs="Times New Roman"/>
          <w:color w:val="000000"/>
          <w:sz w:val="24"/>
        </w:rPr>
        <w:t xml:space="preserve">ục III của Giấy chứng nhận quyền sử dụng đất quyền sở hữu nhà ở và tài sản khác gắn liền với đất số: </w:t>
      </w:r>
      <w:r>
        <w:rPr>
          <w:spacing w:val="-2"/>
          <w:lang w:val="pt-BR"/>
        </w:rPr>
        <w:t xml:space="preserve">DĐ 682084</w:t>
      </w:r>
      <w:r>
        <w:rPr>
          <w:spacing w:val="-2"/>
          <w:lang w:val="pt-BR"/>
        </w:rPr>
        <w:t xml:space="preserve"> </w:t>
      </w:r>
      <w:r>
        <w:rPr>
          <w:rFonts w:ascii="Times New Roman" w:hAnsi="Times New Roman" w:eastAsia="Times New Roman" w:cs="Times New Roman"/>
          <w:color w:val="000000"/>
          <w:sz w:val="24"/>
        </w:rPr>
        <w:t xml:space="preserve">không thể hiện vị trí đất ở và đất trồng cây lâu năm, do vậy, theo nguyên tắc sử dụng tốt nhất và hiệu quả nhất, Tổ thẩm định giả định phần đất ở</w:t>
      </w:r>
      <w:r>
        <w:rPr>
          <w:rFonts w:ascii="Times New Roman" w:hAnsi="Times New Roman" w:eastAsia="Times New Roman" w:cs="Times New Roman"/>
          <w:color w:val="000000"/>
          <w:sz w:val="24"/>
        </w:rPr>
        <w:t xml:space="preserve"> diện tích 77,5m² nằm trong quy hoạch giao thông có mục đích sử dụng là đất trồng cây lâu năm. Đề nghị đơn vị sử dụng kết quả lưu ý kiểm tra xác minh thêm thông tin quy hoạch nếu thấy cần thiết. Trong trường hợp Khách hàng/Ngân hàng cung cấp được Văn bản</w:t>
      </w:r>
      <w:r>
        <w:rPr>
          <w:rFonts w:ascii="Times New Roman" w:hAnsi="Times New Roman" w:eastAsia="Times New Roman" w:cs="Times New Roman"/>
          <w:color w:val="000000"/>
          <w:sz w:val="24"/>
        </w:rPr>
        <w:t xml:space="preserve"> xác nhận rõ phần diện tích thuộc quy hoạch mà có sự sai khác so với số liệu nêu trên thì kết quả thẩm định giá cần được xem xét, điều chỉnh phù hợp, chúng tôi bảo lưu quyền xem xét lại kết quả thẩm định giá.</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eastAsia="Times New Roman" w:cs="Times New Roman"/>
          <w:sz w:val="24"/>
          <w:szCs w:val="24"/>
        </w:rPr>
      </w:pPr>
      <w:r>
        <w:rPr>
          <w:spacing w:val="-2"/>
          <w:highlight w:val="none"/>
          <w:lang w:val="pt-BR" w:bidi="pt-BR"/>
        </w:rPr>
        <w:t xml:space="preserve">Tại thời điểm khảo sát, CTXD gắn liền với đất là Nhà cấp 4, DTXD khoảng 100m2, nhà xưởng khung sắt lợp tôn DT khoảng 300m2 xât dựng năm 2018.</w:t>
      </w:r>
      <w:r>
        <w:rPr>
          <w:spacing w:val="-2"/>
          <w:highlight w:val="none"/>
          <w:lang w:val="pt-BR" w:bidi="pt-BR"/>
        </w:rPr>
        <w:t xml:space="preserve"> Công trình chưa được chứng nhận trên Giấy chứng nhận quyền sử dụng đất quyền sở hữu nhà ở và tài sản khác gắn liền với đất số: DĐ 682084. Do vậy, theo đề nghị của Ngân hàng/Khách hàng, Tổ thẩm định không xác định giá trị của công trình xây dựng vào tổng g</w:t>
      </w:r>
      <w:r>
        <w:rPr>
          <w:spacing w:val="-2"/>
          <w:highlight w:val="none"/>
          <w:lang w:val="pt-BR" w:bidi="pt-BR"/>
        </w:rPr>
        <w:t xml:space="preserve">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nằm ngoài quy hoạch:</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75"/>
        <w:gridCol w:w="1710"/>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75"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Thôn Kim Đái 2, xã Kim Sơn, Thị xã Sơn Tây, Thành phố Hà Nội (Nay là xã Đoài Phương, Thành phố Hà Nội)</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xã Kim Sơn, Thị xã Sơn Tây, Thành phố Hà Nội (Nay là xã Đoài Phương, Thành phố Hà Nội)</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xã Kim Sơn, Thị xã Sơn Tây, Thành phố Hà Nội (Nay là xã Đoài Phương, Thành phố Hà Nội)</w:t>
            </w:r>
            <w:r>
              <w:rPr>
                <w:color w:val="000000" w:themeColor="text1"/>
                <w:sz w:val="22"/>
                <w:szCs w:val="22"/>
                <w14:ligatures w14:val="none"/>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xã Kim Sơn, Thị xã Sơn Tây, Thành phố Hà Nội (Nay là xã Đoài Phương, Thành phố Hà Nội)</w:t>
            </w:r>
            <w:r>
              <w:rPr>
                <w:color w:val="000000" w:themeColor="text1"/>
                <w:sz w:val="22"/>
                <w:szCs w:val="22"/>
                <w14:ligatures w14:val="none"/>
              </w:rPr>
            </w:r>
            <w:r/>
          </w:p>
        </w:tc>
      </w:tr>
      <w:tr>
        <w:trPr>
          <w:trHeight w:val="191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https://www.facebook.com/share/p/1BSaC2UZuY/?mibextid=wwXIfr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https://www.facebook.com/groups/1931508300473887/permalink/4053512431606786/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https://www.facebook.com/groups/1951594225017930/permalink/3311911658986173/</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0364 044 444</w:t>
            </w:r>
            <w:r>
              <w:rPr>
                <w:sz w:val="22"/>
                <w:szCs w:val="22"/>
              </w:rPr>
              <w:t xml:space="preserve"> </w:t>
            </w:r>
            <w:r>
              <w:rPr>
                <w:sz w:val="22"/>
                <w:szCs w:val="22"/>
              </w:rPr>
              <w:br/>
              <w:t xml:space="preserve">(</w:t>
            </w:r>
            <w:r>
              <w:rPr>
                <w:sz w:val="22"/>
                <w:szCs w:val="22"/>
              </w:rPr>
              <w:t xml:space="preserve">C Quỳnh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0988513531</w:t>
            </w:r>
            <w:r>
              <w:rPr>
                <w:sz w:val="22"/>
                <w:szCs w:val="22"/>
              </w:rPr>
              <w:br/>
            </w:r>
            <w:r>
              <w:rPr>
                <w:sz w:val="22"/>
                <w:szCs w:val="22"/>
              </w:rPr>
              <w:t xml:space="preserve">(</w:t>
            </w:r>
            <w:r>
              <w:rPr>
                <w:sz w:val="22"/>
                <w:szCs w:val="22"/>
              </w:rPr>
              <w:t xml:space="preserve">Huyền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0969334788</w:t>
            </w:r>
            <w:r>
              <w:rPr>
                <w:sz w:val="22"/>
                <w:szCs w:val="22"/>
              </w:rPr>
              <w:br/>
            </w:r>
            <w:r>
              <w:rPr>
                <w:sz w:val="22"/>
                <w:szCs w:val="22"/>
              </w:rPr>
              <w:t xml:space="preserve">(</w:t>
            </w:r>
            <w:r>
              <w:rPr>
                <w:sz w:val="22"/>
                <w:szCs w:val="22"/>
              </w:rPr>
              <w:t xml:space="preserve">Nguyễn Phương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105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 (90 m²), Đất trồng cây lâu năm (</w:t>
            </w:r>
            <w:r>
              <w:rPr>
                <w:color w:val="000000" w:themeColor="text1"/>
                <w:sz w:val="22"/>
                <w:szCs w:val="22"/>
                <w:highlight w:val="white"/>
              </w:rPr>
              <w:t xml:space="preserve">158,5 </w:t>
            </w:r>
            <w:r>
              <w:rPr>
                <w:color w:val="000000" w:themeColor="text1"/>
                <w:sz w:val="22"/>
                <w:szCs w:val="22"/>
                <w:highlight w:val="white"/>
              </w:rPr>
              <w:t xml:space="preserve">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t xml:space="preserve">,Đất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t xml:space="preserve">,Đất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t xml:space="preserve">,Đất trồng cây lâu năm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 Thành phố Hà Nội</w:t>
            </w:r>
            <w:r>
              <w:rPr>
                <w:color w:val="000000" w:themeColor="text1"/>
                <w:sz w:val="22"/>
                <w:szCs w:val="22"/>
              </w:rPr>
              <w:t xml:space="preserve">, đường Tiếp giá đường 416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 Thành phố Hà Nội</w:t>
            </w:r>
            <w:r>
              <w:rPr>
                <w:color w:val="000000" w:themeColor="text1"/>
                <w:sz w:val="22"/>
                <w:szCs w:val="22"/>
              </w:rPr>
              <w:t xml:space="preserve">, đường Tiếp giáp đường 416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 Thành phố Hà Nội</w:t>
            </w:r>
            <w:r>
              <w:rPr>
                <w:color w:val="000000" w:themeColor="text1"/>
                <w:sz w:val="22"/>
                <w:szCs w:val="22"/>
              </w:rPr>
              <w:t xml:space="preserve">, đường Tiếp giáp đường 416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 Thành phố Hà Nội</w:t>
            </w:r>
            <w:r>
              <w:rPr>
                <w:color w:val="000000" w:themeColor="text1"/>
                <w:sz w:val="22"/>
                <w:szCs w:val="22"/>
              </w:rPr>
              <w:t xml:space="preserve">, khoảng cách ra đường chính Cách đường DT416 khoảng 600mm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Hạ tầng khu dân cư thông thường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Hạ tầng khu dân cư thông thường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Hạ tầng khu dân cư thông thường</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326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147,7 (QH: 49,4)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37,87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20,34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View khu dân cư</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3.600.000.000</w:t>
            </w: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3.240.000.000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1.602.000.000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3.234.976.020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17.314.702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25.817.845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15.752.212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6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8.550.000.000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3.234.976.020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1.602.000.000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17.314.702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25.817.845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15.752.212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17.314.702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25.817.845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15.752.212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(90 m²), Đất trồng cây lâu năm (158.5 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themeColor="text1"/>
                <w:sz w:val="22"/>
                <w:szCs w:val="22"/>
              </w:rPr>
              <w:t xml:space="preserve">, Đất trồng cây lâu năm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nông thôn</w:t>
            </w:r>
            <w:r>
              <w:rPr>
                <w:color w:val="000000" w:themeColor="text1"/>
                <w:sz w:val="22"/>
                <w:szCs w:val="22"/>
              </w:rPr>
              <w:t xml:space="preserve">, Đất trồng cây lâu năm</w:t>
            </w:r>
            <w:r>
              <w:rPr>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nông thôn</w:t>
            </w:r>
            <w:r>
              <w:rPr>
                <w:color w:val="000000" w:themeColor="text1"/>
                <w:sz w:val="22"/>
                <w:szCs w:val="22"/>
              </w:rPr>
              <w:t xml:space="preserve">, Đất trồng cây lâu năm</w:t>
            </w:r>
            <w:r>
              <w:rPr>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17.314.702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25.817.845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15.752.212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17.314.702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25.817.845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15.752.212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 Thành phố Hà Nội</w:t>
            </w:r>
            <w:r>
              <w:rPr>
                <w:color w:val="000000" w:themeColor="text1"/>
                <w:sz w:val="22"/>
                <w:szCs w:val="22"/>
              </w:rPr>
              <w:t xml:space="preserve">, đường Tiếp giá đường 416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 Thành phố Hà Nội</w:t>
            </w:r>
            <w:r>
              <w:rPr>
                <w:color w:val="000000" w:themeColor="text1"/>
                <w:sz w:val="22"/>
                <w:szCs w:val="22"/>
              </w:rPr>
              <w:t xml:space="preserve">, đường Tiếp giáp đường 416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 Thành phố Hà Nội</w:t>
            </w:r>
            <w:r>
              <w:rPr>
                <w:color w:val="000000" w:themeColor="text1"/>
                <w:sz w:val="22"/>
                <w:szCs w:val="22"/>
              </w:rPr>
              <w:t xml:space="preserve">, đường Tiếp giáp đường 416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Đoài Phương, Thành phố Hà Nội</w:t>
            </w:r>
            <w:r>
              <w:rPr>
                <w:color w:val="000000" w:themeColor="text1"/>
                <w:sz w:val="22"/>
                <w:szCs w:val="22"/>
              </w:rPr>
              <w:t xml:space="preserve">, khoảng cách ra đường chính Cách đường DT416 khoảng 600mm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1.575.221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17.314.702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25.817.845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17.327.433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17.314.702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25.817.845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17.327.433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1.575.221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17.314.702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25.817.845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18.902.654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125,3 (QH: 49,4)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101,7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2.597.205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-4.389.034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-2.677.876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19.911.907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21.428.811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16.224.778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787.611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19.911.907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21.428.811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17.012.389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20,34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-1.290.892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-787.611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19.911.907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20.137.919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16.224.778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-1.212.029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-1.575.221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18.699.878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20.137.919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14.649.557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-519.441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-774.535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18.180.437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19.363.384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14.649.557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18.180.437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16.781.599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14.649.557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16.537.198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-11,41%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4.328.675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9.036.246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8.978.761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865.735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9.036.246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1.102.655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-11,41</w:t>
      </w:r>
      <w:r>
        <w:t xml:space="preserve">% </w:t>
      </w:r>
      <w:r>
        <w:t xml:space="preserve">đến</w:t>
      </w:r>
      <w:r>
        <w:t xml:space="preserve"> </w:t>
      </w:r>
      <w:r>
        <w:t xml:space="preserve"> </w:t>
      </w:r>
      <w:r>
        <w:t xml:space="preserve">9,94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18.180.437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6.061.358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16.781.599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5.593.307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14.649.557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4.882.697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16.537.362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16.500.000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16.500.000</w:t>
      </w:r>
      <w:r>
        <w:rPr>
          <w:b/>
          <w:bCs/>
          <w:color w:val="000000" w:themeColor="text1"/>
        </w:rPr>
        <w:t xml:space="preserve"> </w:t>
      </w:r>
      <w:r>
        <w:rPr>
          <w:b/>
          <w:bCs/>
        </w:rPr>
        <w:t xml:space="preserve">đồng</w:t>
      </w:r>
      <w:r>
        <w:rPr>
          <w:b/>
          <w:bCs/>
        </w:rPr>
        <w:t xml:space="preserve">/m².</w:t>
      </w:r>
      <w:r>
        <w:rPr>
          <w:b/>
          <w:bCs/>
        </w:rPr>
      </w:r>
      <w:r>
        <w:rPr>
          <w:b/>
          <w:bCs/>
        </w:rPr>
      </w:r>
    </w:p>
    <w:p>
      <w:pPr>
        <w:pStyle w:val="1033"/>
        <w:numPr>
          <w:ilvl w:val="0"/>
          <w:numId w:val="41"/>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nằm ngoài quy hoạch:</w:t>
      </w:r>
      <w:r>
        <w:rPr>
          <w:b/>
          <w:lang w:val="pt-BR"/>
        </w:rPr>
      </w:r>
      <w:r>
        <w:rPr>
          <w:b/>
          <w:lang w:val="pt-BR"/>
        </w:rPr>
      </w:r>
    </w:p>
    <w:p>
      <w:pPr>
        <w:pStyle w:val="1033"/>
        <w:pBdr/>
        <w:tabs>
          <w:tab w:val="left" w:leader="none" w:pos="993"/>
        </w:tabs>
        <w:spacing w:after="120" w:before="120" w:line="276" w:lineRule="auto"/>
        <w:ind w:left="0"/>
        <w:jc w:val="both"/>
        <w:rPr>
          <w:lang w:val="pt-BR"/>
          <w14:ligatures w14:val="none"/>
        </w:rPr>
      </w:pPr>
      <w:r>
        <w:rPr>
          <w:lang w:val="pt-BR"/>
        </w:rPr>
        <w:t xml:space="preserve">Căn cứ N</w:t>
      </w:r>
      <w:r>
        <w:rPr>
          <w:lang w:val="pt-BR"/>
        </w:rPr>
        <w:t xml:space="preserve">ghị quyết</w:t>
      </w:r>
      <w:r>
        <w:rPr>
          <w:lang w:val="pt-BR"/>
        </w:rPr>
        <w:t xml:space="preserve"> 52/2025/NQ-HĐND</w:t>
      </w:r>
      <w:r>
        <w:rPr>
          <w:lang w:val="pt-BR"/>
        </w:rPr>
        <w:t xml:space="preserve"> ngày </w:t>
      </w:r>
      <w:r>
        <w:rPr>
          <w:lang w:val="pt-BR"/>
        </w:rPr>
        <w:t xml:space="preserve">26 tháng 11 năm 2025</w:t>
      </w:r>
      <w:r>
        <w:rPr>
          <w:lang w:val="pt-BR"/>
        </w:rPr>
        <w:t xml:space="preserve"> của</w:t>
      </w:r>
      <w:r>
        <w:rPr>
          <w:lang w:val="pt-BR"/>
        </w:rPr>
        <w:t xml:space="preserve"> Hội đồng Nhân dân Thành phố Hà Nội về việc </w:t>
      </w:r>
      <w:r>
        <w:rPr>
          <w:lang w:val="pt-BR"/>
        </w:rPr>
        <w:t xml:space="preserve">quy định về bảng giá đất lần đầu để công bố và áp dụng  từ ngày 01 tháng 01 năm 2026 trên địa bàn thành phố Hà Nội</w:t>
      </w:r>
      <w:r>
        <w:rPr>
          <w:lang w:val="pt-BR"/>
        </w:rPr>
        <w:t xml:space="preserve">, đơn giá đất trồng cây lâu năm tại địa bản </w:t>
      </w:r>
      <w:r>
        <w:rPr>
          <w:lang w:val="pt-BR"/>
        </w:rPr>
        <w:t xml:space="preserve">xã Kim Sơn, Thị xã Sơn Tây, Thành phố Hà Nội (Nay là xã Đoài Phương, Thành phố Hà Nội</w:t>
      </w:r>
      <w:r>
        <w:rPr>
          <w:lang w:val="pt-BR"/>
        </w:rPr>
        <w:t xml:space="preserve">) nằm trong HLGT là 113.000 đồng/m2.</w:t>
      </w:r>
      <w:r>
        <w:rPr>
          <w:lang w:val="pt-BR"/>
        </w:rPr>
      </w:r>
      <w:r>
        <w:rPr>
          <w:lang w:val="pt-BR"/>
          <w14:ligatures w14:val="none"/>
        </w:rPr>
      </w:r>
    </w:p>
    <w:p>
      <w:pPr>
        <w:pStyle w:val="1033"/>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53"/>
        <w:gridCol w:w="3260"/>
        <w:gridCol w:w="1843"/>
        <w:gridCol w:w="1984"/>
        <w:gridCol w:w="1985"/>
      </w:tblGrid>
      <w:tr>
        <w:trPr>
          <w:trHeight w:val="20"/>
        </w:trPr>
        <w:tc>
          <w:tcPr>
            <w:shd w:val="clear" w:color="000000" w:fill="ffffff"/>
            <w:tcBorders/>
            <w:tcW w:w="453"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26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984"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401"/>
        </w:trPr>
        <w:tc>
          <w:tcPr>
            <w:shd w:val="clear" w:color="000000" w:fill="ffffff"/>
            <w:tcBorders/>
            <w:tcW w:w="453"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087"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270, tờ bản đồ số 44 có địa chỉ: Thôn Kim Đái 2, xã Kim Sơn, Thị xã Sơn Tây, Thành phố Hà Nội (Nay là xã Đoài Phương, Thành phố Hà Nội) theo Giấy chứ</w:t>
            </w:r>
            <w:r>
              <w:rPr>
                <w:color w:val="000000"/>
              </w:rPr>
              <w:t xml:space="preserve">ng nhận quyền sử dụng đất quyền sở hữu nhà ở và tài sản khác gắn liền với đất số: DĐ 682084, số vào sổ cấp GCN số: CS-ST 20009 do Sở Tài nguyên và Môi trường Thành phố Hà Nội cấp ngày 16/02/2022; Chủ sử dụng đất là Ông Khuất Duy Long và bà Nguyễn Thị Ngoan</w:t>
            </w:r>
            <w:r>
              <w:rPr>
                <w:b/>
                <w:bCs/>
              </w:rPr>
              <w:t xml:space="preserve">.</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415"/>
        </w:trPr>
        <w:tc>
          <w:tcPr>
            <w:shd w:val="clear" w:color="000000" w:fill="ffffff"/>
            <w:tcBorders/>
            <w:tcW w:w="453"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260" w:type="dxa"/>
            <w:vAlign w:val="center"/>
            <w:textDirection w:val="lrTb"/>
            <w:noWrap w:val="false"/>
          </w:tcPr>
          <w:p>
            <w:pPr>
              <w:pBdr/>
              <w:spacing w:after="40" w:before="40" w:line="288" w:lineRule="auto"/>
              <w:ind/>
              <w:rPr>
                <w:b w:val="0"/>
                <w:bCs w:val="0"/>
              </w:rPr>
            </w:pPr>
            <w:r>
              <w:rPr>
                <w:b w:val="0"/>
                <w:bCs w:val="0"/>
              </w:rPr>
            </w:r>
            <w:r>
              <w:rPr>
                <w:b w:val="0"/>
                <w:bCs w:val="0"/>
              </w:rPr>
              <w:t xml:space="preserve">Quyền sử dụng đất nằm ngoài quy hoạch (đất ONT: 90m2, đất CLN: 158,5m2)</w:t>
            </w:r>
            <w:r>
              <w:rPr>
                <w:b w:val="0"/>
                <w:bCs w:val="0"/>
              </w:rPr>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248,5</w:t>
            </w:r>
            <w:r>
              <w:rPr>
                <w:color w:val="000000"/>
              </w:rPr>
            </w:r>
            <w:r>
              <w:rPr>
                <w:color w:val="000000"/>
              </w:rPr>
            </w:r>
          </w:p>
        </w:tc>
        <w:tc>
          <w:tcPr>
            <w:shd w:val="clear" w:color="000000" w:fill="ffffff"/>
            <w:tcBorders/>
            <w:tcW w:w="1984" w:type="dxa"/>
            <w:vAlign w:val="center"/>
            <w:textDirection w:val="lrTb"/>
            <w:noWrap w:val="false"/>
          </w:tcPr>
          <w:p>
            <w:pPr>
              <w:pBdr/>
              <w:spacing w:after="40" w:before="40" w:line="288" w:lineRule="auto"/>
              <w:ind/>
              <w:jc w:val="center"/>
              <w:rPr/>
            </w:pPr>
            <w:r>
              <w:rPr>
                <w:color w:val="000000" w:themeColor="text1"/>
              </w:rPr>
              <w:t xml:space="preserve">16.500.000</w:t>
            </w:r>
            <w:r/>
          </w:p>
        </w:tc>
        <w:tc>
          <w:tcPr>
            <w:shd w:val="clear" w:color="000000" w:fill="ffffff"/>
            <w:tcBorders/>
            <w:tcW w:w="1985" w:type="dxa"/>
            <w:vAlign w:val="center"/>
            <w:textDirection w:val="lrTb"/>
            <w:noWrap w:val="false"/>
          </w:tcPr>
          <w:p>
            <w:pPr>
              <w:pBdr/>
              <w:spacing w:after="40" w:before="40" w:line="288" w:lineRule="auto"/>
              <w:ind/>
              <w:jc w:val="right"/>
              <w:rPr>
                <w:b/>
                <w:bCs/>
                <w:color w:val="000000"/>
              </w:rPr>
            </w:pPr>
            <w:r>
              <w:t xml:space="preserve">4.100.250.000</w:t>
            </w:r>
            <w:r>
              <w:rPr>
                <w:b/>
                <w:bCs/>
                <w:color w:val="000000"/>
              </w:rPr>
            </w:r>
            <w:r>
              <w:rPr>
                <w:b/>
                <w:bCs/>
                <w:color w:val="000000"/>
              </w:rPr>
            </w:r>
          </w:p>
        </w:tc>
      </w:tr>
      <w:tr>
        <w:trPr>
          <w:trHeight w:val="20"/>
        </w:trPr>
        <w:tc>
          <w:tcPr>
            <w:shd w:val="clear" w:color="000000" w:fill="ffffff"/>
            <w:tcBorders/>
            <w:tcW w:w="453"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3260" w:type="dxa"/>
            <w:vAlign w:val="center"/>
            <w:textDirection w:val="lrTb"/>
            <w:noWrap w:val="false"/>
          </w:tcPr>
          <w:p>
            <w:pPr>
              <w:pBdr/>
              <w:spacing w:after="40" w:before="40" w:line="288" w:lineRule="auto"/>
              <w:ind/>
              <w:rPr>
                <w:b w:val="0"/>
                <w:bCs w:val="0"/>
              </w:rPr>
            </w:pPr>
            <w:r>
              <w:rPr>
                <w:b w:val="0"/>
                <w:bCs w:val="0"/>
              </w:rPr>
              <w:t xml:space="preserve">Quyền sử dụng đất nằm trong quy hoạch</w:t>
            </w:r>
            <w:r>
              <w:rPr>
                <w:b w:val="0"/>
                <w:bCs w:val="0"/>
              </w:rPr>
              <w:t xml:space="preserve"> (đất CLN: 77,5m2)</w:t>
            </w:r>
            <w:r>
              <w:rPr>
                <w:b w:val="0"/>
                <w:bCs w:val="0"/>
              </w:rPr>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77,5</w:t>
            </w:r>
            <w:r>
              <w:rPr>
                <w:color w:val="000000"/>
              </w:rPr>
            </w:r>
            <w:r>
              <w:rPr>
                <w:color w:val="000000"/>
              </w:rPr>
            </w:r>
          </w:p>
        </w:tc>
        <w:tc>
          <w:tcPr>
            <w:shd w:val="clear" w:color="000000" w:fill="ffffff"/>
            <w:tcBorders/>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113.000 </w:t>
            </w:r>
            <w:r/>
          </w:p>
        </w:tc>
        <w:tc>
          <w:tcPr>
            <w:shd w:val="clear" w:color="000000" w:fill="ffffff"/>
            <w:tcBorders/>
            <w:tcW w:w="1985" w:type="dxa"/>
            <w:vAlign w:val="center"/>
            <w:textDirection w:val="lrTb"/>
            <w:noWrap w:val="false"/>
          </w:tcPr>
          <w:p>
            <w:pPr>
              <w:pBdr/>
              <w:spacing w:after="40" w:before="40" w:line="288" w:lineRule="auto"/>
              <w:ind/>
              <w:jc w:val="right"/>
              <w:rPr>
                <w14:ligatures w14:val="none"/>
              </w:rPr>
            </w:pPr>
            <w:r>
              <w:t xml:space="preserve">8.757.500</w:t>
            </w:r>
            <w:r>
              <w:rPr>
                <w14:ligatures w14:val="none"/>
              </w:rPr>
            </w:r>
            <w:r>
              <w:rPr>
                <w14:ligatures w14:val="none"/>
              </w:rP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85"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4.109.007.500</w:t>
            </w: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85" w:type="dxa"/>
            <w:vAlign w:val="center"/>
            <w:textDirection w:val="lrTb"/>
            <w:noWrap/>
          </w:tcPr>
          <w:p>
            <w:pPr>
              <w:pBdr/>
              <w:spacing w:after="40" w:before="40" w:line="288" w:lineRule="auto"/>
              <w:ind/>
              <w:jc w:val="right"/>
              <w:rPr>
                <w:b/>
                <w:bCs/>
                <w:color w:val="000000"/>
              </w:rPr>
            </w:pPr>
            <w:r>
              <w:rPr>
                <w:b/>
                <w:bCs/>
                <w:color w:val="000000"/>
              </w:rPr>
              <w:t xml:space="preserve">4.109.000.000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Bốn tỷ một trăm linh chín triệu đồng ./.)</w:t>
            </w: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eastAsia="Times New Roman" w:cs="Times New Roman"/>
          <w:color w:val="000000"/>
          <w:sz w:val="24"/>
          <w:szCs w:val="24"/>
        </w:rPr>
      </w:pPr>
      <w:r>
        <w:rPr>
          <w:color w:val="000000"/>
        </w:rPr>
        <w:t xml:space="preserve">T</w:t>
      </w:r>
      <w:r>
        <w:rPr>
          <w:color w:val="000000"/>
        </w:rPr>
        <w:t xml:space="preserve">ại thời điểm thẩm định giá, theo thông tin tại GCN số DĐ 682084 tài sản thẩm định có 77,5m2 đất thuộc HLGT. Theo đề nghị của khách hàng, tổ thẩm định sử dụng kết quả quy hoạch theo GCN nêu trên để xác định giá trị của thửa đất. Kình đề nghị các đơn vị sử d</w:t>
      </w:r>
      <w:r>
        <w:rPr>
          <w:color w:val="000000"/>
        </w:rPr>
        <w:t xml:space="preserve">ụng kết quả lưu ý.</w:t>
      </w:r>
      <w:r>
        <w:rPr>
          <w:rFonts w:ascii="Times New Roman" w:hAnsi="Times New Roman" w:eastAsia="Times New Roman" w:cs="Times New Roman"/>
          <w:color w:val="000000"/>
          <w:sz w:val="24"/>
        </w:rPr>
        <w:t xml:space="preserve"> Theo đề nghị của Ngân hàng/Khách hàng, tổ thẩm định xác định giá trị tài sản theo thông tin quy hoạch nêu trên. Đối với diện tích nằm ngoài quy hoạch tổ thẩm định đánh giá th</w:t>
      </w:r>
      <w:r>
        <w:rPr>
          <w:rFonts w:ascii="Times New Roman" w:hAnsi="Times New Roman" w:eastAsia="Times New Roman" w:cs="Times New Roman"/>
          <w:color w:val="000000"/>
          <w:sz w:val="24"/>
        </w:rPr>
        <w:t xml:space="preserve">eo giá trị thị trường, đối với phần nằm trong quy hoạch tổ thẩm định đánh giá theo giá khung UBND từng thời kỳ, giá trị đền bù thực tế còn phụ thuộc vào thỏa thuận các bên tại thời điểm Nhà nước giải phóng mặt bằng thực hiện quy hoạch. Sơ đồ thửa đất tại m</w:t>
      </w:r>
      <w:r>
        <w:rPr>
          <w:rFonts w:ascii="Times New Roman" w:hAnsi="Times New Roman" w:eastAsia="Times New Roman" w:cs="Times New Roman"/>
          <w:color w:val="000000"/>
          <w:sz w:val="24"/>
        </w:rPr>
        <w:t xml:space="preserve">ục III của Giấy chứng nhận quyền sử dụng đất quyền sở hữu nhà ở và tài sản khác gắn liền với đất số: </w:t>
      </w:r>
      <w:r>
        <w:rPr>
          <w:spacing w:val="-2"/>
          <w:lang w:val="pt-BR"/>
        </w:rPr>
        <w:t xml:space="preserve">DĐ 682084</w:t>
      </w:r>
      <w:r>
        <w:rPr>
          <w:spacing w:val="-2"/>
          <w:lang w:val="pt-BR"/>
        </w:rPr>
        <w:t xml:space="preserve"> </w:t>
      </w:r>
      <w:r>
        <w:rPr>
          <w:rFonts w:ascii="Times New Roman" w:hAnsi="Times New Roman" w:eastAsia="Times New Roman" w:cs="Times New Roman"/>
          <w:color w:val="000000"/>
          <w:sz w:val="24"/>
        </w:rPr>
        <w:t xml:space="preserve">không thể hiện vị trí đất ở và đất trồng cây lâu năm, do vậy, theo nguyên tắc sử dụng tốt nhất và hiệu quả nhất, Tổ thẩm định giả định phần đất ở</w:t>
      </w:r>
      <w:r>
        <w:rPr>
          <w:rFonts w:ascii="Times New Roman" w:hAnsi="Times New Roman" w:eastAsia="Times New Roman" w:cs="Times New Roman"/>
          <w:color w:val="000000"/>
          <w:sz w:val="24"/>
        </w:rPr>
        <w:t xml:space="preserve"> diện tích 77,5m² nằm trong quy hoạch giao thông có mục đích sử dụng là đất trồng cây lâu năm. Đề nghị đơn vị sử dụng kết quả lưu ý kiểm tra xác minh thêm thông tin quy hoạch nếu thấy cần thiết. Trong trường hợp Khách hàng/Ngân hàng cung cấp được Văn bản</w:t>
      </w:r>
      <w:r>
        <w:rPr>
          <w:rFonts w:ascii="Times New Roman" w:hAnsi="Times New Roman" w:eastAsia="Times New Roman" w:cs="Times New Roman"/>
          <w:color w:val="000000"/>
          <w:sz w:val="24"/>
        </w:rPr>
        <w:t xml:space="preserve"> xác nhận rõ phần diện tích thuộc quy hoạch mà có sự sai khác so với số liệu nêu trên thì kết quả thẩm định giá cần được xem xét, điều chỉnh phù hợp, chúng tôi bảo lưu quyền xem xét lại kết quả thẩm định giá.</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eastAsia="Times New Roman" w:cs="Times New Roman"/>
          <w:sz w:val="24"/>
          <w:szCs w:val="24"/>
        </w:rPr>
      </w:pPr>
      <w:r>
        <w:rPr>
          <w:spacing w:val="-2"/>
          <w:highlight w:val="none"/>
          <w:lang w:val="pt-BR" w:bidi="pt-BR"/>
        </w:rPr>
        <w:t xml:space="preserve">Tại thời điểm khảo sát, CTXD gắn liền với đất là Nhà cấp 4, DTXD khoảng 100m2, nhà xưởng khung sắt lợp tôn DT khoảng 300m2 xât dựng năm 2018.</w:t>
      </w:r>
      <w:r>
        <w:rPr>
          <w:spacing w:val="-2"/>
          <w:highlight w:val="none"/>
          <w:lang w:val="pt-BR" w:bidi="pt-BR"/>
        </w:rPr>
        <w:t xml:space="preserve"> Công trình chưa được chứng nhận trên Giấy chứng nhận quyền sử dụng đất quyền sở hữu nhà ở và tài sản khác gắn liền với đất số: DĐ 682084. Do vậy, theo đề nghị của Ngân hàng/Khách hàng, Tổ thẩm định không xác định giá trị của công trình xây dựng vào tổng g</w:t>
      </w:r>
      <w:r>
        <w:rPr>
          <w:spacing w:val="-2"/>
          <w:highlight w:val="none"/>
          <w:lang w:val="pt-BR" w:bidi="pt-BR"/>
        </w:rPr>
        <w:t xml:space="preserve">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3"/>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275/2026/0214/VFI-CT.39.A</w:t>
      </w:r>
      <w:r>
        <w:rPr>
          <w:color w:val="ff0000"/>
          <w:lang w:val="vi-VN"/>
        </w:rPr>
        <w:t xml:space="preserve"> </w:t>
      </w:r>
      <w:r>
        <w:rPr>
          <w:color w:val="000000" w:themeColor="text1"/>
        </w:rPr>
        <w:t xml:space="preserve">ngày 26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3"/>
        <w:pBdr/>
        <w:tabs>
          <w:tab w:val="left" w:leader="none" w:pos="993"/>
        </w:tabs>
        <w:spacing w:after="120" w:before="120" w:line="288" w:lineRule="auto"/>
        <w:ind w:left="0"/>
        <w:jc w:val="both"/>
        <w:rPr>
          <w:lang w:val="vi-VN"/>
        </w:rPr>
      </w:pPr>
      <w:r>
        <w:rPr>
          <w:lang w:val="vi-VN"/>
        </w:rPr>
      </w:r>
      <w:r>
        <w:rPr>
          <w:lang w:val="vi-VN"/>
        </w:rPr>
      </w:r>
      <w:r>
        <w:rPr>
          <w:lang w:val="vi-VN"/>
        </w:rPr>
      </w:r>
    </w:p>
    <w:p>
      <w:pPr>
        <w:pStyle w:val="1033"/>
        <w:pBdr/>
        <w:tabs>
          <w:tab w:val="left" w:leader="none" w:pos="993"/>
        </w:tabs>
        <w:spacing w:after="120" w:before="120" w:line="288" w:lineRule="auto"/>
        <w:ind w:left="0"/>
        <w:jc w:val="both"/>
        <w:rPr>
          <w:lang w:val="vi-VN"/>
        </w:rPr>
      </w:pPr>
      <w:r>
        <w:rPr>
          <w:lang w:val="vi-VN"/>
        </w:rPr>
      </w:r>
      <w:r>
        <w:rPr>
          <w:lang w:val="vi-VN"/>
        </w:rPr>
      </w:r>
      <w:r>
        <w:rPr>
          <w:lang w:val="vi-VN"/>
        </w:rPr>
      </w:r>
    </w:p>
    <w:p>
      <w:pPr>
        <w:pStyle w:val="1033"/>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275/2026/0215/VFI-BC.39.A</w:t>
      </w:r>
      <w:r>
        <w:rPr>
          <w:i/>
          <w:lang w:val="pt-BR"/>
        </w:rPr>
        <w:t xml:space="preserve"> </w:t>
      </w:r>
      <w:r>
        <w:rPr>
          <w:i/>
          <w:lang w:val="pt-BR"/>
        </w:rPr>
        <w:t xml:space="preserve">ngày 27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2058" cy="198904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967679" name=""/>
                              <pic:cNvPicPr>
                                <a:picLocks noChangeAspect="1"/>
                              </pic:cNvPicPr>
                              <pic:nvPr/>
                            </pic:nvPicPr>
                            <pic:blipFill rotWithShape="1">
                              <a:blip r:embed="rId21"/>
                              <a:stretch/>
                            </pic:blipFill>
                            <pic:spPr bwMode="auto">
                              <a:xfrm flipH="0" flipV="0">
                                <a:off x="0" y="0"/>
                                <a:ext cx="2652058" cy="19890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8.82pt;height:156.6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69019" cy="200176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023210" name=""/>
                              <pic:cNvPicPr>
                                <a:picLocks noChangeAspect="1"/>
                              </pic:cNvPicPr>
                              <pic:nvPr/>
                            </pic:nvPicPr>
                            <pic:blipFill rotWithShape="1">
                              <a:blip r:embed="rId23"/>
                              <a:stretch/>
                            </pic:blipFill>
                            <pic:spPr bwMode="auto">
                              <a:xfrm flipH="0" flipV="0">
                                <a:off x="0" y="0"/>
                                <a:ext cx="2669019" cy="20017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0.16pt;height:157.6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275/2026/0215/VFI-BC.39.A</w:t>
      </w:r>
      <w:r>
        <w:rPr>
          <w:i/>
          <w:lang w:val="pt-BR"/>
        </w:rPr>
        <w:t xml:space="preserve"> </w:t>
      </w:r>
      <w:r>
        <w:rPr>
          <w:i/>
          <w:lang w:val="pt-BR"/>
        </w:rPr>
        <w:t xml:space="preserve">ngày 27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https://www.facebook.com/share/p/1BSaC2UZuY/?mibextid=wwXIfr</w:t>
            </w:r>
            <w:r>
              <w:rPr>
                <w:color w:val="000000" w:themeColor="text1"/>
                <w:sz w:val="22"/>
                <w:szCs w:val="22"/>
              </w:rPr>
              <w:br/>
              <w:t xml:space="preserve">0364 044 444</w:t>
            </w:r>
            <w:r>
              <w:rPr>
                <w:sz w:val="22"/>
                <w:szCs w:val="22"/>
              </w:rPr>
              <w:t xml:space="preserve"> </w:t>
            </w:r>
            <w:r>
              <w:rPr>
                <w:sz w:val="22"/>
                <w:szCs w:val="22"/>
              </w:rPr>
              <w:br/>
              <w:t xml:space="preserve">(Chị Quỳnh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(150 m²), Đất trồng cây lâu năm (343,8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Kim Sơn, Thị xã Sơn Tây, Thành phố Hà Nội, đường Tiếp giáp đường 416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43072"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5430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6.46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mc:AlternateContent>
                <mc:Choice Requires="wpg">
                  <w:drawing>
                    <wp:inline xmlns:wp="http://schemas.openxmlformats.org/drawingml/2006/wordprocessingDrawing" distT="0" distB="0" distL="0" distR="0">
                      <wp:extent cx="521005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489161254" name="" descr=""/>
                              <pic:cNvPicPr/>
                              <pic:nvPr/>
                            </pic:nvPicPr>
                            <pic:blipFill rotWithShape="1">
                              <a:blip r:embed="rId25"/>
                              <a:stretch/>
                            </pic:blipFill>
                            <pic:spPr bwMode="auto">
                              <a:xfrm>
                                <a:off x="0" y="0"/>
                                <a:ext cx="52100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10.24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https://www.facebook.com/groups/1931508300473887/permalink/4053512431606786/</w:t>
            </w:r>
            <w:r>
              <w:rPr>
                <w:color w:val="000000" w:themeColor="text1"/>
                <w:sz w:val="22"/>
                <w:szCs w:val="22"/>
              </w:rPr>
              <w:br/>
              <w:t xml:space="preserve">0988513531</w:t>
            </w:r>
            <w:r>
              <w:rPr>
                <w:sz w:val="22"/>
                <w:szCs w:val="22"/>
              </w:rPr>
              <w:t xml:space="preserve"> </w:t>
            </w:r>
            <w:r>
              <w:rPr>
                <w:sz w:val="22"/>
                <w:szCs w:val="22"/>
              </w:rPr>
              <w:br/>
              <w:t xml:space="preserve">(Huyền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3.240.000.000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(100 m²), Đất trồng cây lâu năm (25,3 m², QH: 49,4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Kim Sơn, Thị xã Sơn Tây, Thành phố Hà Nội, đường Tiếp giáp đường 416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mc:AlternateContent>
                <mc:Choice Requires="wpg">
                  <w:drawing>
                    <wp:inline xmlns:wp="http://schemas.openxmlformats.org/drawingml/2006/wordprocessingDrawing" distT="0" distB="0" distL="0" distR="0">
                      <wp:extent cx="1625940" cy="2255639"/>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875394" name=""/>
                              <pic:cNvPicPr>
                                <a:picLocks noChangeAspect="1"/>
                              </pic:cNvPicPr>
                              <pic:nvPr/>
                            </pic:nvPicPr>
                            <pic:blipFill rotWithShape="1">
                              <a:blip r:embed="rId28"/>
                              <a:stretch/>
                            </pic:blipFill>
                            <pic:spPr bwMode="auto">
                              <a:xfrm flipH="0" flipV="0">
                                <a:off x="0" y="0"/>
                                <a:ext cx="1625940" cy="22556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28.03pt;height:177.6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mc:AlternateContent>
                <mc:Choice Requires="wpg">
                  <w:drawing>
                    <wp:inline xmlns:wp="http://schemas.openxmlformats.org/drawingml/2006/wordprocessingDrawing" distT="0" distB="0" distL="0" distR="0">
                      <wp:extent cx="3419815" cy="2066299"/>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7786" name=""/>
                              <pic:cNvPicPr>
                                <a:picLocks noChangeAspect="1"/>
                              </pic:cNvPicPr>
                              <pic:nvPr/>
                            </pic:nvPicPr>
                            <pic:blipFill rotWithShape="1">
                              <a:blip r:embed="rId29"/>
                              <a:stretch/>
                            </pic:blipFill>
                            <pic:spPr bwMode="auto">
                              <a:xfrm rot="0" flipH="0" flipV="0">
                                <a:off x="0" y="0"/>
                                <a:ext cx="3419814" cy="20662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69.28pt;height:162.70pt;mso-wrap-distance-left:0.00pt;mso-wrap-distance-top:0.00pt;mso-wrap-distance-right:0.00pt;mso-wrap-distance-bottom:0.00pt;rotation:0;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https://www.facebook.com/groups/1951594225017930/permalink/3311911658986173/</w:t>
            </w:r>
            <w:r>
              <w:rPr>
                <w:color w:val="000000" w:themeColor="text1"/>
                <w:sz w:val="22"/>
                <w:szCs w:val="22"/>
              </w:rPr>
              <w:br/>
            </w:r>
            <w:r>
              <w:rPr>
                <w:sz w:val="22"/>
                <w:szCs w:val="22"/>
              </w:rPr>
              <w:t xml:space="preserve">SĐT: </w:t>
            </w:r>
            <w:r>
              <w:rPr>
                <w:color w:val="000000" w:themeColor="text1"/>
                <w:sz w:val="22"/>
                <w:szCs w:val="22"/>
              </w:rPr>
              <w:t xml:space="preserve">0969334788</w:t>
            </w:r>
            <w:r>
              <w:rPr>
                <w:sz w:val="22"/>
                <w:szCs w:val="22"/>
              </w:rPr>
              <w:t xml:space="preserve"> </w:t>
            </w:r>
            <w:r>
              <w:rPr>
                <w:sz w:val="22"/>
                <w:szCs w:val="22"/>
              </w:rPr>
              <w:br/>
              <w:t xml:space="preserve">(Nguyễn Phương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(35 m²), Đất ở nông thôn (66,7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ở nông thôn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Kim Sơn, Thị xã Sơn Tây, Thành phố Hà Nội, khoảng cách ra đường chính Cách đường DT416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101,7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78465" cy="1956883"/>
                      <wp:effectExtent l="0" t="0" r="0" b="0"/>
                      <wp:docPr id="18" name=""/>
                      <wp:cNvGraphicFramePr/>
                      <a:graphic xmlns:a="http://schemas.openxmlformats.org/drawingml/2006/main">
                        <a:graphicData uri="http://schemas.openxmlformats.org/drawingml/2006/picture">
                          <pic:pic xmlns:pic="http://schemas.openxmlformats.org/drawingml/2006/picture">
                            <pic:nvPicPr>
                              <pic:cNvPr id="21013129" name="" descr=""/>
                              <pic:cNvPicPr/>
                              <pic:nvPr/>
                            </pic:nvPicPr>
                            <pic:blipFill rotWithShape="1">
                              <a:blip r:embed="rId30"/>
                              <a:stretch/>
                            </pic:blipFill>
                            <pic:spPr bwMode="auto">
                              <a:xfrm flipH="0" flipV="0">
                                <a:off x="0" y="0"/>
                                <a:ext cx="2778464" cy="195688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8.78pt;height:154.09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89568" cy="1431385"/>
                      <wp:effectExtent l="0" t="0" r="0" b="0"/>
                      <wp:docPr id="19" name=""/>
                      <wp:cNvGraphicFramePr/>
                      <a:graphic xmlns:a="http://schemas.openxmlformats.org/drawingml/2006/main">
                        <a:graphicData uri="http://schemas.openxmlformats.org/drawingml/2006/picture">
                          <pic:pic xmlns:pic="http://schemas.openxmlformats.org/drawingml/2006/picture">
                            <pic:nvPicPr>
                              <pic:cNvPr id="548811140" name="" descr=""/>
                              <pic:cNvPicPr/>
                              <pic:nvPr/>
                            </pic:nvPicPr>
                            <pic:blipFill rotWithShape="1">
                              <a:blip r:embed="rId31"/>
                              <a:stretch/>
                            </pic:blipFill>
                            <pic:spPr bwMode="auto">
                              <a:xfrm rot="0" flipH="0" flipV="0">
                                <a:off x="0" y="0"/>
                                <a:ext cx="2689568" cy="1431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1.78pt;height:112.71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2.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2.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Đinh Thị Lan Hương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rPr>
          <w:lang w:val="pt-BR"/>
        </w:rPr>
      </w:pPr>
      <w:r>
        <w:rPr>
          <w:iCs/>
          <w:highlight w:val="none"/>
          <w:lang w:val="pt-BR"/>
        </w:rPr>
      </w:r>
      <w:r>
        <w:rPr>
          <w:lang w:val="pt-BR"/>
        </w:rPr>
      </w:r>
      <w:r>
        <w:rPr>
          <w:lang w:val="pt-BR"/>
        </w:rPr>
      </w:r>
    </w:p>
    <w:p>
      <w:pPr>
        <w:pBdr/>
        <w:spacing w:after="200" w:line="276" w:lineRule="auto"/>
        <w:ind/>
        <w:rPr>
          <w:iCs/>
          <w:highlight w:val="none"/>
          <w:lang w:val="pt-BR"/>
        </w:rPr>
      </w:pPr>
      <w:r>
        <w:rPr>
          <w:iCs/>
          <w:lang w:val="pt-BR"/>
        </w:rPr>
        <mc:AlternateContent>
          <mc:Choice Requires="wpg">
            <w:drawing>
              <wp:inline xmlns:wp="http://schemas.openxmlformats.org/drawingml/2006/wordprocessingDrawing" distT="0" distB="0" distL="0" distR="0">
                <wp:extent cx="6048375" cy="838901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01710" name=""/>
                        <pic:cNvPicPr>
                          <a:picLocks noChangeAspect="1"/>
                        </pic:cNvPicPr>
                        <pic:nvPr/>
                      </pic:nvPicPr>
                      <pic:blipFill rotWithShape="1">
                        <a:blip r:embed="rId34"/>
                        <a:stretch/>
                      </pic:blipFill>
                      <pic:spPr bwMode="auto">
                        <a:xfrm>
                          <a:off x="0" y="0"/>
                          <a:ext cx="6048374" cy="83890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60.55pt;mso-wrap-distance-left:0.00pt;mso-wrap-distance-top:0.00pt;mso-wrap-distance-right:0.00pt;mso-wrap-distance-bottom:0.00pt;z-index:1;" stroked="false">
                <v:imagedata r:id="rId34" o:title=""/>
                <o:lock v:ext="edit" rotation="t"/>
              </v:shape>
            </w:pict>
          </mc:Fallback>
        </mc:AlternateContent>
      </w:r>
      <w:r>
        <w:rPr>
          <w:iCs/>
          <w:highlight w:val="none"/>
          <w:lang w:val="pt-BR"/>
        </w:rPr>
      </w:r>
      <w:r>
        <w:rPr>
          <w:iCs/>
          <w:highlight w:val="none"/>
          <w:lang w:val="pt-BR"/>
        </w:rPr>
      </w:r>
    </w:p>
    <w:p>
      <w:pPr>
        <w:pBdr/>
        <w:spacing/>
        <w:ind/>
        <w:rPr/>
      </w:pPr>
      <w:r>
        <mc:AlternateContent>
          <mc:Choice Requires="wpg">
            <w:drawing>
              <wp:inline xmlns:wp="http://schemas.openxmlformats.org/drawingml/2006/wordprocessingDrawing" distT="0" distB="0" distL="0" distR="0">
                <wp:extent cx="8457660" cy="634324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25735" name=""/>
                        <pic:cNvPicPr>
                          <a:picLocks noChangeAspect="1"/>
                        </pic:cNvPicPr>
                        <pic:nvPr/>
                      </pic:nvPicPr>
                      <pic:blipFill rotWithShape="1">
                        <a:blip r:embed="rId35"/>
                        <a:stretch/>
                      </pic:blipFill>
                      <pic:spPr bwMode="auto">
                        <a:xfrm rot="16199969" flipH="0" flipV="0">
                          <a:off x="0" y="0"/>
                          <a:ext cx="8457660" cy="63432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665.96pt;height:499.47pt;mso-wrap-distance-left:0.00pt;mso-wrap-distance-top:0.00pt;mso-wrap-distance-right:0.00pt;mso-wrap-distance-bottom:0.00pt;rotation:269;z-index:1;" stroked="false">
                <v:imagedata r:id="rId35" o:title=""/>
                <o:lock v:ext="edit" rotation="t"/>
              </v:shape>
            </w:pict>
          </mc:Fallback>
        </mc:AlternateContent>
      </w:r>
      <w:r/>
    </w:p>
    <w:p>
      <w:pPr>
        <w:pBdr/>
        <w:spacing/>
        <w:ind/>
        <w:rPr/>
      </w:pPr>
      <w:r/>
      <w:r/>
    </w:p>
    <w:p>
      <w:pPr>
        <w:pBdr/>
        <w:spacing/>
        <w:ind/>
        <w:rPr/>
      </w:pPr>
      <w:r/>
      <w:r/>
    </w:p>
    <w:p>
      <w:pPr>
        <w:pBdr/>
        <w:tabs>
          <w:tab w:val="left" w:leader="none" w:pos="2401"/>
        </w:tabs>
        <w:spacing/>
        <w:ind/>
        <w:rPr/>
      </w:pPr>
      <w:r/>
      <w:r/>
    </w:p>
    <w:p>
      <w:pPr>
        <w:pBdr/>
        <w:tabs>
          <w:tab w:val="left" w:leader="none" w:pos="2401"/>
        </w:tabs>
        <w:spacing/>
        <w:ind/>
        <w:rPr/>
      </w:pPr>
      <w:r/>
      <w:r/>
    </w:p>
    <w:p>
      <w:pPr>
        <w:pBdr/>
        <w:tabs>
          <w:tab w:val="left" w:leader="none" w:pos="2401"/>
        </w:tabs>
        <w:spacing/>
        <w:ind/>
        <w:rPr/>
      </w:pPr>
      <w:r>
        <mc:AlternateContent>
          <mc:Choice Requires="wpg">
            <w:drawing>
              <wp:inline xmlns:wp="http://schemas.openxmlformats.org/drawingml/2006/wordprocessingDrawing" distT="0" distB="0" distL="0" distR="0">
                <wp:extent cx="6048375" cy="4536281"/>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301515" name=""/>
                        <pic:cNvPicPr>
                          <a:picLocks noChangeAspect="1"/>
                        </pic:cNvPicPr>
                        <pic:nvPr/>
                      </pic:nvPicPr>
                      <pic:blipFill rotWithShape="1">
                        <a:blip r:embed="rId36"/>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357.19pt;mso-wrap-distance-left:0.00pt;mso-wrap-distance-top:0.00pt;mso-wrap-distance-right:0.00pt;mso-wrap-distance-bottom:0.00pt;z-index:1;" stroked="false">
                <v:imagedata r:id="rId36" o:title=""/>
                <o:lock v:ext="edit" rotation="t"/>
              </v:shape>
            </w:pict>
          </mc:Fallback>
        </mc:AlternateContent>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033662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0">
    <w:nsid w:val="3033662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275</cp:revision>
  <dcterms:created xsi:type="dcterms:W3CDTF">2025-09-15T09:58:00Z</dcterms:created>
  <dcterms:modified xsi:type="dcterms:W3CDTF">2026-01-28T07:54:31Z</dcterms:modified>
</cp:coreProperties>
</file>