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635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635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275/2026/0211/VFI-CT.21.A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TRẦN TUẤN KHẢI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231, tờ bản đồ số 81 có địa chỉ: Thị trấn Long Thành, huyện Long Thành, tỉnh Đồng Nai</w:t>
                            </w:r>
                            <w:r>
                              <w:rPr>
                                <w:i/>
                                <w:iCs/>
                                <w:color w:val="000000"/>
                              </w:rPr>
                              <w:t xml:space="preserve"> (Nay là xã Long Thành, tỉnh Đồng Nai)</w:t>
                            </w:r>
                            <w:r>
                              <w:rPr>
                                <w:color w:val="000000"/>
                              </w:rPr>
                              <w:t xml:space="preserve"> theo Giấy chứng nhận quyền sử dụng đất quyền sở hữu nhà ở và tài sản khác gắn liền với đất số: CV </w:t>
                            </w:r>
                            <w:r>
                              <w:rPr>
                                <w:color w:val="000000"/>
                              </w:rPr>
                              <w:t xml:space="preserve">659020, số vào sổ cấp GCN: CS 21801 do Sở Tài nguyên và Môi trường tỉnh Đồng Nai cấp ngày 18/6/2020; Chủ sử dụng đất là Ông Trần Tuấn Khải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4.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275/2026/0211/VFI-CT.21.A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TRẦN TUẤN KHẢI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231, tờ bản đồ số 81 có địa chỉ: Thị trấn Long Thành, huyện Long Thành, tỉnh Đồng Nai</w:t>
                      </w:r>
                      <w:r>
                        <w:rPr>
                          <w:i/>
                          <w:iCs/>
                          <w:color w:val="000000"/>
                        </w:rPr>
                        <w:t xml:space="preserve"> (Nay là xã Long Thành, tỉnh Đồng Nai)</w:t>
                      </w:r>
                      <w:r>
                        <w:rPr>
                          <w:color w:val="000000"/>
                        </w:rPr>
                        <w:t xml:space="preserve"> theo Giấy chứng nhận quyền sử dụng đất quyền sở hữu nhà ở và tài sản khác gắn liền với đất số: CV </w:t>
                      </w:r>
                      <w:r>
                        <w:rPr>
                          <w:color w:val="000000"/>
                        </w:rPr>
                        <w:t xml:space="preserve">659020, số vào sổ cấp GCN: CS 21801 do Sở Tài nguyên và Môi trường tỉnh Đồng Nai cấp ngày 18/6/2020; Chủ sử dụng đất là Ông Trần Tuấn Khải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21-23</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183" w:type="dxa"/>
        <w:tblBorders/>
        <w:tblLayout w:type="fixed"/>
        <w:tblLook w:val="04A0" w:firstRow="1" w:lastRow="0" w:firstColumn="1" w:lastColumn="0" w:noHBand="0" w:noVBand="1"/>
      </w:tblPr>
      <w:tblGrid>
        <w:gridCol w:w="170"/>
        <w:gridCol w:w="1559"/>
        <w:gridCol w:w="8220"/>
        <w:gridCol w:w="233"/>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5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370"/>
        </w:trPr>
        <w:tc>
          <w:tcPr>
            <w:gridSpan w:val="2"/>
            <w:shd w:val="clear" w:color="auto" w:fill="auto"/>
            <w:tcBorders/>
            <w:tcMar>
              <w:left w:w="108" w:type="dxa"/>
              <w:top w:w="0" w:type="dxa"/>
              <w:right w:w="108" w:type="dxa"/>
              <w:bottom w:w="0" w:type="dxa"/>
            </w:tcMar>
            <w:tcW w:w="9780"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275/2026/0211/VFI-CT.21.A                                      </w:t>
            </w: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27 tháng 01 năm 2026</w:t>
            </w:r>
            <w:r>
              <w:rPr>
                <w:color w:val="000000" w:themeColor="text1"/>
                <w:sz w:val="24"/>
                <w:szCs w:val="24"/>
              </w:rPr>
            </w:r>
            <w:r>
              <w:rPr>
                <w:color w:val="000000" w:themeColor="text1"/>
                <w:sz w:val="24"/>
                <w:szCs w:val="24"/>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TRẦN TUẤN KHẢI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275/2026/0211/VFI-HĐTĐ.21.A</w:t>
      </w:r>
      <w:r>
        <w:rPr>
          <w:spacing w:val="-4"/>
          <w:lang w:val="vi-VN"/>
        </w:rPr>
        <w:t xml:space="preserve"> ký ngày 20 tháng 01 năm 2026</w:t>
      </w:r>
      <w:r>
        <w:rPr>
          <w:spacing w:val="-4"/>
          <w:lang w:val="vi-VN"/>
        </w:rPr>
        <w:t xml:space="preserve"> </w:t>
      </w:r>
      <w:r>
        <w:rPr>
          <w:spacing w:val="-4"/>
          <w:lang w:val="vi-VN"/>
        </w:rPr>
        <w:t xml:space="preserve">giữa </w:t>
      </w:r>
      <w:r>
        <w:rPr>
          <w:color w:val="000000" w:themeColor="text1"/>
          <w:spacing w:val="-4"/>
        </w:rPr>
        <w:t xml:space="preserve">Ông Trần Tuấn Khải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275/2026/0211/VFI-BC.21.A</w:t>
      </w:r>
      <w:r>
        <w:rPr>
          <w:spacing w:val="-2"/>
          <w:lang w:val="pt-BR"/>
        </w:rPr>
        <w:t xml:space="preserve"> </w:t>
      </w:r>
      <w:r>
        <w:rPr>
          <w:spacing w:val="-2"/>
          <w:lang w:val="pt-BR"/>
        </w:rPr>
        <w:t xml:space="preserve">ngày 27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TRẦN TUẤN KHẢI</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CCCD số</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056090008342</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Số 1294/TB-BTC ngày 31/12/2025 về việc doanh nghiệp đủ điều kiện kinh doanh Dịch vụ thẩm định giá.</w:t>
            </w: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w:t>
            </w:r>
            <w:r/>
          </w:p>
        </w:tc>
      </w:tr>
      <w:tr>
        <w:trPr>
          <w:trHeight w:val="20"/>
        </w:trPr>
        <w:tc>
          <w:tcPr>
            <w:tcBorders/>
            <w:tcW w:w="226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Chức vụ</w:t>
            </w:r>
            <w:r/>
          </w:p>
        </w:tc>
        <w:tc>
          <w:tcPr>
            <w:tcBorders/>
            <w:tcW w:w="28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W w:w="711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Chủ tịch HĐQT kiêm Tổng Giám đốc</w:t>
            </w: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Quyền sử dụng đất tại thửa đất số: 231, tờ bản đồ số 81 có địa chỉ: Thị trấn Long Thành, huyện Long Thành, tỉnh Đồng Nai</w:t>
      </w:r>
      <w:r>
        <w:rPr>
          <w:i/>
          <w:iCs/>
          <w:color w:val="000000"/>
        </w:rPr>
        <w:t xml:space="preserve"> (Nay là xã Long Thành, tỉnh Đồng Nai)</w:t>
      </w:r>
      <w:r>
        <w:rPr>
          <w:color w:val="000000"/>
        </w:rPr>
        <w:t xml:space="preserve"> theo Giấy chứng nhận quyền sử dụng đất quyền sở hữu nhà ở và tài sản khác gắn liền với đất số: CV </w:t>
      </w:r>
      <w:r>
        <w:rPr>
          <w:color w:val="000000"/>
        </w:rPr>
        <w:t xml:space="preserve">659020, số vào sổ cấp GCN: CS 21801 do Sở Tài nguyên và Môi trường tỉnh Đồng Nai cấp ngày 18/6/2020; Chủ sử dụng đất là Ông Trần Tuấn Khải</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976"/>
        <w:gridCol w:w="1701"/>
        <w:gridCol w:w="1984"/>
        <w:gridCol w:w="2126"/>
      </w:tblGrid>
      <w:tr>
        <w:trPr>
          <w:trHeight w:val="624"/>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337"/>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61"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231, tờ bản đồ số 81 có địa chỉ: Thị trấn Long Thành, huyện Long Thành, tỉnh Đồng Nai (Nay là xã Long Thành, tỉnh Đồng Nai) theo Giấy chứng nhận quyền sử dụng đất quyền sở hữu nhà ở và tài sản khác gắn liền với đất số: CV</w:t>
            </w:r>
            <w:r>
              <w:rPr>
                <w:rFonts w:ascii="Times New Roman" w:hAnsi="Times New Roman" w:eastAsia="Times New Roman" w:cs="Times New Roman"/>
                <w:b/>
                <w:color w:val="000000"/>
                <w:sz w:val="24"/>
              </w:rPr>
              <w:t xml:space="preserve"> 659020, số vào sổ cấp GCN: CS 21801 do Sở Tài nguyên và Môi trường tỉnh Đồng Nai cấp ngày 18/6/2020; Chủ sử dụng đất là Ông Trần Tuấn Khải.</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Đất ONT + Đất SKC nằm trong quy hoạch đất ở đô thị</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139,9</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55.000.000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7.694.500.000</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Đất SKC nằm trong quy hoạch đất giao thông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9,2</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7.200.000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66.240.000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7.760.740.000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7.761.000.000</w:t>
            </w:r>
            <w:r/>
          </w:p>
        </w:tc>
      </w:tr>
      <w:tr>
        <w:trPr>
          <w:trHeight w:val="324"/>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76" w:lineRule="auto"/>
              <w:ind/>
              <w:jc w:val="center"/>
              <w:rPr/>
            </w:pPr>
            <w:r>
              <w:rPr>
                <w:rFonts w:ascii="Times New Roman" w:hAnsi="Times New Roman" w:eastAsia="Times New Roman" w:cs="Times New Roman"/>
                <w:b/>
                <w:i/>
                <w:color w:val="000000"/>
                <w:sz w:val="24"/>
              </w:rPr>
              <w:t xml:space="preserve">(Bằng chữ: Bảy tỷ, bảy trăm sáu mươi mốt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lang w:val="pt-BR"/>
        </w:rPr>
      </w:r>
    </w:p>
    <w:p>
      <w:pPr>
        <w:pBdr/>
        <w:spacing w:after="120" w:before="120" w:line="312" w:lineRule="auto"/>
        <w:ind w:firstLine="0"/>
        <w:rPr>
          <w:rFonts w:eastAsia="Calibri"/>
          <w:b/>
          <w:bCs/>
          <w:spacing w:val="-4"/>
          <w:lang w:val="pt-BR"/>
        </w:rPr>
      </w:pPr>
      <w:r>
        <w:rPr>
          <w:lang w:val="pt-BR"/>
        </w:rPr>
      </w: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lang w:val="pt-BR"/>
        </w:rPr>
      </w:r>
      <w:r>
        <w:rPr>
          <w:rFonts w:eastAsia="Calibri"/>
          <w:b/>
          <w:bCs/>
          <w:spacing w:val="-4"/>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183" w:type="dxa"/>
        <w:tblBorders/>
        <w:tblLayout w:type="fixed"/>
        <w:tblLook w:val="04A0" w:firstRow="1" w:lastRow="0" w:firstColumn="1" w:lastColumn="0" w:noHBand="0" w:noVBand="1"/>
      </w:tblPr>
      <w:tblGrid>
        <w:gridCol w:w="170"/>
        <w:gridCol w:w="1559"/>
        <w:gridCol w:w="8220"/>
        <w:gridCol w:w="233"/>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686987"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5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370"/>
        </w:trPr>
        <w:tc>
          <w:tcPr>
            <w:gridSpan w:val="2"/>
            <w:shd w:val="clear" w:color="ffffff" w:fill="ffffff"/>
            <w:tcBorders/>
            <w:tcMar>
              <w:left w:w="108" w:type="dxa"/>
              <w:top w:w="0" w:type="dxa"/>
              <w:right w:w="108" w:type="dxa"/>
              <w:bottom w:w="0" w:type="dxa"/>
            </w:tcMar>
            <w:tcW w:w="9780"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275/2026/0211/VFI-BC.21.A                                      </w:t>
            </w: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27 tháng 01 năm 2026</w:t>
            </w:r>
            <w:r>
              <w:rPr>
                <w:color w:val="000000" w:themeColor="text1"/>
                <w:sz w:val="24"/>
                <w:szCs w:val="24"/>
              </w:rPr>
            </w:r>
            <w:r>
              <w:rPr>
                <w:color w:val="000000" w:themeColor="text1"/>
                <w:sz w:val="24"/>
                <w:szCs w:val="24"/>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275/2026/0211/VFI-CT.21.A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27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64"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64"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64"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64"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64"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64"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64"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64"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64"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64"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64"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64"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64"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64"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64"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64"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64"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64"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rPr/>
            </w:pPr>
            <w:r>
              <w:rPr>
                <w:rFonts w:ascii="Times New Roman" w:hAnsi="Times New Roman" w:eastAsia="Times New Roman" w:cs="Times New Roman"/>
                <w:color w:val="000000"/>
                <w:sz w:val="24"/>
              </w:rPr>
              <w:t xml:space="preserve">Đại diện</w:t>
            </w:r>
            <w:r/>
          </w:p>
        </w:tc>
        <w:tc>
          <w:tcPr>
            <w:tcBorders/>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rPr/>
            </w:pPr>
            <w:r>
              <w:rPr>
                <w:rFonts w:ascii="Times New Roman" w:hAnsi="Times New Roman" w:eastAsia="Times New Roman" w:cs="Times New Roman"/>
                <w:color w:val="000000"/>
                <w:sz w:val="24"/>
              </w:rPr>
              <w:t xml:space="preserve">:</w:t>
            </w: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rPr/>
            </w:pPr>
            <w:r>
              <w:rPr>
                <w:rFonts w:ascii="Times New Roman" w:hAnsi="Times New Roman" w:eastAsia="Times New Roman" w:cs="Times New Roman"/>
                <w:b/>
                <w:color w:val="000000"/>
                <w:sz w:val="24"/>
              </w:rPr>
              <w:t xml:space="preserve">Ông Vũ Văn Quân</w:t>
            </w:r>
            <w:r/>
          </w:p>
        </w:tc>
      </w:tr>
      <w:tr>
        <w:trPr>
          <w:trHeight w:val="20"/>
        </w:trPr>
        <w:tc>
          <w:tcPr>
            <w:tcBorders/>
            <w:tcW w:w="255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rPr/>
            </w:pPr>
            <w:r>
              <w:rPr>
                <w:rFonts w:ascii="Times New Roman" w:hAnsi="Times New Roman" w:eastAsia="Times New Roman" w:cs="Times New Roman"/>
                <w:color w:val="000000"/>
                <w:sz w:val="24"/>
              </w:rPr>
              <w:t xml:space="preserve">Chức vụ</w:t>
            </w:r>
            <w:r/>
          </w:p>
        </w:tc>
        <w:tc>
          <w:tcPr>
            <w:tcBorders/>
            <w:tcW w:w="28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rPr/>
            </w:pPr>
            <w:r>
              <w:rPr>
                <w:rFonts w:ascii="Times New Roman" w:hAnsi="Times New Roman" w:eastAsia="Times New Roman" w:cs="Times New Roman"/>
                <w:color w:val="000000"/>
                <w:sz w:val="24"/>
              </w:rPr>
              <w:t xml:space="preserve">:</w:t>
            </w:r>
            <w:r/>
          </w:p>
        </w:tc>
        <w:tc>
          <w:tcPr>
            <w:tcBorders/>
            <w:tcW w:w="694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rPr/>
            </w:pPr>
            <w:r>
              <w:rPr>
                <w:rFonts w:ascii="Times New Roman" w:hAnsi="Times New Roman" w:eastAsia="Times New Roman" w:cs="Times New Roman"/>
                <w:b/>
                <w:color w:val="000000"/>
                <w:sz w:val="24"/>
              </w:rPr>
              <w:t xml:space="preserve">Chủ tịch HĐQT kiêm Tổng Giám đốc</w:t>
            </w: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TRẦN TUẤN KHẢI</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CCCD/CMND số</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056090008342</w:t>
            </w:r>
            <w:r/>
          </w:p>
        </w:tc>
      </w:tr>
      <w:tr>
        <w:trPr>
          <w:trHeight w:val="20"/>
        </w:trPr>
        <w:tc>
          <w:tcPr>
            <w:tcBorders/>
            <w:tcW w:w="2518" w:type="dxa"/>
            <w:vAlign w:val="center"/>
            <w:textDirection w:val="lrTb"/>
            <w:noWrap w:val="false"/>
          </w:tcPr>
          <w:p>
            <w:pPr>
              <w:pBdr/>
              <w:spacing w:after="60" w:before="60" w:line="264"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64" w:lineRule="auto"/>
              <w:ind/>
              <w:jc w:val="both"/>
              <w:rPr>
                <w:b/>
                <w:bCs/>
                <w:spacing w:val="2"/>
                <w:lang w:val="vi-VN"/>
              </w:rPr>
            </w:pPr>
            <w:r>
              <w:rPr>
                <w:bCs/>
                <w:color w:val="000000" w:themeColor="text1"/>
                <w:lang w:val="pt-BR"/>
              </w:rPr>
            </w:r>
            <w:r>
              <w:rPr>
                <w:color w:val="000000"/>
              </w:rPr>
              <w:t xml:space="preserve">Quyền sử dụng đất tại thửa đất số: 231, tờ bản đồ số 81 có địa chỉ: Thị trấn Long Thành, huyện Long Thành, tỉnh Đồng Nai</w:t>
            </w:r>
            <w:r>
              <w:rPr>
                <w:i/>
                <w:iCs/>
                <w:color w:val="000000"/>
              </w:rPr>
              <w:t xml:space="preserve"> (Nay là xã Long Thành, tỉnh Đồng Nai)</w:t>
            </w:r>
            <w:r>
              <w:rPr>
                <w:color w:val="000000"/>
              </w:rPr>
              <w:t xml:space="preserve"> theo Giấy chứng nhận quyền sử dụng đất quyền sở hữu nhà ở và tài sản khác gắn liền với đất số: CV </w:t>
            </w:r>
            <w:r>
              <w:rPr>
                <w:color w:val="000000"/>
              </w:rPr>
              <w:t xml:space="preserve">659020, số vào sổ cấp GCN: CS 21801 do Sở Tài nguyên và Môi trường tỉnh Đồng Nai cấp ngày 18/6/2020; Chủ sử dụng đất là Ông Trần Tuấn Khải</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64"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64"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64"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64"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64"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64"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64"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64" w:lineRule="auto"/>
              <w:ind/>
              <w:jc w:val="both"/>
              <w:rPr>
                <w:color w:val="ee0000"/>
                <w:lang w:val="pt-BR"/>
              </w:rPr>
            </w:pPr>
            <w:r>
              <w:rPr>
                <w:color w:val="000000" w:themeColor="text1"/>
                <w:lang w:val="pt-BR"/>
              </w:rPr>
              <w:t xml:space="preserve">Xã Long Thành, tỉnh Đồng Nai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64"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line="264" w:lineRule="auto"/>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10.770622, 106.955871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64"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64"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64"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Nghị quyết số 28/2025/NQ-HĐND ngày 10/12/2025 của Hội đồng nhân dân tỉnh Đồng Nai về việc Ban hành quy định Bảng giá đất lần đầu trên địa bàn tỉnh Đồng Nai năm 2026;</w:t>
      </w:r>
      <w:r>
        <w:rPr>
          <w:rFonts w:ascii="Times New Roman" w:hAnsi="Times New Roman" w:eastAsia="Times New Roman" w:cs="Times New Roman"/>
          <w:sz w:val="24"/>
        </w:rPr>
      </w:r>
      <w:r/>
    </w:p>
    <w:p>
      <w:pPr>
        <w:pStyle w:val="103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 sở hữu nhà ở và tài sản khác gắn liền với đất số: CV </w:t>
      </w:r>
      <w:r>
        <w:rPr>
          <w:color w:val="000000"/>
        </w:rPr>
        <w:t xml:space="preserve">659020, số vào sổ cấp GCN: CS 21801 do Sở Tài nguyên và Môi trường tỉnh Đồng Nai cấp ngày 18/6/2020; Chủ sử dụng đất là Ông Trần Tuấn Khải</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275/2026/0211/VFI-HĐTĐ.21.A</w:t>
      </w:r>
      <w:r>
        <w:rPr>
          <w:spacing w:val="-4"/>
          <w:lang w:val="vi-VN"/>
        </w:rPr>
        <w:t xml:space="preserve"> ký ngày 20 tháng 01 năm 2026</w:t>
      </w:r>
      <w:r>
        <w:rPr>
          <w:spacing w:val="-4"/>
          <w:lang w:val="vi-VN"/>
        </w:rPr>
        <w:t xml:space="preserve"> </w:t>
      </w:r>
      <w:r>
        <w:rPr>
          <w:spacing w:val="-4"/>
          <w:lang w:val="vi-VN"/>
        </w:rPr>
        <w:t xml:space="preserve">giữa </w:t>
      </w:r>
      <w:r>
        <w:rPr>
          <w:color w:val="000000" w:themeColor="text1"/>
          <w:spacing w:val="-4"/>
        </w:rPr>
        <w:t xml:space="preserve">Ông Trần Tuấn Khải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u w:val="none"/>
        </w:rPr>
      </w:pPr>
      <w:r>
        <w:rPr>
          <w:lang w:val="pt-BR"/>
        </w:rPr>
        <w:tab/>
      </w:r>
      <w:r>
        <w:rPr>
          <w:rFonts w:ascii="Times New Roman" w:hAnsi="Times New Roman" w:eastAsia="Times New Roman" w:cs="Times New Roman"/>
          <w:color w:val="000000"/>
          <w:sz w:val="24"/>
          <w:u w:val="none"/>
        </w:rPr>
        <w:t xml:space="preserve">Hiện nay, thị trường </w:t>
      </w:r>
      <w:hyperlink r:id="rId17" w:tooltip="https://baodongnai.com.vn/kinh-te/202504/nhieu-du-an-bat-dong-san-chao-ban-san-pham-aca0754/" w:history="1">
        <w:r>
          <w:rPr>
            <w:rStyle w:val="1025"/>
            <w:rFonts w:ascii="Times New Roman" w:hAnsi="Times New Roman" w:eastAsia="Times New Roman" w:cs="Times New Roman"/>
            <w:color w:val="000000"/>
            <w:sz w:val="24"/>
            <w:u w:val="none"/>
          </w:rPr>
          <w:t xml:space="preserve">bất động sản</w:t>
        </w:r>
      </w:hyperlink>
      <w:r>
        <w:rPr>
          <w:rFonts w:ascii="Times New Roman" w:hAnsi="Times New Roman" w:eastAsia="Times New Roman" w:cs="Times New Roman"/>
          <w:color w:val="000000"/>
          <w:sz w:val="24"/>
          <w:u w:val="none"/>
        </w:rPr>
        <w:t xml:space="preserve"> (BĐS) ở Đồng Nai cũng như các tỉnh, thành trên cả nước đang bước vào </w:t>
      </w:r>
      <w:hyperlink r:id="rId18" w:tooltip="https://baodongnai.com.vn/kinh-te/202504/nhieu-du-an-bat-dong-san-chao-ban-san-pham-aca0754/" w:history="1">
        <w:r>
          <w:rPr>
            <w:rStyle w:val="1025"/>
            <w:rFonts w:ascii="Times New Roman" w:hAnsi="Times New Roman" w:eastAsia="Times New Roman" w:cs="Times New Roman"/>
            <w:color w:val="000000"/>
            <w:sz w:val="24"/>
            <w:u w:val="none"/>
          </w:rPr>
          <w:t xml:space="preserve">chu kỳ tăng trưởng mới</w:t>
        </w:r>
      </w:hyperlink>
      <w:r>
        <w:rPr>
          <w:rFonts w:ascii="Times New Roman" w:hAnsi="Times New Roman" w:eastAsia="Times New Roman" w:cs="Times New Roman"/>
          <w:color w:val="000000"/>
          <w:sz w:val="24"/>
          <w:u w:val="none"/>
        </w:rPr>
        <w:t xml:space="preserve">. Theo đánh giá của các chuyên gia kinh tế, BĐS Việt Nam đang trên đà phục hồi và sẽ sôi động trở lại nhờ các tác động tích cực từ chính sách, cải cách hành chính, đầu tư cơ sở hạ tầng kỹ thuật.</w:t>
      </w:r>
      <w:r>
        <w:rPr>
          <w:u w:val="none"/>
        </w:rPr>
      </w:r>
      <w:r>
        <w:rPr>
          <w:u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u w:val="none"/>
        </w:rPr>
      </w:pPr>
      <w:r>
        <w:rPr>
          <w:rFonts w:ascii="Times New Roman" w:hAnsi="Times New Roman" w:eastAsia="Times New Roman" w:cs="Times New Roman"/>
          <w:color w:val="000000"/>
          <w:sz w:val="24"/>
          <w:u w:val="none"/>
        </w:rPr>
        <w:tab/>
        <w:t xml:space="preserve">Cụ thể, Luật Đất đai năm 2024, Luật Nhà ở năm 2023 và Luật Kinh doanh BĐS năm 2023 có hiệu lực từ ngày 1-8-2024 đã đơn giản, rút ngắn được quy trình phê duyệt hồ sơ các dự án, quyền lợi của nhà đầu tư cũng được đảm bảo. Đồng thời, tín dụng cho lĩnh vực BĐ</w:t>
      </w:r>
      <w:r>
        <w:rPr>
          <w:rFonts w:ascii="Times New Roman" w:hAnsi="Times New Roman" w:eastAsia="Times New Roman" w:cs="Times New Roman"/>
          <w:color w:val="000000"/>
          <w:sz w:val="24"/>
          <w:u w:val="none"/>
        </w:rPr>
        <w:t xml:space="preserve">S được “nới lỏng” nên các doanh nghiệp tập trung triển khai nhanh các dự án để đưa sản phẩm ra thị trường.</w:t>
      </w:r>
      <w:r>
        <w:rPr>
          <w:u w:val="none"/>
        </w:rPr>
      </w:r>
      <w:r>
        <w:rPr>
          <w:u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u w:val="none"/>
        </w:rPr>
      </w:pPr>
      <w:r>
        <w:rPr>
          <w:rFonts w:ascii="Times New Roman" w:hAnsi="Times New Roman" w:eastAsia="Times New Roman" w:cs="Times New Roman"/>
          <w:color w:val="000000"/>
          <w:sz w:val="24"/>
          <w:u w:val="none"/>
        </w:rPr>
        <w:tab/>
        <w:t xml:space="preserve">Đồng Nai hiện có các dự án hạ tầng lớn như Cảng hàng không quốc tế Long Thành, Đường vành đai 3 - Thành phố Hồ Chí Minh và các tuyến đường cao tốc: Thành phố Hồ Chí Minh - Long Thành - Dầu Giây, Dầu Giây - Phan Thiết, Bến Lức - Long Thành, Biên Hòa - Vũng</w:t>
      </w:r>
      <w:r>
        <w:rPr>
          <w:rFonts w:ascii="Times New Roman" w:hAnsi="Times New Roman" w:eastAsia="Times New Roman" w:cs="Times New Roman"/>
          <w:color w:val="000000"/>
          <w:sz w:val="24"/>
          <w:u w:val="none"/>
        </w:rPr>
        <w:t xml:space="preserve"> Tàu… Dự kiến tuyến đường sắt tốc độ cao, đường sắt đô thị cũng sẽ được ưu tiên đầu tư nhanh trong thời gian tới để kết nối các tỉnh, thành trong khu vực Đông Nam Bộ. Điều này sẽ mở thêm các hành lang mới để phát triển các dự án BĐS.</w:t>
      </w:r>
      <w:r>
        <w:rPr>
          <w:u w:val="none"/>
        </w:rPr>
      </w:r>
      <w:r>
        <w:rPr>
          <w:u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u w:val="none"/>
        </w:rPr>
      </w:pPr>
      <w:r>
        <w:rPr>
          <w:rFonts w:ascii="Times New Roman" w:hAnsi="Times New Roman" w:eastAsia="Times New Roman" w:cs="Times New Roman"/>
          <w:color w:val="000000"/>
          <w:sz w:val="24"/>
          <w:u w:val="none"/>
        </w:rPr>
        <w:tab/>
        <w:t xml:space="preserve">Bên cạnh đó, việc sáp nhập các sở, ngành và các tỉnh, thành cũng được kỳ vọng sẽ giảm quy trình, chi phí đầu tư dự án. Đây là lợi thế để thị trường BĐS có bước phục hồi, tăng trưởng tốt hơn.</w:t>
      </w:r>
      <w:r>
        <w:rPr>
          <w:u w:val="none"/>
        </w:rPr>
      </w:r>
      <w:r>
        <w:rPr>
          <w:u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u w:val="none"/>
        </w:rPr>
      </w:pPr>
      <w:r>
        <w:rPr>
          <w:rFonts w:ascii="Times New Roman" w:hAnsi="Times New Roman" w:eastAsia="Times New Roman" w:cs="Times New Roman"/>
          <w:color w:val="000000"/>
          <w:sz w:val="24"/>
          <w:u w:val="none"/>
        </w:rPr>
        <w:tab/>
        <w:t xml:space="preserve">Tại Đồng Nai, thời gian qua, thị trường BĐS công nghiệp ít chịu tác động; bởi vì, hầu hết các quỹ đất công nghiệp đều được doanh nghiệp trong nước, nước ngoài thuê để làm nhà xưởng, văn phòng ngay khi hoàn thành hạ tầng kỹ thuật. BĐS về du lịch nghỉ dưỡng</w:t>
      </w:r>
      <w:r>
        <w:rPr>
          <w:rFonts w:ascii="Times New Roman" w:hAnsi="Times New Roman" w:eastAsia="Times New Roman" w:cs="Times New Roman"/>
          <w:color w:val="000000"/>
          <w:sz w:val="24"/>
          <w:u w:val="none"/>
        </w:rPr>
        <w:t xml:space="preserve">, thương mại dịch vụ, nhà ở, đất ở đang trên đà phục hồi. Nhiều dự án sau một thời gian bị vướng mắc về cơ chế, chính sách, quy hoạch đã được khơi thông, đang khởi động trở lại; các chủ đầu tư đã đưa sản phẩm ra thị trường.</w:t>
      </w:r>
      <w:r>
        <w:rPr>
          <w:u w:val="none"/>
        </w:rPr>
      </w:r>
      <w:r>
        <w:rPr>
          <w:u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u w:val="none"/>
        </w:rPr>
      </w:pPr>
      <w:r>
        <w:rPr>
          <w:rFonts w:ascii="Times New Roman" w:hAnsi="Times New Roman" w:eastAsia="Times New Roman" w:cs="Times New Roman"/>
          <w:color w:val="000000"/>
          <w:sz w:val="24"/>
          <w:u w:val="none"/>
        </w:rPr>
        <w:tab/>
        <w:t xml:space="preserve">Thế nhưng, BĐS nhà ở, đất ở tại Đồng Nai đang có sự lệch pha khá lớn khiến cung - cầu chưa gặp nhau. Hiện BĐS phân khúc cao cấp, trung bình dư nhiều, khó tìm người mua nhưng phân khúc giá rẻ lại thiếu sản phẩm. Đặc biệt, tại các khu đô thị lớn, khu vực cô</w:t>
      </w:r>
      <w:r>
        <w:rPr>
          <w:rFonts w:ascii="Times New Roman" w:hAnsi="Times New Roman" w:eastAsia="Times New Roman" w:cs="Times New Roman"/>
          <w:color w:val="000000"/>
          <w:sz w:val="24"/>
          <w:u w:val="none"/>
        </w:rPr>
        <w:t xml:space="preserve">ng nghiệp phát triển như thành phố Biên Hòa và các huyện: Long Thành, Nhơn Trạch, Trảng Bom, nhu cầu về nhà ở giá rẻ rất lớn nhưng nguồn cung nhỏ giọt. Vì thế, doanh nghiệp đầu tư vào dự án nhà ở giá rẻ tại Đồng Nai sẽ có đầu ra thuận lợi.</w:t>
      </w:r>
      <w:r>
        <w:rPr>
          <w:u w:val="none"/>
        </w:rPr>
      </w:r>
      <w:r>
        <w:rPr>
          <w:u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u w:val="none"/>
        </w:rPr>
      </w:pPr>
      <w:r>
        <w:rPr>
          <w:rFonts w:ascii="Times New Roman" w:hAnsi="Times New Roman" w:eastAsia="Times New Roman" w:cs="Times New Roman"/>
          <w:i/>
          <w:color w:val="000000"/>
          <w:sz w:val="24"/>
          <w:u w:val="none"/>
        </w:rPr>
        <w:t xml:space="preserve">(Nguồn tham khảo: </w:t>
      </w:r>
      <w:hyperlink r:id="rId19" w:tooltip="https://baodongnai.com.vn/kinh-te/202505/thi-truong-bat-dong-san-vao-chu-ky-tang-truong-moi-e706f60/" w:history="1">
        <w:r>
          <w:rPr>
            <w:rStyle w:val="1025"/>
            <w:rFonts w:ascii="Times New Roman" w:hAnsi="Times New Roman" w:eastAsia="Times New Roman" w:cs="Times New Roman"/>
            <w:i/>
            <w:color w:val="000000"/>
            <w:sz w:val="24"/>
            <w:u w:val="none"/>
          </w:rPr>
          <w:t xml:space="preserve">https://baodongnai.com.vn/kinh-te/202505/thi-truong-bat-dong-san-vao-chu-ky-tang-truong-moi-e706f60/</w:t>
        </w:r>
      </w:hyperlink>
      <w:r>
        <w:rPr>
          <w:rFonts w:ascii="Times New Roman" w:hAnsi="Times New Roman" w:eastAsia="Times New Roman" w:cs="Times New Roman"/>
          <w:i/>
          <w:color w:val="000000"/>
          <w:sz w:val="24"/>
          <w:u w:val="none"/>
        </w:rPr>
        <w:t xml:space="preserve">)</w:t>
      </w:r>
      <w:r>
        <w:rPr>
          <w:u w:val="none"/>
        </w:rPr>
      </w:r>
      <w:r>
        <w:rPr>
          <w:u w:val="none"/>
        </w:rPr>
      </w:r>
    </w:p>
    <w:p>
      <w:pPr>
        <w:pStyle w:val="1035"/>
        <w:pBdr/>
        <w:tabs>
          <w:tab w:val="left" w:leader="none" w:pos="993"/>
        </w:tabs>
        <w:spacing w:after="120" w:before="120" w:line="276" w:lineRule="auto"/>
        <w:ind w:left="0"/>
        <w:jc w:val="both"/>
        <w:rPr>
          <w:b/>
          <w:bCs/>
          <w:u w:val="none"/>
        </w:rPr>
      </w:pPr>
      <w:r>
        <w:rPr>
          <w:b/>
          <w:bCs/>
          <w:u w:val="none"/>
          <w:lang w:val="pt-BR"/>
        </w:rPr>
        <w:t xml:space="preserve">I</w:t>
      </w:r>
      <w:r>
        <w:rPr>
          <w:b/>
          <w:bCs/>
          <w:u w:val="none"/>
          <w:lang w:val="pt-BR"/>
        </w:rPr>
        <w:t xml:space="preserve">V</w:t>
      </w:r>
      <w:r>
        <w:rPr>
          <w:b/>
          <w:bCs/>
          <w:u w:val="none"/>
          <w:lang w:val="pt-BR"/>
        </w:rPr>
        <w:t xml:space="preserve">. </w:t>
      </w:r>
      <w:r>
        <w:rPr>
          <w:b/>
          <w:bCs/>
          <w:u w:val="none"/>
          <w:lang w:val="pt-BR"/>
        </w:rPr>
        <w:t xml:space="preserve">THÔNG TIN VỀ TÀI SẢN THẨM ĐỊNH GIÁ</w:t>
      </w:r>
      <w:r>
        <w:rPr>
          <w:b/>
          <w:bCs/>
          <w:u w:val="none"/>
        </w:rPr>
      </w:r>
      <w:r>
        <w:rPr>
          <w:b/>
          <w:bCs/>
          <w:u w:val="non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231, tờ bản đồ số 81 có địa chỉ: Thị trấn Long Thành, huyện Long Thành, tỉnh Đồng Nai (Nay là xã Long Thành, tỉnh Đồng Nai) theo Giấy chứng nhận quyền sử dụng đất quyền sở hữu nhà ở và tài sản khác gắn liền với đất số: CV</w:t>
            </w:r>
            <w:r>
              <w:rPr>
                <w:rFonts w:ascii="Times New Roman" w:hAnsi="Times New Roman" w:eastAsia="Times New Roman" w:cs="Times New Roman"/>
                <w:b/>
                <w:color w:val="000000"/>
                <w:sz w:val="24"/>
              </w:rPr>
              <w:t xml:space="preserve"> 659020, số vào sổ cấp GCN: CS 21801 do Sở Tài nguyên và Môi trường tỉnh Đồng Nai cấp ngày 18/6/2020; Chủ sử dụng đất là Ông Trần Tuấn Khải.</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81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Thị trấn Long Thành, huyện Long Thành, tỉnh Đồng Nai </w:t>
            </w:r>
            <w:r>
              <w:rPr>
                <w:rFonts w:ascii="Times New Roman" w:hAnsi="Times New Roman" w:eastAsia="Times New Roman" w:cs="Times New Roman"/>
                <w:i/>
                <w:color w:val="000000"/>
                <w:sz w:val="24"/>
              </w:rPr>
              <w:t xml:space="preserve">(Nay là xã Long Thành, tỉnh Đồng Nai)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149,1</w:t>
            </w: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 105,2m2 + Đất cơ sở sản xuất kinh doanh phi nông nghiệp 43,9m2</w:t>
            </w: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Lâu dài</w:t>
              <w:br/>
              <w:t xml:space="preserve">Đất cơ sở sản xuất kinh doanh phi nông nghiệp: Lâu dài</w:t>
            </w:r>
            <w:r/>
          </w:p>
        </w:tc>
      </w:tr>
      <w:tr>
        <w:trPr>
          <w:trHeight w:val="185"/>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Nhận chuyển nhượng đất được Nhà nước giao đất có thu tiền sử dụng đất 105,2m2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Nhận chuyển nhượng đất được Công nhận QSDĐ như giao đất có thu tiền sử dụng đất 43,9m2</w:t>
            </w:r>
            <w:r/>
          </w:p>
        </w:tc>
      </w:tr>
      <w:tr>
        <w:trPr>
          <w:trHeight w:val="20"/>
        </w:trPr>
        <w:tc>
          <w:tcPr>
            <w:tcBorders/>
            <w:tcW w:w="734" w:type="dxa"/>
            <w:vAlign w:val="center"/>
            <w:textDirection w:val="lrTb"/>
            <w:noWrap w:val="false"/>
          </w:tcPr>
          <w:p>
            <w:pPr>
              <w:pBdr/>
              <w:spacing/>
              <w:ind/>
              <w:jc w:val="center"/>
              <w:rPr>
                <w:bCs/>
                <w:i/>
                <w:color w:val="000000"/>
              </w:rPr>
            </w:pPr>
            <w:r>
              <w:rPr>
                <w:i/>
                <w:iCs/>
                <w:color w:val="000000"/>
              </w:rPr>
              <w:t xml:space="preserve">-</w:t>
            </w:r>
            <w:r>
              <w:rPr>
                <w:bCs/>
                <w:i/>
                <w:color w:val="000000"/>
              </w:rPr>
            </w:r>
            <w:r>
              <w:rPr>
                <w:bCs/>
                <w:i/>
                <w:color w:val="000000"/>
              </w:rPr>
            </w:r>
          </w:p>
        </w:tc>
        <w:tc>
          <w:tcPr>
            <w:tcBorders/>
            <w:tcW w:w="2522" w:type="dxa"/>
            <w:vAlign w:val="center"/>
            <w:textDirection w:val="lrTb"/>
            <w:noWrap w:val="false"/>
          </w:tcPr>
          <w:p>
            <w:pPr>
              <w:pBdr/>
              <w:spacing/>
              <w:ind/>
              <w:rPr>
                <w:bCs/>
                <w:i/>
                <w:color w:val="000000"/>
              </w:rPr>
            </w:pPr>
            <w:r>
              <w:rPr>
                <w:i/>
                <w:iCs/>
                <w:color w:val="000000"/>
              </w:rPr>
              <w:t xml:space="preserve">Thông</w:t>
            </w:r>
            <w:r>
              <w:rPr>
                <w:i/>
                <w:iCs/>
                <w:color w:val="000000"/>
              </w:rPr>
              <w:t xml:space="preserve"> tin </w:t>
            </w:r>
            <w:r>
              <w:rPr>
                <w:i/>
                <w:iCs/>
                <w:color w:val="000000"/>
              </w:rPr>
              <w:t xml:space="preserve">quy</w:t>
            </w:r>
            <w:r>
              <w:rPr>
                <w:i/>
                <w:iCs/>
                <w:color w:val="000000"/>
              </w:rPr>
              <w:t xml:space="preserve"> </w:t>
            </w:r>
            <w:r>
              <w:rPr>
                <w:i/>
                <w:iCs/>
                <w:color w:val="000000"/>
              </w:rPr>
              <w:t xml:space="preserve">hoạch</w:t>
            </w:r>
            <w:r>
              <w:rPr>
                <w:i/>
                <w:iCs/>
                <w:color w:val="000000"/>
              </w:rPr>
              <w:t xml:space="preserve">:</w:t>
            </w:r>
            <w:r>
              <w:rPr>
                <w:bCs/>
                <w:i/>
                <w:color w:val="000000"/>
              </w:rPr>
            </w:r>
            <w:r>
              <w:rPr>
                <w:bCs/>
                <w:i/>
                <w:color w:val="000000"/>
              </w:rP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color w:val="000000"/>
                <w:sz w:val="24"/>
              </w:rPr>
              <w:t xml:space="preserve">Căn cứ theo trích lục bản đồ địa chính số 8499/2025 ngày 11/11/2025 của Văn phòng Đăng ký đất đai tỉnh Đồng Nai - Chi nhánh Long Thành. Thửa đất số 231 có:</w:t>
            </w:r>
            <w:r>
              <w:rPr>
                <w:rFonts w:ascii="Times New Roman" w:hAnsi="Times New Roman" w:eastAsia="Times New Roman" w:cs="Times New Roman"/>
                <w:bCs/>
                <w:i/>
                <w:color w:val="000000"/>
                <w:sz w:val="24"/>
                <w:szCs w:val="24"/>
              </w:rPr>
            </w:r>
            <w:r>
              <w:rPr>
                <w:rFonts w:ascii="Times New Roman" w:hAnsi="Times New Roman" w:eastAsia="Times New Roman" w:cs="Times New Roman"/>
                <w:bCs/>
                <w:i/>
                <w:color w:val="000000"/>
                <w:sz w:val="24"/>
                <w:szCs w:val="24"/>
              </w:rPr>
            </w:r>
          </w:p>
          <w:p>
            <w:pPr>
              <w:pBdr/>
              <w:spacing w:after="0" w:before="0" w:line="240" w:lineRule="auto"/>
              <w:ind/>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color w:val="000000"/>
                <w:sz w:val="24"/>
              </w:rPr>
              <w:t xml:space="preserve">Diện tích không được cấp GCN: 19,2m2</w:t>
            </w:r>
            <w:r>
              <w:rPr>
                <w:rFonts w:ascii="Times New Roman" w:hAnsi="Times New Roman" w:eastAsia="Times New Roman" w:cs="Times New Roman"/>
                <w:bCs/>
                <w:i/>
                <w:color w:val="000000"/>
                <w:sz w:val="24"/>
                <w:szCs w:val="24"/>
              </w:rPr>
            </w:r>
            <w:r>
              <w:rPr>
                <w:rFonts w:ascii="Times New Roman" w:hAnsi="Times New Roman" w:eastAsia="Times New Roman" w:cs="Times New Roman"/>
                <w:bCs/>
                <w:i/>
                <w:color w:val="000000"/>
                <w:sz w:val="24"/>
                <w:szCs w:val="24"/>
              </w:rPr>
            </w:r>
          </w:p>
          <w:p>
            <w:pPr>
              <w:pBdr/>
              <w:spacing w:after="0" w:before="0" w:line="240" w:lineRule="auto"/>
              <w:ind/>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color w:val="000000"/>
                <w:sz w:val="24"/>
              </w:rPr>
              <w:t xml:space="preserve">Diện tích được cấp GCN: 149,1m2. Trong đó:</w:t>
            </w:r>
            <w:r>
              <w:rPr>
                <w:rFonts w:ascii="Times New Roman" w:hAnsi="Times New Roman" w:eastAsia="Times New Roman" w:cs="Times New Roman"/>
                <w:bCs/>
                <w:i/>
                <w:color w:val="000000"/>
                <w:sz w:val="24"/>
                <w:szCs w:val="24"/>
              </w:rPr>
            </w:r>
            <w:r>
              <w:rPr>
                <w:rFonts w:ascii="Times New Roman" w:hAnsi="Times New Roman" w:eastAsia="Times New Roman" w:cs="Times New Roman"/>
                <w:bCs/>
                <w:i/>
                <w:color w:val="000000"/>
                <w:sz w:val="24"/>
                <w:szCs w:val="24"/>
              </w:rPr>
            </w:r>
          </w:p>
          <w:p>
            <w:pPr>
              <w:pBdr/>
              <w:spacing w:after="0" w:before="0" w:line="240" w:lineRule="auto"/>
              <w:ind/>
              <w:jc w:val="both"/>
              <w:rPr/>
            </w:pPr>
            <w:r>
              <w:rPr>
                <w:rFonts w:ascii="Times New Roman" w:hAnsi="Times New Roman" w:eastAsia="Times New Roman" w:cs="Times New Roman"/>
                <w:i/>
                <w:color w:val="000000"/>
                <w:sz w:val="24"/>
              </w:rPr>
              <w:t xml:space="preserve">+ Đất nằm trong quy </w:t>
            </w:r>
            <w:r>
              <w:rPr>
                <w:rFonts w:ascii="Times New Roman" w:hAnsi="Times New Roman" w:eastAsia="Times New Roman" w:cs="Times New Roman"/>
                <w:i/>
                <w:color w:val="000000"/>
                <w:sz w:val="24"/>
              </w:rPr>
              <w:t xml:space="preserve">hoạch đất ở đô thị: 105,2m2 ONT; 34,7m2 SKC </w:t>
              <w:br/>
              <w:t xml:space="preserve">+ Đất nằm trong quy hoạch đất giao thông: 9,2m2 SKC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Phạm Văn Đồng</w:t>
            </w: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12m+vỉa hè</w:t>
            </w: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12m+vỉa hè</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tại mặt đường Phạm Văn Đồng, xã Long Thành, tỉnh Đồng Nai; cách trung tâm chợ Long Thành khoảng 700m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Tiếp giáp mặt đường Phạm Văn Đồng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10.770622</w:t>
            </w:r>
            <w:r>
              <w:rPr>
                <w:color w:val="000000"/>
              </w:rPr>
              <w:t xml:space="preserve">, </w:t>
            </w:r>
            <w:r>
              <w:rPr>
                <w:color w:val="000000"/>
              </w:rPr>
              <w:t xml:space="preserve">106.955871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66420" cy="326221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404307" name=""/>
                              <pic:cNvPicPr>
                                <a:picLocks noChangeAspect="1"/>
                              </pic:cNvPicPr>
                              <pic:nvPr/>
                            </pic:nvPicPr>
                            <pic:blipFill rotWithShape="1">
                              <a:blip r:embed="rId20"/>
                              <a:stretch/>
                            </pic:blipFill>
                            <pic:spPr bwMode="auto">
                              <a:xfrm flipH="0" flipV="0">
                                <a:off x="0" y="0"/>
                                <a:ext cx="5466420" cy="32622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0.43pt;height:256.87pt;mso-wrap-distance-left:0.00pt;mso-wrap-distance-top:0.00pt;mso-wrap-distance-right:0.00pt;mso-wrap-distance-bottom:0.00pt;z-index:1;" stroked="false">
                      <v:imagedata r:id="rId20"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149,1</w:t>
            </w: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5,38</w:t>
            </w:r>
            <w:r/>
          </w:p>
        </w:tc>
        <w:tc>
          <w:tcPr>
            <w:tcBorders/>
            <w:tcW w:w="2126" w:type="dxa"/>
            <w:vAlign w:val="center"/>
            <w:textDirection w:val="lrTb"/>
            <w:noWrap w:val="false"/>
          </w:tcPr>
          <w:p>
            <w:pPr>
              <w:pBdr/>
              <w:spacing/>
              <w:ind/>
              <w:rPr/>
            </w:pPr>
            <w:r>
              <w:t xml:space="preserve">Chiều</w:t>
            </w:r>
            <w:r>
              <w:t xml:space="preserve"> </w:t>
            </w:r>
            <w:r>
              <w:t xml:space="preserve">sâu</w:t>
            </w:r>
            <w:r>
              <w:t xml:space="preserve"> trung bình (m): </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27,71</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w:t>
            </w:r>
            <w:r>
              <w:rPr>
                <w:color w:val="000000"/>
              </w:rPr>
            </w:r>
            <w:r>
              <w:rPr>
                <w:color w:val="000000"/>
              </w:rPr>
            </w:r>
          </w:p>
          <w:p>
            <w:pPr>
              <w:pBdr/>
              <w:spacing/>
              <w:ind/>
              <w:rPr>
                <w:color w:val="000000"/>
              </w:rPr>
            </w:pPr>
            <w:r>
              <w:rPr>
                <w:color w:val="000000"/>
              </w:rPr>
              <w:t xml:space="preserve">Hạ tầng thoát nước: Rãnh có nắp, </w:t>
            </w:r>
            <w:r>
              <w:rPr>
                <w:color w:val="000000"/>
              </w:rPr>
            </w:r>
            <w:r>
              <w:rPr>
                <w:color w:val="000000"/>
              </w:rPr>
            </w:r>
          </w:p>
          <w:p>
            <w:pPr>
              <w:pBdr/>
              <w:spacing/>
              <w:ind/>
              <w:rPr>
                <w:color w:val="000000"/>
              </w:rPr>
            </w:pPr>
            <w:r>
              <w:rPr>
                <w:color w:val="000000"/>
              </w:rPr>
              <w:t xml:space="preserve">Hạ tầng cấp điện: Điện lưới, </w:t>
            </w:r>
            <w:r>
              <w:rPr>
                <w:color w:val="000000"/>
              </w:rPr>
            </w:r>
            <w:r>
              <w:rPr>
                <w:color w:val="000000"/>
              </w:rPr>
            </w:r>
          </w:p>
          <w:p>
            <w:pPr>
              <w:pBdr/>
              <w:spacing/>
              <w:ind/>
              <w:rPr>
                <w:color w:val="000000"/>
              </w:rPr>
            </w:pPr>
            <w:r>
              <w:rPr>
                <w:color w:val="000000"/>
              </w:rPr>
              <w:t xml:space="preserve">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ở/kinh doanh</w:t>
            </w: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là 01 Nhà tiền chế cột kèo thép mái tôn </w:t>
            </w:r>
            <w:r>
              <w:rPr>
                <w:rFonts w:ascii="Times New Roman" w:hAnsi="Times New Roman" w:eastAsia="Times New Roman" w:cs="Times New Roman"/>
                <w:i/>
                <w:color w:val="000000"/>
                <w:sz w:val="24"/>
              </w:rPr>
              <w:t xml:space="preserve">(Xây dựng trên 02 thửa đất số 230 và 231)</w:t>
            </w:r>
            <w:r>
              <w:rPr>
                <w:rFonts w:ascii="Times New Roman" w:hAnsi="Times New Roman" w:eastAsia="Times New Roman" w:cs="Times New Roman"/>
                <w:color w:val="000000"/>
                <w:sz w:val="24"/>
              </w:rPr>
              <w:t xml:space="preserve">, đang kinh doanh dịch vụ ăn uống.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 + Công trình chưa được chứng nhận trên GCN.</w:t>
            </w: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hd w:val="nil" w:color="auto"/>
        <w:spacing/>
        <w:ind/>
        <w:rPr>
          <w:b/>
          <w:bCs/>
        </w:rPr>
      </w:pPr>
      <w:r>
        <w:rPr>
          <w:b/>
          <w:bCs/>
          <w:highlight w:val="none"/>
          <w:shd w:val="clear" w:color="auto" w:fill="ffffff"/>
        </w:rPr>
        <w:br w:type="page" w:clear="all"/>
      </w:r>
      <w:r>
        <w:rPr>
          <w:b/>
          <w:bCs/>
        </w:rPr>
      </w:r>
      <w:r>
        <w:rPr>
          <w:b/>
          <w:bCs/>
        </w:rPr>
      </w:r>
    </w:p>
    <w:p>
      <w:pPr>
        <w:pBdr/>
        <w:spacing/>
        <w:ind/>
        <w:rPr>
          <w:b/>
          <w:bCs/>
          <w:highlight w:val="none"/>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highlight w:val="none"/>
          <w:shd w:val="clear" w:color="auto" w:fill="ffffff"/>
        </w:rPr>
      </w:r>
      <w:r>
        <w:rPr>
          <w:b/>
          <w:bCs/>
          <w:highlight w:val="none"/>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9"/>
        <w:jc w:val="center"/>
        <w:tblW w:w="0" w:type="auto"/>
        <w:tblBorders/>
        <w:tblLayout w:type="fixed"/>
        <w:tblLook w:val="04A0" w:firstRow="1" w:lastRow="0" w:firstColumn="1" w:lastColumn="0" w:noHBand="0" w:noVBand="1"/>
      </w:tblPr>
      <w:tblGrid>
        <w:gridCol w:w="873"/>
        <w:gridCol w:w="1701"/>
        <w:gridCol w:w="2126"/>
        <w:gridCol w:w="2126"/>
        <w:gridCol w:w="1344"/>
        <w:gridCol w:w="1344"/>
      </w:tblGrid>
      <w:tr>
        <w:trPr>
          <w:jc w:val="center"/>
        </w:trPr>
        <w:tc>
          <w:tcPr>
            <w:tcBorders/>
            <w:tcW w:w="873" w:type="dxa"/>
            <w:vAlign w:val="center"/>
            <w:textDirection w:val="lrTb"/>
            <w:noWrap w:val="false"/>
          </w:tcPr>
          <w:p>
            <w:pPr>
              <w:pBdr/>
              <w:spacing/>
              <w:ind/>
              <w:jc w:val="center"/>
              <w:rPr>
                <w:b/>
                <w:bCs/>
              </w:rPr>
            </w:pPr>
            <w:r>
              <w:rPr>
                <w:b/>
                <w:bCs/>
              </w:rPr>
              <w:t xml:space="preserve">STT</w:t>
            </w:r>
            <w:r>
              <w:rPr>
                <w:b/>
                <w:bCs/>
              </w:rPr>
            </w:r>
            <w:r>
              <w:rPr>
                <w:b/>
                <w:bCs/>
              </w:rPr>
            </w:r>
          </w:p>
        </w:tc>
        <w:tc>
          <w:tcPr>
            <w:tcBorders/>
            <w:tcW w:w="1701"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126"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2126"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44"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344"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873" w:type="dxa"/>
            <w:vAlign w:val="center"/>
            <w:textDirection w:val="lrTb"/>
            <w:noWrap w:val="false"/>
          </w:tcPr>
          <w:p>
            <w:pPr>
              <w:pBdr/>
              <w:spacing/>
              <w:ind/>
              <w:jc w:val="center"/>
              <w:rPr/>
            </w:pPr>
            <w:r>
              <w:t xml:space="preserve">1</w:t>
            </w:r>
            <w:r/>
          </w:p>
        </w:tc>
        <w:tc>
          <w:tcPr>
            <w:tcBorders/>
            <w:tcW w:w="1701" w:type="dxa"/>
            <w:vAlign w:val="center"/>
            <w:textDirection w:val="lrTb"/>
            <w:noWrap w:val="false"/>
          </w:tcPr>
          <w:p>
            <w:pPr>
              <w:pBdr/>
              <w:spacing/>
              <w:ind/>
              <w:jc w:val="center"/>
              <w:rPr/>
            </w:pPr>
            <w:r>
              <w:t xml:space="preserve">Địa chỉ trên sổ</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Thị trấn Long Thành, huyện Long Thành, tỉnh Đồng Nai</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Thị trấn Long Thành, Huyện Long Thành, Tỉnh Đồng Nai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873" w:type="dxa"/>
            <w:vAlign w:val="center"/>
            <w:textDirection w:val="lrTb"/>
            <w:noWrap w:val="false"/>
          </w:tcPr>
          <w:p>
            <w:pPr>
              <w:pBdr/>
              <w:spacing/>
              <w:ind/>
              <w:jc w:val="center"/>
              <w:rPr/>
            </w:pPr>
            <w:r>
              <w:t xml:space="preserve">2</w:t>
            </w:r>
            <w:r/>
          </w:p>
        </w:tc>
        <w:tc>
          <w:tcPr>
            <w:tcBorders/>
            <w:tcW w:w="1701" w:type="dxa"/>
            <w:vAlign w:val="center"/>
            <w:textDirection w:val="lrTb"/>
            <w:noWrap w:val="false"/>
          </w:tcPr>
          <w:p>
            <w:pPr>
              <w:pBdr/>
              <w:spacing/>
              <w:ind/>
              <w:jc w:val="center"/>
              <w:rPr/>
            </w:pPr>
            <w:r>
              <w:t xml:space="preserve">Địa chỉ thực tế</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Xã Long Thành, tỉnh Đồng Nai</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Xã Long Thành, tỉnh Đồng Nai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873" w:type="dxa"/>
            <w:vAlign w:val="center"/>
            <w:textDirection w:val="lrTb"/>
            <w:noWrap w:val="false"/>
          </w:tcPr>
          <w:p>
            <w:pPr>
              <w:pBdr/>
              <w:spacing/>
              <w:ind/>
              <w:jc w:val="center"/>
              <w:rPr/>
            </w:pPr>
            <w:r>
              <w:t xml:space="preserve">3</w:t>
            </w:r>
            <w:r/>
          </w:p>
        </w:tc>
        <w:tc>
          <w:tcPr>
            <w:tcBorders/>
            <w:tcW w:w="1701" w:type="dxa"/>
            <w:vAlign w:val="center"/>
            <w:textDirection w:val="lrTb"/>
            <w:noWrap w:val="false"/>
          </w:tcPr>
          <w:p>
            <w:pPr>
              <w:pBdr/>
              <w:spacing/>
              <w:ind/>
              <w:jc w:val="center"/>
              <w:rPr/>
            </w:pPr>
            <w:r>
              <w:t xml:space="preserve">Pháp lý</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873" w:type="dxa"/>
            <w:vAlign w:val="center"/>
            <w:textDirection w:val="lrTb"/>
            <w:noWrap w:val="false"/>
          </w:tcPr>
          <w:p>
            <w:pPr>
              <w:pBdr/>
              <w:spacing/>
              <w:ind/>
              <w:jc w:val="center"/>
              <w:rPr/>
            </w:pPr>
            <w:r>
              <w:t xml:space="preserve">4</w:t>
            </w:r>
            <w:r/>
          </w:p>
        </w:tc>
        <w:tc>
          <w:tcPr>
            <w:tcBorders/>
            <w:tcW w:w="1701" w:type="dxa"/>
            <w:vAlign w:val="center"/>
            <w:textDirection w:val="lrTb"/>
            <w:noWrap w:val="false"/>
          </w:tcPr>
          <w:p>
            <w:pPr>
              <w:pBdr/>
              <w:spacing/>
              <w:ind/>
              <w:jc w:val="center"/>
              <w:rPr/>
            </w:pPr>
            <w:r>
              <w:t xml:space="preserve">Loại đất</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Đất cơ sở sản xuất phi nông nghiệp </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Đất cơ sở sản xuất phi nông nghiệp </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873" w:type="dxa"/>
            <w:vAlign w:val="center"/>
            <w:textDirection w:val="lrTb"/>
            <w:noWrap w:val="false"/>
          </w:tcPr>
          <w:p>
            <w:pPr>
              <w:pBdr/>
              <w:spacing/>
              <w:ind/>
              <w:jc w:val="center"/>
              <w:rPr/>
            </w:pPr>
            <w:r>
              <w:t xml:space="preserve">5</w:t>
            </w:r>
            <w:r/>
          </w:p>
        </w:tc>
        <w:tc>
          <w:tcPr>
            <w:tcBorders/>
            <w:tcW w:w="1701" w:type="dxa"/>
            <w:vAlign w:val="center"/>
            <w:textDirection w:val="lrTb"/>
            <w:noWrap w:val="false"/>
          </w:tcPr>
          <w:p>
            <w:pPr>
              <w:pBdr/>
              <w:spacing/>
              <w:ind/>
              <w:jc w:val="center"/>
              <w:rPr/>
            </w:pPr>
            <w:r>
              <w:t xml:space="preserve">Thời hạn sử dụng</w:t>
            </w:r>
            <w:r/>
          </w:p>
        </w:tc>
        <w:tc>
          <w:tcPr>
            <w:tcBorders/>
            <w:tcW w:w="2126" w:type="dxa"/>
            <w:vAlign w:val="center"/>
            <w:textDirection w:val="lrTb"/>
            <w:noWrap w:val="false"/>
          </w:tcPr>
          <w:p>
            <w:pPr>
              <w:pBdr/>
              <w:spacing/>
              <w:ind/>
              <w:jc w:val="center"/>
              <w:rPr/>
            </w:pPr>
            <w:r>
              <w:t xml:space="preserve">Lâu dài</w:t>
            </w:r>
            <w:r/>
          </w:p>
        </w:tc>
        <w:tc>
          <w:tcPr>
            <w:tcBorders/>
            <w:tcW w:w="2126" w:type="dxa"/>
            <w:vAlign w:val="center"/>
            <w:textDirection w:val="lrTb"/>
            <w:noWrap w:val="false"/>
          </w:tcPr>
          <w:p>
            <w:pPr>
              <w:pBdr/>
              <w:spacing/>
              <w:ind/>
              <w:jc w:val="center"/>
              <w:rPr/>
            </w:pPr>
            <w:r>
              <w:t xml:space="preserve">Lâu dài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873" w:type="dxa"/>
            <w:vAlign w:val="center"/>
            <w:textDirection w:val="lrTb"/>
            <w:noWrap w:val="false"/>
          </w:tcPr>
          <w:p>
            <w:pPr>
              <w:pBdr/>
              <w:spacing/>
              <w:ind/>
              <w:jc w:val="center"/>
              <w:rPr/>
            </w:pPr>
            <w:r>
              <w:t xml:space="preserve">6</w:t>
            </w:r>
            <w:r/>
          </w:p>
        </w:tc>
        <w:tc>
          <w:tcPr>
            <w:tcBorders/>
            <w:tcW w:w="1701" w:type="dxa"/>
            <w:vAlign w:val="center"/>
            <w:textDirection w:val="lrTb"/>
            <w:noWrap w:val="false"/>
          </w:tcPr>
          <w:p>
            <w:pPr>
              <w:pBdr/>
              <w:spacing/>
              <w:ind/>
              <w:jc w:val="center"/>
              <w:rPr/>
            </w:pPr>
            <w:r>
              <w:t xml:space="preserve">Kết cấu mặt đường</w:t>
            </w:r>
            <w:r/>
          </w:p>
        </w:tc>
        <w:tc>
          <w:tcPr>
            <w:tcBorders/>
            <w:tcW w:w="2126" w:type="dxa"/>
            <w:vAlign w:val="center"/>
            <w:textDirection w:val="lrTb"/>
            <w:noWrap w:val="false"/>
          </w:tcPr>
          <w:p>
            <w:pPr>
              <w:pBdr/>
              <w:spacing/>
              <w:ind/>
              <w:jc w:val="center"/>
              <w:rPr/>
            </w:pPr>
            <w:r>
              <w:t xml:space="preserve">Đường nhựa có vỉa hè</w:t>
            </w:r>
            <w:r/>
          </w:p>
        </w:tc>
        <w:tc>
          <w:tcPr>
            <w:tcBorders/>
            <w:tcW w:w="2126" w:type="dxa"/>
            <w:vAlign w:val="center"/>
            <w:textDirection w:val="lrTb"/>
            <w:noWrap w:val="false"/>
          </w:tcPr>
          <w:p>
            <w:pPr>
              <w:pBdr/>
              <w:spacing/>
              <w:ind/>
              <w:jc w:val="center"/>
              <w:rPr/>
            </w:pPr>
            <w:r>
              <w:t xml:space="preserve">Đường nhựa có vỉa hè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rPr/>
            </w:pPr>
            <w:r/>
            <w:r/>
          </w:p>
        </w:tc>
      </w:tr>
      <w:tr>
        <w:trPr>
          <w:jc w:val="center"/>
        </w:trPr>
        <w:tc>
          <w:tcPr>
            <w:tcBorders/>
            <w:tcW w:w="873" w:type="dxa"/>
            <w:vAlign w:val="center"/>
            <w:textDirection w:val="lrTb"/>
            <w:noWrap w:val="false"/>
          </w:tcPr>
          <w:p>
            <w:pPr>
              <w:pBdr/>
              <w:spacing/>
              <w:ind/>
              <w:jc w:val="center"/>
              <w:rPr/>
            </w:pPr>
            <w:r>
              <w:t xml:space="preserve">7</w:t>
            </w:r>
            <w:r/>
          </w:p>
        </w:tc>
        <w:tc>
          <w:tcPr>
            <w:tcBorders/>
            <w:tcW w:w="1701" w:type="dxa"/>
            <w:vAlign w:val="center"/>
            <w:textDirection w:val="lrTb"/>
            <w:noWrap w:val="false"/>
          </w:tcPr>
          <w:p>
            <w:pPr>
              <w:pBdr/>
              <w:spacing/>
              <w:ind/>
              <w:jc w:val="center"/>
              <w:rPr/>
            </w:pPr>
            <w:r>
              <w:t xml:space="preserve">Mặt cắt đường trước nhà</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Khoảng 12m + vỉa hè</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Khoảng 12m + vỉa hè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rPr/>
            </w:pPr>
            <w:r/>
            <w:r/>
          </w:p>
        </w:tc>
      </w:tr>
      <w:tr>
        <w:trPr>
          <w:jc w:val="center"/>
        </w:trPr>
        <w:tc>
          <w:tcPr>
            <w:tcBorders/>
            <w:tcW w:w="873" w:type="dxa"/>
            <w:vAlign w:val="center"/>
            <w:textDirection w:val="lrTb"/>
            <w:noWrap w:val="false"/>
          </w:tcPr>
          <w:p>
            <w:pPr>
              <w:pBdr/>
              <w:spacing/>
              <w:ind/>
              <w:jc w:val="center"/>
              <w:rPr/>
            </w:pPr>
            <w:r>
              <w:t xml:space="preserve">8</w:t>
            </w:r>
            <w:r/>
          </w:p>
        </w:tc>
        <w:tc>
          <w:tcPr>
            <w:tcBorders/>
            <w:tcW w:w="1701" w:type="dxa"/>
            <w:vAlign w:val="center"/>
            <w:textDirection w:val="lrTb"/>
            <w:noWrap w:val="false"/>
          </w:tcPr>
          <w:p>
            <w:pPr>
              <w:pBdr/>
              <w:spacing/>
              <w:ind/>
              <w:jc w:val="center"/>
              <w:rPr/>
            </w:pPr>
            <w:r>
              <w:t xml:space="preserve">Diện tích</w:t>
            </w:r>
            <w:r/>
          </w:p>
        </w:tc>
        <w:tc>
          <w:tcPr>
            <w:tcBorders/>
            <w:tcW w:w="2126" w:type="dxa"/>
            <w:vAlign w:val="center"/>
            <w:textDirection w:val="lrTb"/>
            <w:noWrap w:val="false"/>
          </w:tcPr>
          <w:p>
            <w:pPr>
              <w:pBdr/>
              <w:spacing/>
              <w:ind/>
              <w:jc w:val="center"/>
              <w:rPr/>
            </w:pPr>
            <w:r>
              <w:t xml:space="preserve">149,1</w:t>
            </w:r>
            <w:r/>
          </w:p>
        </w:tc>
        <w:tc>
          <w:tcPr>
            <w:tcBorders/>
            <w:tcW w:w="2126" w:type="dxa"/>
            <w:vAlign w:val="center"/>
            <w:textDirection w:val="lrTb"/>
            <w:noWrap w:val="false"/>
          </w:tcPr>
          <w:p>
            <w:pPr>
              <w:pBdr/>
              <w:spacing/>
              <w:ind/>
              <w:jc w:val="center"/>
              <w:rPr/>
            </w:pPr>
            <w:r>
              <w:t xml:space="preserve">149,1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rPr/>
            </w:pPr>
            <w:r/>
            <w:r/>
          </w:p>
        </w:tc>
      </w:tr>
      <w:tr>
        <w:trPr>
          <w:jc w:val="center"/>
        </w:trPr>
        <w:tc>
          <w:tcPr>
            <w:tcBorders/>
            <w:tcW w:w="873" w:type="dxa"/>
            <w:vAlign w:val="center"/>
            <w:textDirection w:val="lrTb"/>
            <w:noWrap w:val="false"/>
          </w:tcPr>
          <w:p>
            <w:pPr>
              <w:pBdr/>
              <w:spacing/>
              <w:ind/>
              <w:jc w:val="center"/>
              <w:rPr/>
            </w:pPr>
            <w:r>
              <w:t xml:space="preserve">9</w:t>
            </w:r>
            <w:r/>
          </w:p>
        </w:tc>
        <w:tc>
          <w:tcPr>
            <w:tcBorders/>
            <w:tcW w:w="1701" w:type="dxa"/>
            <w:vAlign w:val="center"/>
            <w:textDirection w:val="lrTb"/>
            <w:noWrap w:val="false"/>
          </w:tcPr>
          <w:p>
            <w:pPr>
              <w:pBdr/>
              <w:spacing/>
              <w:ind/>
              <w:jc w:val="center"/>
              <w:rPr/>
            </w:pPr>
            <w:r>
              <w:t xml:space="preserve">Mặt tiền</w:t>
            </w:r>
            <w:r/>
          </w:p>
        </w:tc>
        <w:tc>
          <w:tcPr>
            <w:tcBorders/>
            <w:tcW w:w="2126" w:type="dxa"/>
            <w:vAlign w:val="center"/>
            <w:textDirection w:val="lrTb"/>
            <w:noWrap w:val="false"/>
          </w:tcPr>
          <w:p>
            <w:pPr>
              <w:pBdr/>
              <w:spacing/>
              <w:ind/>
              <w:jc w:val="center"/>
              <w:rPr/>
            </w:pPr>
            <w:r>
              <w:t xml:space="preserve">5,38</w:t>
            </w:r>
            <w:r/>
          </w:p>
        </w:tc>
        <w:tc>
          <w:tcPr>
            <w:tcBorders/>
            <w:tcW w:w="2126" w:type="dxa"/>
            <w:vAlign w:val="center"/>
            <w:textDirection w:val="lrTb"/>
            <w:noWrap w:val="false"/>
          </w:tcPr>
          <w:p>
            <w:pPr>
              <w:pBdr/>
              <w:spacing/>
              <w:ind/>
              <w:jc w:val="center"/>
              <w:rPr/>
            </w:pPr>
            <w:r>
              <w:t xml:space="preserve">5,38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873" w:type="dxa"/>
            <w:vAlign w:val="center"/>
            <w:textDirection w:val="lrTb"/>
            <w:noWrap w:val="false"/>
          </w:tcPr>
          <w:p>
            <w:pPr>
              <w:pBdr/>
              <w:spacing/>
              <w:ind/>
              <w:jc w:val="center"/>
              <w:rPr/>
            </w:pPr>
            <w:r>
              <w:t xml:space="preserve">10</w:t>
            </w:r>
            <w:r/>
          </w:p>
        </w:tc>
        <w:tc>
          <w:tcPr>
            <w:tcBorders/>
            <w:tcW w:w="1701" w:type="dxa"/>
            <w:vAlign w:val="center"/>
            <w:textDirection w:val="lrTb"/>
            <w:noWrap w:val="false"/>
          </w:tcPr>
          <w:p>
            <w:pPr>
              <w:pBdr/>
              <w:spacing/>
              <w:ind/>
              <w:jc w:val="center"/>
              <w:rPr/>
            </w:pPr>
            <w:r>
              <w:t xml:space="preserve">Mặt tiếp giáp</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873" w:type="dxa"/>
            <w:vAlign w:val="center"/>
            <w:textDirection w:val="lrTb"/>
            <w:noWrap w:val="false"/>
          </w:tcPr>
          <w:p>
            <w:pPr>
              <w:pBdr/>
              <w:spacing/>
              <w:ind/>
              <w:jc w:val="center"/>
              <w:rPr/>
            </w:pPr>
            <w:r>
              <w:t xml:space="preserve">11</w:t>
            </w:r>
            <w:r/>
          </w:p>
        </w:tc>
        <w:tc>
          <w:tcPr>
            <w:tcBorders/>
            <w:tcW w:w="1701" w:type="dxa"/>
            <w:vAlign w:val="center"/>
            <w:textDirection w:val="lrTb"/>
            <w:noWrap w:val="false"/>
          </w:tcPr>
          <w:p>
            <w:pPr>
              <w:pBdr/>
              <w:spacing/>
              <w:ind/>
              <w:jc w:val="center"/>
              <w:rPr/>
            </w:pPr>
            <w:r>
              <w:t xml:space="preserve">Hình dạng thửa đất</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873" w:type="dxa"/>
            <w:vAlign w:val="center"/>
            <w:textDirection w:val="lrTb"/>
            <w:noWrap w:val="false"/>
          </w:tcPr>
          <w:p>
            <w:pPr>
              <w:pBdr/>
              <w:spacing/>
              <w:ind/>
              <w:jc w:val="center"/>
              <w:rPr/>
            </w:pPr>
            <w:r>
              <w:t xml:space="preserve">12</w:t>
            </w:r>
            <w:r/>
          </w:p>
        </w:tc>
        <w:tc>
          <w:tcPr>
            <w:tcBorders/>
            <w:tcW w:w="1701" w:type="dxa"/>
            <w:vAlign w:val="center"/>
            <w:textDirection w:val="lrTb"/>
            <w:noWrap w:val="false"/>
          </w:tcPr>
          <w:p>
            <w:pPr>
              <w:pBdr/>
              <w:spacing/>
              <w:ind/>
              <w:jc w:val="center"/>
              <w:rPr/>
            </w:pPr>
            <w:r>
              <w:t xml:space="preserve">Hướng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bl>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Tại thời điểm khảo sát dưới sự hướng dẫn của Khách hàng, CTXD gắn liền với đất là 01 Nhà tiền chế cột kèo thép, mái tôn </w:t>
      </w:r>
      <w:r>
        <w:rPr>
          <w:rFonts w:ascii="Times New Roman" w:hAnsi="Times New Roman" w:eastAsia="Times New Roman" w:cs="Times New Roman"/>
          <w:i/>
          <w:color w:val="000000"/>
          <w:sz w:val="24"/>
        </w:rPr>
        <w:t xml:space="preserve">(Xây dựng trên 02 thửa đất số 230 và 231)</w:t>
      </w:r>
      <w:r>
        <w:rPr>
          <w:rFonts w:ascii="Times New Roman" w:hAnsi="Times New Roman" w:eastAsia="Times New Roman" w:cs="Times New Roman"/>
          <w:color w:val="000000"/>
          <w:sz w:val="24"/>
        </w:rPr>
        <w:t xml:space="preserve">, đang kinh doanh dịch vụ ăn uống</w:t>
      </w:r>
      <w:r>
        <w:rPr>
          <w:rFonts w:ascii="Times New Roman" w:hAnsi="Times New Roman" w:eastAsia="Times New Roman" w:cs="Times New Roman"/>
          <w:color w:val="000000"/>
          <w:spacing w:val="-2"/>
          <w:sz w:val="24"/>
        </w:rPr>
        <w:t xml:space="preserve">. Công trình chưa được chứng nhận trên GCN. Đồng thời, Tổ thẩm định không nhận được bất kỳ hồ sơ pháp lý nào liên quan đến CTXD nêu trên. Do vậy, theo đề nghị của Ngân hàng/Khách hàng, Tổ thẩm định không xác định giá trị của công trình xây dựng vào tổng gi</w:t>
      </w:r>
      <w:r>
        <w:rPr>
          <w:rFonts w:ascii="Times New Roman" w:hAnsi="Times New Roman" w:eastAsia="Times New Roman" w:cs="Times New Roman"/>
          <w:color w:val="000000"/>
          <w:spacing w:val="-2"/>
          <w:sz w:val="24"/>
        </w:rPr>
        <w:t xml:space="preserve">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rPr>
      </w: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5"/>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2"/>
          <w:lang w:val="pt-BR"/>
        </w:rPr>
        <w:t xml:space="preserve">.</w:t>
      </w:r>
      <w:r>
        <w:rPr>
          <w:lang w:val="de-DE"/>
        </w:rPr>
      </w:r>
      <w:r>
        <w:rPr>
          <w:lang w:val="de-DE"/>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 </w:t>
      </w:r>
      <w:r>
        <w:rPr>
          <w:rFonts w:ascii="Times New Roman" w:hAnsi="Times New Roman" w:eastAsia="Times New Roman" w:cs="Times New Roman"/>
          <w:b/>
          <w:color w:val="000000"/>
          <w:sz w:val="24"/>
        </w:rPr>
        <w:t xml:space="preserve">ONT+SKC nằm trong quy hoạch đất ở đô thị (139,9m2)</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701"/>
        <w:gridCol w:w="1772"/>
        <w:gridCol w:w="1772"/>
        <w:gridCol w:w="1772"/>
        <w:gridCol w:w="1772"/>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65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Thị trấn Long Thành, huyện Long Thành, tỉnh Đồng Nai (Nay là xã Long Thành, tỉnh Đồng Nai)</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Thị trấn Long Thành, huyện Long Thành, tỉnh Đồng Nai (Nay là xã Long Thành, tỉnh Đồng Nai)</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Thị trấn Long Thành, huyện Long Thành, tỉnh Đồng Nai (Nay là xã Long Thành, tỉnh Đồng Nai)</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Thị trấn Long Thành, huyện Long Thành, tỉnh Đồng Nai (Nay là xã Long Thành, tỉnh Đồng Nai)</w:t>
            </w:r>
            <w:r/>
          </w:p>
        </w:tc>
      </w:tr>
      <w:tr>
        <w:trPr>
          <w:trHeight w:val="138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hyperlink r:id="rId21" w:tooltip="https://guland.vn/post/nha-dat-tt-long-thanh-long-thanh-dong-nai-1004684" w:history="1">
              <w:r>
                <w:rPr>
                  <w:rStyle w:val="1025"/>
                  <w:rFonts w:ascii="Times New Roman" w:hAnsi="Times New Roman" w:eastAsia="Times New Roman" w:cs="Times New Roman"/>
                  <w:color w:val="000000"/>
                  <w:sz w:val="22"/>
                  <w:u w:val="none"/>
                </w:rPr>
                <w:t xml:space="preserve">https://guland.vn/post/nha-dat-tt-long-thanh-long-thanh-dong-nai-1004684</w:t>
              </w:r>
            </w:hyperlink>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hyperlink r:id="rId22" w:tooltip="https://www.facebook.com/groups/532175374217462/permalink/2078979586203692/" w:history="1">
              <w:r>
                <w:rPr>
                  <w:rStyle w:val="1025"/>
                  <w:rFonts w:ascii="Times New Roman" w:hAnsi="Times New Roman" w:eastAsia="Times New Roman" w:cs="Times New Roman"/>
                  <w:color w:val="000000"/>
                  <w:sz w:val="22"/>
                  <w:u w:val="none"/>
                </w:rPr>
                <w:t xml:space="preserve">https://www.facebook.com/groups/532175374217462/permalink/2078979586203692/</w:t>
              </w:r>
            </w:hyperlink>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0909.371.552 </w:t>
              <w:br/>
              <w:t xml:space="preserve">(Sale)</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0933.564.010 </w:t>
              <w:br/>
              <w:t xml:space="preserve">(Sale)</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0933.564.010 </w:t>
              <w:br/>
              <w:t xml:space="preserve">(Sale)</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Đã giao dịch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01/2026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01/2026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01/2026 </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23"/>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ONT: 105,2m2</w:t>
              <w:br/>
              <w:t xml:space="preserve">SKC: 34,7m2</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ONT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ONT: 50m2</w:t>
              <w:br/>
              <w:t xml:space="preserve">CLN: 94,9m2</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ONT</w:t>
            </w:r>
            <w:r/>
          </w:p>
        </w:tc>
      </w:tr>
      <w:tr>
        <w:trPr>
          <w:trHeight w:val="2354"/>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mặt đường Phạm Văn Đồng, xã Long Thành, tỉnh Đồng Nai; cách trung tâm chợ Long Thành khoảng 700m</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mặt đường Nguyễn Văn Cừ, xã Long Thành, tỉnh Đồng Nai; cách trung tâm chợ Long Thành khoảng 750m</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mặt đường Phạm Văn Đồng, xã Long Thành, tỉnh Đồng Nai; cách trung tâm chợ Long Thành qua cầu vượt Long Thành khoảng 2,2km</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mặt đường Phạm Văn Đồng, xã Long Thành, tỉnh Đồng Nai; cách trung tâm chợ Long Thành qua cầu vượt Long Thành khoảng 2km</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12m+vỉa hè</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10m+vỉa hè</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12m+vỉa hè</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12m+vỉa hè</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nằm trong quy hoạch đất ở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139,9</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81,3</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144,9</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100,2</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ở nằm trong quy hoạch đất giao thông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12,4</w:t>
            </w:r>
            <w:r/>
          </w:p>
        </w:tc>
      </w:tr>
      <w:tr>
        <w:trPr>
          <w:trHeight w:val="1104"/>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nông nghiệp nằm trong quy hoạch đất giao thông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27,3</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17,5</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5,38</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6,27</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519"/>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ở/kinh doanh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ở/kinh doanh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ở/kinh doanh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ở/kinh doanh</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Lán tạm, bán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cấp 4</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6.500.000.000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6.500.000.000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7.200.000.000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5.200.000.000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6.500.000.000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6.480.000.000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280.972.800</w:t>
            </w:r>
            <w:r/>
          </w:p>
        </w:tc>
      </w:tr>
      <w:tr>
        <w:trPr>
          <w:trHeight w:val="14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5.619.456</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ind/>
              <w:rPr/>
            </w:pPr>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nằm trong quy hoạch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7.644.000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141.300.000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i/>
                <w:color w:val="000000"/>
                <w:sz w:val="22"/>
              </w:rPr>
              <w:t xml:space="preserve">Đơn giá đất ở theo UBND (Đồng/m2)</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11.000.000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11.000.000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11.000.000</w:t>
            </w:r>
            <w:r/>
          </w:p>
        </w:tc>
      </w:tr>
      <w:tr>
        <w:trPr>
          <w:trHeight w:val="55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i/>
                <w:color w:val="000000"/>
                <w:sz w:val="22"/>
              </w:rPr>
              <w:t xml:space="preserve">Đơn giá đất NN theo UBND (Đồng/m2)</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280.000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280.000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2"/>
              </w:rPr>
              <w:t xml:space="preserve">280.000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nằm ngoài quy hoạch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5.200.000.000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6.492.356.000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6.057.727.200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63.960.640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44.805.769</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60.456.359</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nằm trong quy hoạch đất ở</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559"/>
        <w:gridCol w:w="850"/>
        <w:gridCol w:w="1595"/>
        <w:gridCol w:w="1595"/>
        <w:gridCol w:w="1595"/>
        <w:gridCol w:w="1595"/>
      </w:tblGrid>
      <w:tr>
        <w:trPr>
          <w:trHeight w:val="377"/>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5.200.000.000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6.492.356.000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6.057.727.200</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63.960.640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44.805.769</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60.456.359</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7"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63.960.640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44.805.769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60.456.359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7"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 105,2m2</w:t>
              <w:br/>
              <w:t xml:space="preserve">SKC: 34,7m2</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 50m2</w:t>
              <w:br/>
              <w:t xml:space="preserve">CLN: 94,9m2</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-6.396.064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4.480.577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-6.045.636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57.564.576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49.286.346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54.410.723 </w:t>
            </w:r>
            <w:r/>
          </w:p>
        </w:tc>
      </w:tr>
      <w:tr>
        <w:trPr>
          <w:trHeight w:val="2361"/>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7"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mặt đường Phạm Văn Đồng, xã Long Thành, tỉnh Đồng Nai; cách trung tâm chợ Long Thành khoảng 700m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mặt đường Nguyễn Văn Cừ, xã Long Thành, tỉnh Đồng Nai; cách trung tâm chợ Long Thành khoảng 750m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mặt đường Phạm Văn Đồng, xã Long Thành, tỉnh Đồng Nai; cách trung tâm chợ Long Thành qua cầu vượt Long Thành khoảng 2,2km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mặt đường Phạm Văn Đồng, xã Long Thành, tỉnh Đồng Nai; cách trung tâm chợ Long Thành qua cầu vượt Long Thành khoảng 2km</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4.480.577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6.045.636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57.564.576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53.766.923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60.456.359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7"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12m+vỉa hè</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10m+vỉa hè</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12m+vỉa hè</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12m+vỉa hè</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3.198.032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60.762.608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53.766.923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60.456.359 </w:t>
            </w:r>
            <w:r/>
          </w:p>
        </w:tc>
      </w:tr>
      <w:tr>
        <w:trPr>
          <w:trHeight w:val="828"/>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7"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đất nằm trong quy hoạch đất ở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139,9</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81,3</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144,9</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100,2</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-6.396.064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-3.627.382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54.366.544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53.766.923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56.828.978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7"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5,4</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6,27</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3.198.032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-3.022.818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57.564.576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53.766.923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53.806.160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7"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57.564.576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53.766.923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53.806.160 </w:t>
            </w:r>
            <w:r/>
          </w:p>
        </w:tc>
      </w:tr>
      <w:tr>
        <w:trPr>
          <w:trHeight w:val="319"/>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7"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57.564.576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53.766.923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53.806.160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57.564.576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53.766.923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53.806.160 </w:t>
            </w:r>
            <w:r/>
          </w:p>
        </w:tc>
      </w:tr>
      <w:tr>
        <w:trPr>
          <w:trHeight w:val="17"/>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6" w:space="0"/>
              <w:right w:val="single" w:color="000000" w:sz="6" w:space="0"/>
            </w:tcBorders>
            <w:tcMar>
              <w:left w:w="0" w:type="dxa"/>
              <w:top w:w="0" w:type="dxa"/>
              <w:right w:w="0" w:type="dxa"/>
              <w:bottom w:w="0" w:type="dxa"/>
            </w:tcMar>
            <w:tcW w:w="478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55.045.886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4,58%</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-2,32%</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-2,25%</w:t>
            </w:r>
            <w:r/>
          </w:p>
        </w:tc>
      </w:tr>
      <w:tr>
        <w:trPr>
          <w:trHeight w:val="20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39"/>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19.188.192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8.961.154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18.741.471 </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- 10%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- 10%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- 10%</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6.396.064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8.961.154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6.650.200 </w:t>
            </w:r>
            <w:r/>
          </w:p>
        </w:tc>
      </w:tr>
    </w:tbl>
    <w:p>
      <w:pPr>
        <w:pBdr/>
        <w:spacing w:after="120" w:before="120" w:line="276" w:lineRule="auto"/>
        <w:ind/>
        <w:jc w:val="both"/>
        <w:rPr>
          <w:b/>
          <w:bCs/>
          <w:i/>
          <w:iCs/>
          <w:highlight w:val="none"/>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highlight w:val="none"/>
        </w:rPr>
      </w:r>
      <w:r>
        <w:rPr>
          <w:b/>
          <w:bCs/>
          <w:i/>
          <w:iCs/>
          <w:highlight w:val="none"/>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-2,32</w:t>
      </w:r>
      <w:r>
        <w:t xml:space="preserve">% </w:t>
      </w:r>
      <w:r>
        <w:t xml:space="preserve">đến</w:t>
      </w:r>
      <w:r>
        <w:t xml:space="preserve"> </w:t>
      </w:r>
      <w:r>
        <w:t xml:space="preserve"> </w:t>
      </w:r>
      <w:r>
        <w:t xml:space="preserve">4,58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hd w:val="nil" w:color="auto"/>
        <w:spacing/>
        <w:ind/>
        <w:rPr>
          <w:b/>
          <w:bCs/>
          <w:i/>
          <w:highlight w:val="none"/>
          <w:u w:val="single"/>
        </w:rPr>
      </w:pPr>
      <w:r>
        <w:rPr>
          <w:b/>
          <w:bCs/>
          <w:i/>
          <w:iCs/>
          <w:highlight w:val="none"/>
          <w:u w:val="single"/>
        </w:rPr>
        <w:br w:type="page" w:clear="all"/>
      </w:r>
      <w:r>
        <w:rPr>
          <w:b/>
          <w:bCs/>
          <w:i/>
          <w:highlight w:val="none"/>
          <w:u w:val="single"/>
        </w:rPr>
      </w:r>
      <w:r>
        <w:rPr>
          <w:b/>
          <w:bCs/>
          <w:i/>
          <w:highlight w:val="none"/>
          <w:u w:val="single"/>
        </w:rPr>
      </w:r>
    </w:p>
    <w:p>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highlight w:val="none"/>
          <w:u w:val="single"/>
        </w:rPr>
      </w:r>
      <w:r>
        <w:rPr>
          <w:b/>
          <w:bCs/>
          <w:i/>
          <w:iCs/>
          <w:highlight w:val="none"/>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57.564.576</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19.188.192</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53.766.923</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17.922.308</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53.806.160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17.935.387</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55.045.886</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55.000.000</w:t>
            </w: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55.000.000</w:t>
      </w:r>
      <w:r>
        <w:rPr>
          <w:b/>
          <w:bCs/>
          <w:color w:val="000000" w:themeColor="text1"/>
        </w:rPr>
        <w:t xml:space="preserve"> </w:t>
      </w:r>
      <w:r>
        <w:rPr>
          <w:b/>
          <w:bCs/>
        </w:rPr>
        <w:t xml:space="preserve">đồng</w:t>
      </w:r>
      <w:r>
        <w:rPr>
          <w:b/>
          <w:bCs/>
        </w:rPr>
        <w:t xml:space="preserve">/m².</w:t>
      </w:r>
      <w:r>
        <w:rPr>
          <w:b/>
          <w:bCs/>
        </w:rPr>
      </w:r>
      <w:r>
        <w:rPr>
          <w:b/>
          <w:bCs/>
        </w:rPr>
      </w:r>
    </w:p>
    <w:p>
      <w:pPr>
        <w:pStyle w:val="1035"/>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rFonts w:ascii="Times New Roman" w:hAnsi="Times New Roman" w:eastAsia="Times New Roman" w:cs="Times New Roman"/>
          <w:b/>
          <w:color w:val="000000"/>
          <w:sz w:val="24"/>
        </w:rPr>
        <w:t xml:space="preserve">đơn giá quyền sử dụng đất SKC nằm trong quy hoạch đất giao thông (9,2m2):</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Cho mục đích định giá tại báo cáo này, đối với đất SKC nằm trong quy hoạch giao thông, tổ thẩm định đề xuất xác định theo Bảng giá đất địa bản tỉnh Đồng Nai.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Căn cứ Nghị quyết số 28/2025/NQ-HĐND ngày 10/12/2025 của Hội đồng nhân dân tỉnh Đồng Nai về việc Ban hành quy định Bảng giá đất lần đầu trên địa bàn tỉnh Đồng Nai năm 2026. Đơn giá đất SKC tại VT1-Đường Phạm Văn Đồng: Từ đường Lê Duẩn đến giáp xã Nhơn Trạc</w:t>
      </w:r>
      <w:r>
        <w:rPr>
          <w:rFonts w:ascii="Times New Roman" w:hAnsi="Times New Roman" w:eastAsia="Times New Roman" w:cs="Times New Roman"/>
          <w:color w:val="000000"/>
          <w:sz w:val="24"/>
        </w:rPr>
        <w:t xml:space="preserve">h là: </w:t>
      </w:r>
      <w:r>
        <w:rPr>
          <w:rFonts w:ascii="Times New Roman" w:hAnsi="Times New Roman" w:eastAsia="Times New Roman" w:cs="Times New Roman"/>
          <w:b/>
          <w:color w:val="000000"/>
          <w:sz w:val="24"/>
        </w:rPr>
        <w:t xml:space="preserve">7.200.000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=&gt; Đơn giá đất SKC nằm trong quy hoạch đất giao thông là: </w:t>
      </w:r>
      <w:r>
        <w:rPr>
          <w:rFonts w:ascii="Times New Roman" w:hAnsi="Times New Roman" w:eastAsia="Times New Roman" w:cs="Times New Roman"/>
          <w:b/>
          <w:color w:val="000000"/>
          <w:sz w:val="24"/>
        </w:rPr>
        <w:t xml:space="preserve">7.200.000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w:t>
      </w:r>
      <w:r>
        <w:rPr>
          <w:rFonts w:ascii="Times New Roman" w:hAnsi="Times New Roman" w:eastAsia="Times New Roman" w:cs="Times New Roman"/>
          <w:sz w:val="24"/>
        </w:rPr>
      </w:r>
      <w:r/>
    </w:p>
    <w:p>
      <w:pPr>
        <w:pStyle w:val="103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976"/>
        <w:gridCol w:w="1701"/>
        <w:gridCol w:w="1984"/>
        <w:gridCol w:w="2126"/>
      </w:tblGrid>
      <w:tr>
        <w:trPr>
          <w:trHeight w:val="624"/>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337"/>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61"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231, tờ bản đồ số 81 có địa chỉ: Thị trấn Long Thành, huyện Long Thành, tỉnh Đồng Nai (Nay là xã Long Thành, tỉnh Đồng Nai) theo Giấy chứng nhận quyền sử dụng đất quyền sở hữu nhà ở và tài sản khác gắn liền với đất số: CV</w:t>
            </w:r>
            <w:r>
              <w:rPr>
                <w:rFonts w:ascii="Times New Roman" w:hAnsi="Times New Roman" w:eastAsia="Times New Roman" w:cs="Times New Roman"/>
                <w:b/>
                <w:color w:val="000000"/>
                <w:sz w:val="24"/>
              </w:rPr>
              <w:t xml:space="preserve"> 659020, số vào sổ cấp GCN: CS 21801 do Sở Tài nguyên và Môi trường tỉnh Đồng Nai cấp ngày 18/6/2020; Chủ sử dụng đất là Ông Trần Tuấn Khải.</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Đất ONT + Đất SKC nằm trong quy hoạch đất ở đô thị</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139,9</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55.000.000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7.694.500.000</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Đất SKC nằm trong quy hoạch đất giao thông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9,2</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7.200.000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66.240.000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7.760.740.000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7.761.000.000</w:t>
            </w:r>
            <w:r/>
          </w:p>
        </w:tc>
      </w:tr>
      <w:tr>
        <w:trPr>
          <w:trHeight w:val="324"/>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76" w:lineRule="auto"/>
              <w:ind/>
              <w:jc w:val="center"/>
              <w:rPr/>
            </w:pPr>
            <w:r>
              <w:rPr>
                <w:rFonts w:ascii="Times New Roman" w:hAnsi="Times New Roman" w:eastAsia="Times New Roman" w:cs="Times New Roman"/>
                <w:b/>
                <w:i/>
                <w:color w:val="000000"/>
                <w:sz w:val="24"/>
              </w:rPr>
              <w:t xml:space="preserve">(Bằng chữ: Bảy tỷ, bảy trăm sáu mươi mốt triệu đồng chẵn./.)</w:t>
            </w:r>
            <w:r/>
          </w:p>
        </w:tc>
      </w:tr>
    </w:tbl>
    <w:p>
      <w:pPr>
        <w:pStyle w:val="1035"/>
        <w:pBdr/>
        <w:tabs>
          <w:tab w:val="left" w:leader="none" w:pos="993"/>
        </w:tabs>
        <w:spacing w:after="120" w:before="120" w:line="276" w:lineRule="auto"/>
        <w:ind w:left="0"/>
        <w:jc w:val="both"/>
        <w:rPr/>
      </w:pPr>
      <w:r/>
      <w:r/>
    </w:p>
    <w:p>
      <w:pPr>
        <w:pStyle w:val="1035"/>
        <w:pBdr/>
        <w:tabs>
          <w:tab w:val="left" w:leader="none" w:pos="993"/>
        </w:tabs>
        <w:spacing w:after="120" w:before="120" w:line="300"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300"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5"/>
        <w:pBdr/>
        <w:tabs>
          <w:tab w:val="left" w:leader="none" w:pos="993"/>
        </w:tabs>
        <w:spacing w:after="120" w:before="120" w:line="300"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300"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5"/>
        <w:numPr>
          <w:ilvl w:val="0"/>
          <w:numId w:val="5"/>
        </w:numPr>
        <w:pBdr/>
        <w:tabs>
          <w:tab w:val="left" w:leader="none" w:pos="993"/>
        </w:tabs>
        <w:spacing w:after="120" w:before="120" w:line="300"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5"/>
        <w:numPr>
          <w:ilvl w:val="0"/>
          <w:numId w:val="5"/>
        </w:numPr>
        <w:pBdr/>
        <w:tabs>
          <w:tab w:val="left" w:leader="none" w:pos="993"/>
        </w:tabs>
        <w:spacing w:after="120" w:before="120" w:line="300"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5"/>
        </w:numPr>
        <w:pBdr/>
        <w:tabs>
          <w:tab w:val="left" w:leader="none" w:pos="993"/>
        </w:tabs>
        <w:spacing w:after="120" w:before="120" w:line="300"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5"/>
        <w:numPr>
          <w:ilvl w:val="0"/>
          <w:numId w:val="10"/>
        </w:numPr>
        <w:pBdr/>
        <w:spacing w:after="120" w:before="120" w:line="300"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300"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300"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5"/>
        <w:pBdr/>
        <w:tabs>
          <w:tab w:val="left" w:leader="none" w:pos="993"/>
        </w:tabs>
        <w:spacing w:after="120" w:before="120" w:line="300"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300"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5"/>
        <w:numPr>
          <w:ilvl w:val="0"/>
          <w:numId w:val="5"/>
        </w:numPr>
        <w:pBdr/>
        <w:tabs>
          <w:tab w:val="left" w:leader="none" w:pos="993"/>
        </w:tabs>
        <w:spacing w:after="120" w:before="120" w:line="300"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5"/>
        </w:numPr>
        <w:pBdr/>
        <w:tabs>
          <w:tab w:val="left" w:leader="none" w:pos="993"/>
        </w:tabs>
        <w:spacing w:after="120" w:before="120" w:line="300"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5"/>
        <w:numPr>
          <w:ilvl w:val="0"/>
          <w:numId w:val="5"/>
        </w:numPr>
        <w:pBdr/>
        <w:tabs>
          <w:tab w:val="left" w:leader="none" w:pos="993"/>
        </w:tabs>
        <w:spacing w:after="120" w:before="120" w:line="300"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5"/>
        <w:numPr>
          <w:ilvl w:val="0"/>
          <w:numId w:val="5"/>
        </w:numPr>
        <w:pBdr/>
        <w:tabs>
          <w:tab w:val="left" w:leader="none" w:pos="993"/>
        </w:tabs>
        <w:spacing w:after="120" w:before="120" w:line="300"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5"/>
        <w:numPr>
          <w:ilvl w:val="0"/>
          <w:numId w:val="5"/>
        </w:numPr>
        <w:pBdr/>
        <w:tabs>
          <w:tab w:val="left" w:leader="none" w:pos="993"/>
        </w:tabs>
        <w:spacing w:after="120" w:before="120" w:line="300"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5"/>
        <w:numPr>
          <w:ilvl w:val="0"/>
          <w:numId w:val="5"/>
        </w:numPr>
        <w:pBdr/>
        <w:spacing w:after="120" w:before="120" w:line="300"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300"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5"/>
        <w:numPr>
          <w:ilvl w:val="0"/>
          <w:numId w:val="5"/>
        </w:numPr>
        <w:pBdr/>
        <w:spacing w:after="120" w:before="120" w:line="300"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300" w:lineRule="auto"/>
        <w:ind/>
        <w:jc w:val="both"/>
        <w:rPr/>
      </w:pPr>
      <w:r>
        <w:rPr>
          <w:rFonts w:ascii="Times New Roman" w:hAnsi="Times New Roman" w:eastAsia="Times New Roman" w:cs="Times New Roman"/>
          <w:color w:val="000000"/>
          <w:sz w:val="24"/>
        </w:rPr>
        <w:t xml:space="preserve">Tại thời điểm khảo sát dưới sự hướng dẫn của Khách hàng, CTXD gắn liền với đất là 01 Nhà tiền chế cột kèo thép, mái tôn </w:t>
      </w:r>
      <w:r>
        <w:rPr>
          <w:rFonts w:ascii="Times New Roman" w:hAnsi="Times New Roman" w:eastAsia="Times New Roman" w:cs="Times New Roman"/>
          <w:i/>
          <w:color w:val="000000"/>
          <w:sz w:val="24"/>
        </w:rPr>
        <w:t xml:space="preserve">(Xây dựng trên 02 thửa đất số 230 và 231)</w:t>
      </w:r>
      <w:r>
        <w:rPr>
          <w:rFonts w:ascii="Times New Roman" w:hAnsi="Times New Roman" w:eastAsia="Times New Roman" w:cs="Times New Roman"/>
          <w:color w:val="000000"/>
          <w:sz w:val="24"/>
        </w:rPr>
        <w:t xml:space="preserve">, đang kinh doanh dịch vụ ăn uống</w:t>
      </w:r>
      <w:r>
        <w:rPr>
          <w:rFonts w:ascii="Times New Roman" w:hAnsi="Times New Roman" w:eastAsia="Times New Roman" w:cs="Times New Roman"/>
          <w:color w:val="000000"/>
          <w:spacing w:val="-2"/>
          <w:sz w:val="24"/>
        </w:rPr>
        <w:t xml:space="preserve">. Công trình chưa được chứng nhận trên GCN. Đồng thời, Tổ thẩm định không nhận được bất kỳ hồ sơ pháp lý nào liên quan đến CTXD nêu trên. Do vậy, theo đề nghị của Ngân hàng/Khách hàng, Tổ thẩm định không xác định giá trị của công trình xây dựng vào tổng gi</w:t>
      </w:r>
      <w:r>
        <w:rPr>
          <w:rFonts w:ascii="Times New Roman" w:hAnsi="Times New Roman" w:eastAsia="Times New Roman" w:cs="Times New Roman"/>
          <w:color w:val="000000"/>
          <w:spacing w:val="-2"/>
          <w:sz w:val="24"/>
        </w:rPr>
        <w:t xml:space="preserve">á trị, nhưng vẫn coi đó là phần không thể tách rời của tài sản thẩm định. Kính đề nghị đơn vị sử dụng kết quả lưu ý.</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300" w:lineRule="auto"/>
        <w:ind/>
        <w:jc w:val="both"/>
        <w:rPr/>
      </w:pPr>
      <w:r>
        <w:rPr>
          <w:rFonts w:ascii="Times New Roman" w:hAnsi="Times New Roman" w:eastAsia="Times New Roman" w:cs="Times New Roman"/>
          <w:color w:val="000000"/>
          <w:sz w:val="24"/>
        </w:rPr>
        <w:t xml:space="preserve">Giá trị tài sản thẩm định giá được ước tính dựa trên giả định không có bất kỳ yếu tố nào làm cản trở ảnh hưởng đến việc giao dịch bình thường của tài sản trên thị trường.</w:t>
      </w:r>
      <w:r/>
    </w:p>
    <w:p>
      <w:pPr>
        <w:pStyle w:val="1035"/>
        <w:numPr>
          <w:ilvl w:val="0"/>
          <w:numId w:val="3"/>
        </w:numPr>
        <w:pBdr/>
        <w:tabs>
          <w:tab w:val="left" w:leader="none" w:pos="993"/>
        </w:tabs>
        <w:spacing w:after="120" w:before="120" w:line="300"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300"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5"/>
        </w:numPr>
        <w:pBdr/>
        <w:tabs>
          <w:tab w:val="left" w:leader="none" w:pos="993"/>
        </w:tabs>
        <w:spacing w:after="120" w:before="120" w:line="300"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300"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300"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5"/>
        <w:pBdr/>
        <w:tabs>
          <w:tab w:val="left" w:leader="none" w:pos="993"/>
        </w:tabs>
        <w:spacing w:after="120" w:before="120" w:line="300"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lang w:val="vi-VN"/>
        </w:rPr>
      </w:r>
      <w:r>
        <w:rPr>
          <w:lang w:val="vi-VN"/>
        </w:rPr>
      </w:r>
    </w:p>
    <w:p>
      <w:pPr>
        <w:pStyle w:val="1035"/>
        <w:pBdr/>
        <w:tabs>
          <w:tab w:val="left" w:leader="none" w:pos="993"/>
        </w:tabs>
        <w:spacing w:after="120" w:before="120" w:line="300"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275/2026/0211/VFI-CT.21.A</w:t>
      </w:r>
      <w:r>
        <w:rPr>
          <w:color w:val="ff0000"/>
          <w:lang w:val="vi-VN"/>
        </w:rPr>
        <w:t xml:space="preserve"> </w:t>
      </w:r>
      <w:r>
        <w:rPr>
          <w:color w:val="000000" w:themeColor="text1"/>
        </w:rPr>
        <w:t xml:space="preserve">ngày 27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275/2026/0211/VFI-BC.21.A</w:t>
      </w:r>
      <w:r>
        <w:rPr>
          <w:i/>
          <w:lang w:val="pt-BR"/>
        </w:rPr>
        <w:t xml:space="preserve"> </w:t>
      </w:r>
      <w:r>
        <w:rPr>
          <w:i/>
          <w:lang w:val="pt-BR"/>
        </w:rPr>
        <w:t xml:space="preserve">ngày 27 tháng 01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97200" cy="21600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475914" name=""/>
                              <pic:cNvPicPr>
                                <a:picLocks noChangeAspect="1"/>
                              </pic:cNvPicPr>
                              <pic:nvPr/>
                            </pic:nvPicPr>
                            <pic:blipFill rotWithShape="1">
                              <a:blip r:embed="rId23"/>
                              <a:stretch/>
                            </pic:blipFill>
                            <pic:spPr bwMode="auto">
                              <a:xfrm rot="0" flipH="0" flipV="0">
                                <a:off x="0" y="0"/>
                                <a:ext cx="9972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78.52pt;height:170.08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280798" name=""/>
                              <pic:cNvPicPr>
                                <a:picLocks noChangeAspect="1"/>
                              </pic:cNvPicPr>
                              <pic:nvPr/>
                            </pic:nvPicPr>
                            <pic:blipFill rotWithShape="1">
                              <a:blip r:embed="rId24"/>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77pt;height:170.08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20000" cy="21600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85341" name=""/>
                              <pic:cNvPicPr>
                                <a:picLocks noChangeAspect="1"/>
                              </pic:cNvPicPr>
                              <pic:nvPr/>
                            </pic:nvPicPr>
                            <pic:blipFill rotWithShape="1">
                              <a:blip r:embed="rId25"/>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27.56pt;height:170.08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7528" name=""/>
                              <pic:cNvPicPr>
                                <a:picLocks noChangeAspect="1"/>
                              </pic:cNvPicPr>
                              <pic:nvPr/>
                            </pic:nvPicPr>
                            <pic:blipFill rotWithShape="1">
                              <a:blip r:embed="rId26"/>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70.08pt;mso-wrap-distance-left:0.00pt;mso-wrap-distance-top:0.00pt;mso-wrap-distance-right:0.00pt;mso-wrap-distance-bottom:0.00pt;rotation:0;z-index:1;" stroked="false">
                      <v:imagedata r:id="rId26"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55897" name=""/>
                              <pic:cNvPicPr>
                                <a:picLocks noChangeAspect="1"/>
                              </pic:cNvPicPr>
                              <pic:nvPr/>
                            </pic:nvPicPr>
                            <pic:blipFill rotWithShape="1">
                              <a:blip r:embed="rId27"/>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70.08pt;mso-wrap-distance-left:0.00pt;mso-wrap-distance-top:0.00pt;mso-wrap-distance-right:0.00pt;mso-wrap-distance-bottom:0.00pt;rotation:0;z-index:1;" stroked="false">
                      <v:imagedata r:id="rId27"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157393" name=""/>
                              <pic:cNvPicPr>
                                <a:picLocks noChangeAspect="1"/>
                              </pic:cNvPicPr>
                              <pic:nvPr/>
                            </pic:nvPicPr>
                            <pic:blipFill rotWithShape="1">
                              <a:blip r:embed="rId28"/>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70.08pt;mso-wrap-distance-left:0.00pt;mso-wrap-distance-top:0.00pt;mso-wrap-distance-right:0.00pt;mso-wrap-distance-bottom:0.00pt;rotation:0;z-index:1;" stroked="false">
                      <v:imagedata r:id="rId28"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275/2026/0211/VFI-BC.21.A</w:t>
      </w:r>
      <w:r>
        <w:rPr>
          <w:i/>
          <w:lang w:val="pt-BR"/>
        </w:rPr>
        <w:t xml:space="preserve"> </w:t>
      </w:r>
      <w:r>
        <w:rPr>
          <w:i/>
          <w:lang w:val="pt-BR"/>
        </w:rPr>
        <w:t xml:space="preserve">ngày 27 tháng 01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bCs/>
          <w:i/>
          <w:highlight w:val="none"/>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bCs/>
          <w:i/>
          <w:highlight w:val="none"/>
          <w:lang w:val="pt-BR"/>
        </w:rPr>
      </w:r>
      <w:r>
        <w:rPr>
          <w:bCs/>
          <w:i/>
          <w:highlight w:val="none"/>
          <w:lang w:val="pt-BR"/>
        </w:rPr>
      </w:r>
    </w:p>
    <w:p>
      <w:pPr>
        <w:pBdr/>
        <w:spacing w:after="120"/>
        <w:ind/>
        <w:jc w:val="center"/>
        <w:rPr>
          <w:bCs/>
          <w:i/>
          <w:highlight w:val="none"/>
          <w:lang w:val="pt-BR" w:bidi="pt-BR"/>
        </w:rPr>
      </w:pPr>
      <w:r>
        <w:rPr>
          <w:i/>
          <w:highlight w:val="none"/>
          <w:lang w:val="pt-BR" w:bidi="pt-BR"/>
        </w:rPr>
      </w:r>
      <w:r>
        <mc:AlternateContent>
          <mc:Choice Requires="wpg">
            <w:drawing>
              <wp:inline xmlns:wp="http://schemas.openxmlformats.org/drawingml/2006/wordprocessingDrawing" distT="0" distB="0" distL="0" distR="0">
                <wp:extent cx="5368891" cy="638275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98853" name=""/>
                        <pic:cNvPicPr>
                          <a:picLocks noChangeAspect="1"/>
                        </pic:cNvPicPr>
                        <pic:nvPr/>
                      </pic:nvPicPr>
                      <pic:blipFill rotWithShape="1">
                        <a:blip r:embed="rId29"/>
                        <a:stretch/>
                      </pic:blipFill>
                      <pic:spPr bwMode="auto">
                        <a:xfrm flipH="0" flipV="0">
                          <a:off x="0" y="0"/>
                          <a:ext cx="5368890" cy="63827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22.75pt;height:502.58pt;mso-wrap-distance-left:0.00pt;mso-wrap-distance-top:0.00pt;mso-wrap-distance-right:0.00pt;mso-wrap-distance-bottom:0.00pt;z-index:1;" stroked="false">
                <v:imagedata r:id="rId29" o:title=""/>
                <o:lock v:ext="edit" rotation="t"/>
              </v:shape>
            </w:pict>
          </mc:Fallback>
        </mc:AlternateContent>
      </w:r>
      <w:r>
        <w:rPr>
          <w:bCs/>
          <w:i/>
          <w:highlight w:val="none"/>
          <w:lang w:val="pt-BR" w:bidi="pt-BR"/>
        </w:rPr>
      </w:r>
      <w:r>
        <w:rPr>
          <w:bCs/>
          <w:i/>
          <w:highlight w:val="none"/>
          <w:lang w:val="pt-BR" w:bidi="pt-BR"/>
        </w:rPr>
      </w:r>
    </w:p>
    <w:tbl>
      <w:tblPr>
        <w:tblStyle w:val="1039"/>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358"/>
        <w:gridCol w:w="4701"/>
      </w:tblGrid>
      <w:tr>
        <w:trPr>
          <w:trHeight w:val="298"/>
        </w:trPr>
        <w:tc>
          <w:tcPr>
            <w:tcBorders/>
            <w:tcMar>
              <w:left w:w="108" w:type="dxa"/>
              <w:top w:w="0" w:type="dxa"/>
              <w:right w:w="108" w:type="dxa"/>
              <w:bottom w:w="0" w:type="dxa"/>
            </w:tcMar>
            <w:tcW w:w="43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p>
            <w:pPr>
              <w:pBdr>
                <w:top w:val="none" w:color="000000" w:sz="4" w:space="0"/>
                <w:left w:val="none" w:color="000000" w:sz="4" w:space="0"/>
                <w:bottom w:val="none" w:color="000000" w:sz="4" w:space="0"/>
                <w:right w:val="none" w:color="000000" w:sz="4" w:space="0"/>
              </w:pBdr>
              <w:spacing/>
              <w:ind w:right="0" w:firstLine="0" w:left="0"/>
              <w:jc w:val="center"/>
              <w:rPr/>
            </w:pPr>
            <w:r>
              <mc:AlternateContent>
                <mc:Choice Requires="wpg">
                  <w:drawing>
                    <wp:inline xmlns:wp="http://schemas.openxmlformats.org/drawingml/2006/wordprocessingDrawing" distT="0" distB="0" distL="0" distR="0">
                      <wp:extent cx="1694536" cy="119021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634912" name=""/>
                              <pic:cNvPicPr>
                                <a:picLocks noChangeAspect="1"/>
                              </pic:cNvPicPr>
                              <pic:nvPr/>
                            </pic:nvPicPr>
                            <pic:blipFill rotWithShape="1">
                              <a:blip r:embed="rId30"/>
                              <a:stretch/>
                            </pic:blipFill>
                            <pic:spPr bwMode="auto">
                              <a:xfrm flipH="0" flipV="0">
                                <a:off x="0" y="0"/>
                                <a:ext cx="1694535" cy="11902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33.43pt;height:93.72pt;mso-wrap-distance-left:0.00pt;mso-wrap-distance-top:0.00pt;mso-wrap-distance-right:0.00pt;mso-wrap-distance-bottom:0.00pt;z-index:1;" stroked="false">
                      <v:imagedata r:id="rId30" o:title=""/>
                      <o:lock v:ext="edit" rotation="t"/>
                    </v:shape>
                  </w:pict>
                </mc:Fallback>
              </mc:AlternateContent>
            </w:r>
            <w:r/>
          </w:p>
        </w:tc>
      </w:tr>
      <w:tr>
        <w:trPr>
          <w:trHeight w:val="308"/>
        </w:trPr>
        <w:tc>
          <w:tcPr>
            <w:tcBorders/>
            <w:tcMar>
              <w:left w:w="108" w:type="dxa"/>
              <w:top w:w="0" w:type="dxa"/>
              <w:right w:w="108" w:type="dxa"/>
              <w:bottom w:w="0" w:type="dxa"/>
            </w:tcMar>
            <w:tcW w:w="43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Trương Thị Diệp</w:t>
            </w:r>
            <w:r/>
          </w:p>
        </w:tc>
      </w:tr>
    </w:tbl>
    <w:p>
      <w:pPr>
        <w:pBdr/>
        <w:shd w:val="nil" w:color="auto"/>
        <w:spacing/>
        <w:ind/>
        <w:rPr>
          <w:bCs/>
          <w:i/>
          <w:lang w:val="pt-BR"/>
        </w:rPr>
      </w:pPr>
      <w:r>
        <w:rPr>
          <w:bCs/>
          <w:i/>
          <w:lang w:val="pt-BR"/>
        </w:rPr>
        <w:br w:type="page" w:clear="all"/>
      </w:r>
      <w:r>
        <w:rPr>
          <w:bCs/>
          <w:i/>
          <w:lang w:val="pt-BR"/>
        </w:rPr>
      </w:r>
      <w:r>
        <w:rPr>
          <w:bCs/>
          <w:i/>
          <w:lang w:val="pt-BR"/>
        </w:rPr>
      </w:r>
    </w:p>
    <w:p>
      <w:pPr>
        <w:pBdr/>
        <w:spacing w:after="120"/>
        <w:ind/>
        <w:jc w:val="center"/>
        <w:rPr>
          <w:bCs/>
          <w:i/>
          <w:highlight w:val="none"/>
          <w:lang w:val="pt-BR" w:bidi="pt-BR"/>
        </w:rPr>
      </w:pPr>
      <w:r>
        <w:rPr>
          <w:i/>
          <w:highlight w:val="none"/>
          <w:lang w:val="pt-BR" w:bidi="pt-BR"/>
        </w:rPr>
      </w:r>
      <w:r>
        <mc:AlternateContent>
          <mc:Choice Requires="wpg">
            <w:drawing>
              <wp:inline xmlns:wp="http://schemas.openxmlformats.org/drawingml/2006/wordprocessingDrawing" distT="0" distB="0" distL="0" distR="0">
                <wp:extent cx="5156169" cy="734585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831479" name=""/>
                        <pic:cNvPicPr>
                          <a:picLocks noChangeAspect="1"/>
                        </pic:cNvPicPr>
                        <pic:nvPr/>
                      </pic:nvPicPr>
                      <pic:blipFill rotWithShape="1">
                        <a:blip r:embed="rId31"/>
                        <a:stretch/>
                      </pic:blipFill>
                      <pic:spPr bwMode="auto">
                        <a:xfrm flipH="0" flipV="0">
                          <a:off x="0" y="0"/>
                          <a:ext cx="5156168" cy="73458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06.00pt;height:578.41pt;mso-wrap-distance-left:0.00pt;mso-wrap-distance-top:0.00pt;mso-wrap-distance-right:0.00pt;mso-wrap-distance-bottom:0.00pt;z-index:1;" stroked="false">
                <v:imagedata r:id="rId31" o:title=""/>
                <o:lock v:ext="edit" rotation="t"/>
              </v:shape>
            </w:pict>
          </mc:Fallback>
        </mc:AlternateContent>
      </w:r>
      <w:r>
        <w:rPr>
          <w:bCs/>
          <w:i/>
          <w:highlight w:val="none"/>
          <w:lang w:val="pt-BR" w:bidi="pt-BR"/>
        </w:rPr>
      </w:r>
      <w:r>
        <w:rPr>
          <w:bCs/>
          <w:i/>
          <w:highlight w:val="none"/>
          <w:lang w:val="pt-BR" w:bidi="pt-BR"/>
        </w:rPr>
      </w:r>
    </w:p>
    <w:tbl>
      <w:tblPr>
        <w:tblStyle w:val="1039"/>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358"/>
        <w:gridCol w:w="4701"/>
      </w:tblGrid>
      <w:tr>
        <w:trPr>
          <w:trHeight w:val="298"/>
        </w:trPr>
        <w:tc>
          <w:tcPr>
            <w:tcBorders/>
            <w:tcMar>
              <w:left w:w="108" w:type="dxa"/>
              <w:top w:w="0" w:type="dxa"/>
              <w:right w:w="108" w:type="dxa"/>
              <w:bottom w:w="0" w:type="dxa"/>
            </w:tcMar>
            <w:tcW w:w="43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p>
            <w:pPr>
              <w:pBdr>
                <w:top w:val="none" w:color="000000" w:sz="4" w:space="0"/>
                <w:left w:val="none" w:color="000000" w:sz="4" w:space="0"/>
                <w:bottom w:val="none" w:color="000000" w:sz="4" w:space="0"/>
                <w:right w:val="none" w:color="000000" w:sz="4" w:space="0"/>
              </w:pBdr>
              <w:spacing/>
              <w:ind w:right="0" w:firstLine="0" w:left="0"/>
              <w:jc w:val="center"/>
              <w:rPr/>
            </w:pPr>
            <w:r>
              <mc:AlternateContent>
                <mc:Choice Requires="wpg">
                  <w:drawing>
                    <wp:inline xmlns:wp="http://schemas.openxmlformats.org/drawingml/2006/wordprocessingDrawing" distT="0" distB="0" distL="0" distR="0">
                      <wp:extent cx="1694536" cy="119021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541333" name=""/>
                              <pic:cNvPicPr>
                                <a:picLocks noChangeAspect="1"/>
                              </pic:cNvPicPr>
                              <pic:nvPr/>
                            </pic:nvPicPr>
                            <pic:blipFill rotWithShape="1">
                              <a:blip r:embed="rId30"/>
                              <a:stretch/>
                            </pic:blipFill>
                            <pic:spPr bwMode="auto">
                              <a:xfrm rot="0" flipH="0" flipV="0">
                                <a:off x="0" y="0"/>
                                <a:ext cx="1694535" cy="11902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33.43pt;height:93.72pt;mso-wrap-distance-left:0.00pt;mso-wrap-distance-top:0.00pt;mso-wrap-distance-right:0.00pt;mso-wrap-distance-bottom:0.00pt;rotation:0;z-index:1;" stroked="false">
                      <v:imagedata r:id="rId30" o:title=""/>
                      <o:lock v:ext="edit" rotation="t"/>
                    </v:shape>
                  </w:pict>
                </mc:Fallback>
              </mc:AlternateContent>
            </w:r>
            <w:r/>
          </w:p>
        </w:tc>
      </w:tr>
      <w:tr>
        <w:trPr>
          <w:trHeight w:val="308"/>
        </w:trPr>
        <w:tc>
          <w:tcPr>
            <w:tcBorders/>
            <w:tcMar>
              <w:left w:w="108" w:type="dxa"/>
              <w:top w:w="0" w:type="dxa"/>
              <w:right w:w="108" w:type="dxa"/>
              <w:bottom w:w="0" w:type="dxa"/>
            </w:tcMar>
            <w:tcW w:w="43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Trương Thị Diệp</w:t>
            </w:r>
            <w:r/>
          </w:p>
        </w:tc>
      </w:tr>
    </w:tbl>
    <w:p>
      <w:pPr>
        <w:pBdr/>
        <w:spacing w:after="120"/>
        <w:ind/>
        <w:jc w:val="center"/>
        <w:rPr>
          <w:bCs/>
          <w:i/>
          <w:lang w:val="pt-BR"/>
        </w:rPr>
      </w:pPr>
      <w:r>
        <w:rPr>
          <w:bCs/>
          <w:i/>
          <w:lang w:val="pt-BR"/>
        </w:rPr>
      </w:r>
      <w:r>
        <w:rPr>
          <w:bCs/>
          <w:i/>
          <w:lang w:val="pt-BR"/>
        </w:rPr>
      </w:r>
      <w:r>
        <w:rPr>
          <w:bCs/>
          <w:i/>
          <w:lang w:val="pt-BR"/>
        </w:rPr>
      </w:r>
    </w:p>
    <w:p>
      <w:pPr>
        <w:pBdr/>
        <w:spacing w:after="120"/>
        <w:ind/>
        <w:jc w:val="center"/>
        <w:rPr>
          <w:bCs/>
          <w:i/>
          <w:highlight w:val="none"/>
          <w:lang w:val="pt-BR" w:bidi="pt-BR"/>
        </w:rPr>
      </w:pPr>
      <w:r>
        <w:rPr>
          <w:i/>
          <w:highlight w:val="none"/>
          <w:lang w:val="pt-BR" w:bidi="pt-BR"/>
        </w:rPr>
      </w:r>
      <w:r>
        <mc:AlternateContent>
          <mc:Choice Requires="wpg">
            <w:drawing>
              <wp:inline xmlns:wp="http://schemas.openxmlformats.org/drawingml/2006/wordprocessingDrawing" distT="0" distB="0" distL="0" distR="0">
                <wp:extent cx="5459053" cy="744801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877045" name=""/>
                        <pic:cNvPicPr>
                          <a:picLocks noChangeAspect="1"/>
                        </pic:cNvPicPr>
                        <pic:nvPr/>
                      </pic:nvPicPr>
                      <pic:blipFill rotWithShape="1">
                        <a:blip r:embed="rId32"/>
                        <a:stretch/>
                      </pic:blipFill>
                      <pic:spPr bwMode="auto">
                        <a:xfrm flipH="0" flipV="0">
                          <a:off x="0" y="0"/>
                          <a:ext cx="5459052" cy="74480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9.85pt;height:586.46pt;mso-wrap-distance-left:0.00pt;mso-wrap-distance-top:0.00pt;mso-wrap-distance-right:0.00pt;mso-wrap-distance-bottom:0.00pt;z-index:1;" stroked="false">
                <v:imagedata r:id="rId32" o:title=""/>
                <o:lock v:ext="edit" rotation="t"/>
              </v:shape>
            </w:pict>
          </mc:Fallback>
        </mc:AlternateContent>
      </w:r>
      <w:r>
        <w:rPr>
          <w:bCs/>
          <w:i/>
          <w:highlight w:val="none"/>
          <w:lang w:val="pt-BR" w:bidi="pt-BR"/>
        </w:rPr>
      </w:r>
      <w:r>
        <w:rPr>
          <w:bCs/>
          <w:i/>
          <w:highlight w:val="none"/>
          <w:lang w:val="pt-BR" w:bidi="pt-BR"/>
        </w:rPr>
      </w:r>
    </w:p>
    <w:tbl>
      <w:tblPr>
        <w:tblStyle w:val="1039"/>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358"/>
        <w:gridCol w:w="4701"/>
      </w:tblGrid>
      <w:tr>
        <w:trPr>
          <w:trHeight w:val="298"/>
        </w:trPr>
        <w:tc>
          <w:tcPr>
            <w:tcBorders/>
            <w:tcMar>
              <w:left w:w="108" w:type="dxa"/>
              <w:top w:w="0" w:type="dxa"/>
              <w:right w:w="108" w:type="dxa"/>
              <w:bottom w:w="0" w:type="dxa"/>
            </w:tcMar>
            <w:tcW w:w="43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p>
            <w:pPr>
              <w:pBdr>
                <w:top w:val="none" w:color="000000" w:sz="4" w:space="0"/>
                <w:left w:val="none" w:color="000000" w:sz="4" w:space="0"/>
                <w:bottom w:val="none" w:color="000000" w:sz="4" w:space="0"/>
                <w:right w:val="none" w:color="000000" w:sz="4" w:space="0"/>
              </w:pBdr>
              <w:spacing/>
              <w:ind w:right="0" w:firstLine="0" w:left="0"/>
              <w:jc w:val="center"/>
              <w:rPr/>
            </w:pPr>
            <w:r>
              <mc:AlternateContent>
                <mc:Choice Requires="wpg">
                  <w:drawing>
                    <wp:inline xmlns:wp="http://schemas.openxmlformats.org/drawingml/2006/wordprocessingDrawing" distT="0" distB="0" distL="0" distR="0">
                      <wp:extent cx="1694536" cy="119021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541333" name=""/>
                              <pic:cNvPicPr>
                                <a:picLocks noChangeAspect="1"/>
                              </pic:cNvPicPr>
                              <pic:nvPr/>
                            </pic:nvPicPr>
                            <pic:blipFill rotWithShape="1">
                              <a:blip r:embed="rId30"/>
                              <a:stretch/>
                            </pic:blipFill>
                            <pic:spPr bwMode="auto">
                              <a:xfrm rot="0" flipH="0" flipV="0">
                                <a:off x="0" y="0"/>
                                <a:ext cx="1694535" cy="11902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33.43pt;height:93.72pt;mso-wrap-distance-left:0.00pt;mso-wrap-distance-top:0.00pt;mso-wrap-distance-right:0.00pt;mso-wrap-distance-bottom:0.00pt;rotation:0;z-index:1;" stroked="false">
                      <v:imagedata r:id="rId30" o:title=""/>
                      <o:lock v:ext="edit" rotation="t"/>
                    </v:shape>
                  </w:pict>
                </mc:Fallback>
              </mc:AlternateContent>
            </w:r>
            <w:r/>
          </w:p>
        </w:tc>
      </w:tr>
      <w:tr>
        <w:trPr>
          <w:trHeight w:val="308"/>
        </w:trPr>
        <w:tc>
          <w:tcPr>
            <w:tcBorders/>
            <w:tcMar>
              <w:left w:w="108" w:type="dxa"/>
              <w:top w:w="0" w:type="dxa"/>
              <w:right w:w="108" w:type="dxa"/>
              <w:bottom w:w="0" w:type="dxa"/>
            </w:tcMar>
            <w:tcW w:w="43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Trương Thị Diệp</w:t>
            </w:r>
            <w:r/>
          </w:p>
        </w:tc>
      </w:tr>
    </w:tbl>
    <w:p>
      <w:pPr>
        <w:pBdr/>
        <w:spacing w:after="120"/>
        <w:ind/>
        <w:jc w:val="center"/>
        <w:rPr>
          <w:bCs/>
          <w:i/>
          <w:highlight w:val="none"/>
          <w:lang w:val="pt-BR" w:bidi="pt-BR"/>
        </w:rPr>
      </w:pPr>
      <w:r>
        <w:rPr>
          <w:i/>
          <w:highlight w:val="none"/>
          <w:lang w:val="pt-BR" w:bidi="pt-BR"/>
        </w:rPr>
      </w:r>
      <w:r>
        <mc:AlternateContent>
          <mc:Choice Requires="wpg">
            <w:drawing>
              <wp:inline xmlns:wp="http://schemas.openxmlformats.org/drawingml/2006/wordprocessingDrawing" distT="0" distB="0" distL="0" distR="0">
                <wp:extent cx="6048375" cy="418264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956481" name=""/>
                        <pic:cNvPicPr>
                          <a:picLocks noChangeAspect="1"/>
                        </pic:cNvPicPr>
                        <pic:nvPr/>
                      </pic:nvPicPr>
                      <pic:blipFill rotWithShape="1">
                        <a:blip r:embed="rId33"/>
                        <a:stretch/>
                      </pic:blipFill>
                      <pic:spPr bwMode="auto">
                        <a:xfrm>
                          <a:off x="0" y="0"/>
                          <a:ext cx="6048374" cy="41826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329.34pt;mso-wrap-distance-left:0.00pt;mso-wrap-distance-top:0.00pt;mso-wrap-distance-right:0.00pt;mso-wrap-distance-bottom:0.00pt;z-index:1;" stroked="false">
                <v:imagedata r:id="rId33" o:title=""/>
                <o:lock v:ext="edit" rotation="t"/>
              </v:shape>
            </w:pict>
          </mc:Fallback>
        </mc:AlternateContent>
      </w:r>
      <w:r>
        <w:rPr>
          <w:i/>
          <w:highlight w:val="none"/>
          <w:lang w:val="pt-BR" w:bidi="pt-BR"/>
        </w:rPr>
      </w:r>
      <w:r/>
      <w:r>
        <w:rPr>
          <w:bCs/>
          <w:i/>
          <w:highlight w:val="none"/>
          <w:lang w:val="pt-BR" w:bidi="pt-BR"/>
        </w:rPr>
      </w:r>
      <w:r>
        <w:rPr>
          <w:bCs/>
          <w:i/>
          <w:highlight w:val="none"/>
          <w:lang w:val="pt-BR" w:bidi="pt-BR"/>
        </w:rPr>
      </w:r>
    </w:p>
    <w:p>
      <w:pPr>
        <w:pBdr/>
        <w:spacing w:after="120"/>
        <w:ind/>
        <w:jc w:val="center"/>
        <w:rPr>
          <w:bCs/>
          <w:i/>
          <w:highlight w:val="none"/>
          <w:lang w:val="pt-BR" w:bidi="pt-BR"/>
        </w:rPr>
      </w:pPr>
      <w:r>
        <w:rPr>
          <w:i/>
          <w:highlight w:val="none"/>
          <w:lang w:val="pt-BR" w:bidi="pt-BR"/>
        </w:rPr>
      </w:r>
      <w:r>
        <mc:AlternateContent>
          <mc:Choice Requires="wpg">
            <w:drawing>
              <wp:inline xmlns:wp="http://schemas.openxmlformats.org/drawingml/2006/wordprocessingDrawing" distT="0" distB="0" distL="0" distR="0">
                <wp:extent cx="6048375" cy="4133869"/>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837165" name=""/>
                        <pic:cNvPicPr>
                          <a:picLocks noChangeAspect="1"/>
                        </pic:cNvPicPr>
                        <pic:nvPr/>
                      </pic:nvPicPr>
                      <pic:blipFill rotWithShape="1">
                        <a:blip r:embed="rId34"/>
                        <a:stretch/>
                      </pic:blipFill>
                      <pic:spPr bwMode="auto">
                        <a:xfrm>
                          <a:off x="0" y="0"/>
                          <a:ext cx="6048374" cy="41338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25.50pt;mso-wrap-distance-left:0.00pt;mso-wrap-distance-top:0.00pt;mso-wrap-distance-right:0.00pt;mso-wrap-distance-bottom:0.00pt;z-index:1;" stroked="false">
                <v:imagedata r:id="rId34" o:title=""/>
                <o:lock v:ext="edit" rotation="t"/>
              </v:shape>
            </w:pict>
          </mc:Fallback>
        </mc:AlternateContent>
      </w:r>
      <w:r>
        <w:rPr>
          <w:i/>
          <w:highlight w:val="none"/>
          <w:lang w:val="pt-BR" w:bidi="pt-BR"/>
        </w:rPr>
      </w:r>
      <w:r/>
      <w:r>
        <w:rPr>
          <w:bCs/>
          <w:i/>
          <w:highlight w:val="none"/>
          <w:lang w:val="pt-BR" w:bidi="pt-BR"/>
        </w:rPr>
      </w:r>
      <w:r>
        <w:rPr>
          <w:bCs/>
          <w:i/>
          <w:highlight w:val="none"/>
          <w:lang w:val="pt-BR" w:bidi="pt-BR"/>
        </w:rPr>
      </w:r>
    </w:p>
    <w:p>
      <w:pPr>
        <w:pBdr/>
        <w:spacing w:after="120"/>
        <w:ind/>
        <w:jc w:val="center"/>
        <w:rPr>
          <w:bCs/>
          <w:i/>
          <w:highlight w:val="none"/>
          <w:lang w:val="pt-BR" w:bidi="pt-BR"/>
        </w:rPr>
      </w:pPr>
      <w:r>
        <w:rPr>
          <w:bCs/>
          <w:i/>
          <w:highlight w:val="none"/>
          <w:lang w:val="pt-BR" w:bidi="pt-BR"/>
        </w:rPr>
      </w:r>
      <w:r>
        <mc:AlternateContent>
          <mc:Choice Requires="wpg">
            <w:drawing>
              <wp:inline xmlns:wp="http://schemas.openxmlformats.org/drawingml/2006/wordprocessingDrawing" distT="0" distB="0" distL="0" distR="0">
                <wp:extent cx="6048375" cy="806003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438135" name=""/>
                        <pic:cNvPicPr>
                          <a:picLocks noChangeAspect="1"/>
                        </pic:cNvPicPr>
                        <pic:nvPr/>
                      </pic:nvPicPr>
                      <pic:blipFill rotWithShape="1">
                        <a:blip r:embed="rId35"/>
                        <a:stretch/>
                      </pic:blipFill>
                      <pic:spPr bwMode="auto">
                        <a:xfrm>
                          <a:off x="0" y="0"/>
                          <a:ext cx="6048374" cy="80600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4.65pt;mso-wrap-distance-left:0.00pt;mso-wrap-distance-top:0.00pt;mso-wrap-distance-right:0.00pt;mso-wrap-distance-bottom:0.00pt;z-index:1;" stroked="false">
                <v:imagedata r:id="rId35" o:title=""/>
                <o:lock v:ext="edit" rotation="t"/>
              </v:shape>
            </w:pict>
          </mc:Fallback>
        </mc:AlternateContent>
      </w:r>
      <w:r>
        <w:rPr>
          <w:bCs/>
          <w:i/>
          <w:highlight w:val="none"/>
          <w:lang w:val="pt-BR" w:bidi="pt-BR"/>
        </w:rPr>
      </w:r>
      <w:r>
        <w:rPr>
          <w:bCs/>
          <w:i/>
          <w:highlight w:val="none"/>
          <w:lang w:val="pt-BR" w:bidi="pt-BR"/>
        </w:rPr>
      </w:r>
      <w:r>
        <w:rPr>
          <w:bCs/>
          <w:i/>
          <w:highlight w:val="none"/>
          <w:lang w:val="pt-BR" w:bidi="pt-BR"/>
        </w:rPr>
      </w:r>
    </w:p>
    <w:p>
      <w:pPr>
        <w:pBdr/>
        <w:spacing w:after="120"/>
        <w:ind/>
        <w:jc w:val="center"/>
        <w:rPr>
          <w:bCs/>
          <w:i/>
          <w:highlight w:val="none"/>
          <w:lang w:val="pt-BR" w:bidi="pt-BR"/>
        </w:rPr>
      </w:pPr>
      <w:r>
        <w:rPr>
          <w:bCs/>
          <w:i/>
          <w:highlight w:val="none"/>
          <w:lang w:val="pt-BR" w:bidi="pt-BR"/>
        </w:rPr>
      </w:r>
      <w:r>
        <mc:AlternateContent>
          <mc:Choice Requires="wpg">
            <w:drawing>
              <wp:inline xmlns:wp="http://schemas.openxmlformats.org/drawingml/2006/wordprocessingDrawing" distT="0" distB="0" distL="0" distR="0">
                <wp:extent cx="6048375" cy="8055667"/>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009242" name=""/>
                        <pic:cNvPicPr>
                          <a:picLocks noChangeAspect="1"/>
                        </pic:cNvPicPr>
                        <pic:nvPr/>
                      </pic:nvPicPr>
                      <pic:blipFill rotWithShape="1">
                        <a:blip r:embed="rId36"/>
                        <a:stretch/>
                      </pic:blipFill>
                      <pic:spPr bwMode="auto">
                        <a:xfrm>
                          <a:off x="0" y="0"/>
                          <a:ext cx="6048374" cy="80556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4.30pt;mso-wrap-distance-left:0.00pt;mso-wrap-distance-top:0.00pt;mso-wrap-distance-right:0.00pt;mso-wrap-distance-bottom:0.00pt;z-index:1;" stroked="false">
                <v:imagedata r:id="rId36" o:title=""/>
                <o:lock v:ext="edit" rotation="t"/>
              </v:shape>
            </w:pict>
          </mc:Fallback>
        </mc:AlternateContent>
      </w:r>
      <w:r>
        <w:rPr>
          <w:bCs/>
          <w:i/>
          <w:highlight w:val="none"/>
          <w:lang w:val="pt-BR" w:bidi="pt-BR"/>
        </w:rPr>
      </w:r>
      <w:r>
        <w:rPr>
          <w:bCs/>
          <w:i/>
          <w:highlight w:val="none"/>
          <w:lang w:val="pt-BR" w:bidi="pt-BR"/>
        </w:rPr>
      </w:r>
      <w:r>
        <w:rPr>
          <w:bCs/>
          <w:i/>
          <w:highlight w:val="none"/>
          <w:lang w:val="pt-BR" w:bidi="pt-BR"/>
        </w:rPr>
      </w:r>
    </w:p>
    <w:p>
      <w:pPr>
        <w:pBdr/>
        <w:spacing w:after="120"/>
        <w:ind/>
        <w:jc w:val="center"/>
        <w:rPr>
          <w:bCs/>
          <w:i/>
          <w:highlight w:val="none"/>
          <w:lang w:val="pt-BR" w:bidi="pt-BR"/>
        </w:rPr>
      </w:pPr>
      <w:r>
        <w:rPr>
          <w:i/>
          <w:highlight w:val="none"/>
          <w:lang w:val="pt-BR" w:bidi="pt-BR"/>
        </w:rPr>
      </w:r>
      <w:r>
        <mc:AlternateContent>
          <mc:Choice Requires="wpg">
            <w:drawing>
              <wp:inline xmlns:wp="http://schemas.openxmlformats.org/drawingml/2006/wordprocessingDrawing" distT="0" distB="0" distL="0" distR="0">
                <wp:extent cx="5038725" cy="729615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96153" name=""/>
                        <pic:cNvPicPr>
                          <a:picLocks noChangeAspect="1"/>
                        </pic:cNvPicPr>
                        <pic:nvPr/>
                      </pic:nvPicPr>
                      <pic:blipFill rotWithShape="1">
                        <a:blip r:embed="rId37"/>
                        <a:stretch/>
                      </pic:blipFill>
                      <pic:spPr bwMode="auto">
                        <a:xfrm>
                          <a:off x="0" y="0"/>
                          <a:ext cx="5038724" cy="7296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96.75pt;height:574.50pt;mso-wrap-distance-left:0.00pt;mso-wrap-distance-top:0.00pt;mso-wrap-distance-right:0.00pt;mso-wrap-distance-bottom:0.00pt;z-index:1;" stroked="false">
                <v:imagedata r:id="rId37" o:title=""/>
                <o:lock v:ext="edit" rotation="t"/>
              </v:shape>
            </w:pict>
          </mc:Fallback>
        </mc:AlternateContent>
      </w:r>
      <w:r>
        <w:rPr>
          <w:bCs/>
          <w:i/>
          <w:highlight w:val="none"/>
          <w:lang w:val="pt-BR" w:bidi="pt-BR"/>
        </w:rPr>
      </w:r>
      <w:r>
        <w:rPr>
          <w:bCs/>
          <w:i/>
          <w:highlight w:val="none"/>
          <w:lang w:val="pt-BR" w:bidi="pt-BR"/>
        </w:rPr>
      </w:r>
    </w:p>
    <w:p>
      <w:pPr>
        <w:pBdr/>
        <w:spacing w:after="120"/>
        <w:ind/>
        <w:jc w:val="center"/>
        <w:rPr>
          <w:bCs/>
          <w:i/>
          <w:lang w:val="pt-BR"/>
        </w:rPr>
      </w:pPr>
      <w:r>
        <w:rPr>
          <w:i/>
          <w:highlight w:val="none"/>
          <w:lang w:val="pt-BR" w:bidi="pt-BR"/>
        </w:rPr>
      </w:r>
      <w:r>
        <mc:AlternateContent>
          <mc:Choice Requires="wpg">
            <w:drawing>
              <wp:inline xmlns:wp="http://schemas.openxmlformats.org/drawingml/2006/wordprocessingDrawing" distT="0" distB="0" distL="0" distR="0">
                <wp:extent cx="6048375" cy="823115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550462" name=""/>
                        <pic:cNvPicPr>
                          <a:picLocks noChangeAspect="1"/>
                        </pic:cNvPicPr>
                        <pic:nvPr/>
                      </pic:nvPicPr>
                      <pic:blipFill rotWithShape="1">
                        <a:blip r:embed="rId38"/>
                        <a:stretch/>
                      </pic:blipFill>
                      <pic:spPr bwMode="auto">
                        <a:xfrm>
                          <a:off x="0" y="0"/>
                          <a:ext cx="6048374" cy="82311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48.12pt;mso-wrap-distance-left:0.00pt;mso-wrap-distance-top:0.00pt;mso-wrap-distance-right:0.00pt;mso-wrap-distance-bottom:0.00pt;z-index:1;" stroked="false">
                <v:imagedata r:id="rId38" o:title=""/>
                <o:lock v:ext="edit" rotation="t"/>
              </v:shape>
            </w:pict>
          </mc:Fallback>
        </mc:AlternateContent>
      </w:r>
      <w:r>
        <w:rPr>
          <w:bCs/>
          <w:i/>
          <w:lang w:val="pt-BR"/>
        </w:rPr>
      </w:r>
      <w:r>
        <w:rPr>
          <w:bCs/>
          <w:i/>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FA3190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0">
    <w:nsid w:val="08CA631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7288DF3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baodongnai.com.vn/kinh-te/202504/nhieu-du-an-bat-dong-san-chao-ban-san-pham-aca0754/" TargetMode="External"/><Relationship Id="rId18" Type="http://schemas.openxmlformats.org/officeDocument/2006/relationships/hyperlink" Target="https://baodongnai.com.vn/kinh-te/202504/nhieu-du-an-bat-dong-san-chao-ban-san-pham-aca0754/" TargetMode="External"/><Relationship Id="rId19" Type="http://schemas.openxmlformats.org/officeDocument/2006/relationships/hyperlink" Target="https://baodongnai.com.vn/kinh-te/202505/thi-truong-bat-dong-san-vao-chu-ky-tang-truong-moi-e706f60/" TargetMode="External"/><Relationship Id="rId20" Type="http://schemas.openxmlformats.org/officeDocument/2006/relationships/image" Target="media/image3.png"/><Relationship Id="rId21" Type="http://schemas.openxmlformats.org/officeDocument/2006/relationships/hyperlink" Target="https://guland.vn/post/nha-dat-tt-long-thanh-long-thanh-dong-nai-1004684" TargetMode="External"/><Relationship Id="rId22" Type="http://schemas.openxmlformats.org/officeDocument/2006/relationships/hyperlink" Target="https://www.facebook.com/groups/532175374217462/permalink/2078979586203692/" TargetMode="External"/><Relationship Id="rId23" Type="http://schemas.openxmlformats.org/officeDocument/2006/relationships/image" Target="media/image4.jpg"/><Relationship Id="rId24" Type="http://schemas.openxmlformats.org/officeDocument/2006/relationships/image" Target="media/image5.jpg"/><Relationship Id="rId25" Type="http://schemas.openxmlformats.org/officeDocument/2006/relationships/image" Target="media/image6.jpg"/><Relationship Id="rId26" Type="http://schemas.openxmlformats.org/officeDocument/2006/relationships/image" Target="media/image7.jpg"/><Relationship Id="rId27" Type="http://schemas.openxmlformats.org/officeDocument/2006/relationships/image" Target="media/image8.jpg"/><Relationship Id="rId28" Type="http://schemas.openxmlformats.org/officeDocument/2006/relationships/image" Target="media/image9.jpg"/><Relationship Id="rId29" Type="http://schemas.openxmlformats.org/officeDocument/2006/relationships/image" Target="media/image10.png"/><Relationship Id="rId30" Type="http://schemas.openxmlformats.org/officeDocument/2006/relationships/image" Target="media/image11.png"/><Relationship Id="rId31" Type="http://schemas.openxmlformats.org/officeDocument/2006/relationships/image" Target="media/image12.png"/><Relationship Id="rId32" Type="http://schemas.openxmlformats.org/officeDocument/2006/relationships/image" Target="media/image13.png"/><Relationship Id="rId33" Type="http://schemas.openxmlformats.org/officeDocument/2006/relationships/image" Target="media/image14.png"/><Relationship Id="rId34" Type="http://schemas.openxmlformats.org/officeDocument/2006/relationships/image" Target="media/image15.png"/><Relationship Id="rId35" Type="http://schemas.openxmlformats.org/officeDocument/2006/relationships/image" Target="media/image16.png"/><Relationship Id="rId36" Type="http://schemas.openxmlformats.org/officeDocument/2006/relationships/image" Target="media/image17.png"/><Relationship Id="rId37" Type="http://schemas.openxmlformats.org/officeDocument/2006/relationships/image" Target="media/image18.png"/><Relationship Id="rId38"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Trương Thị Diệp</cp:lastModifiedBy>
  <cp:revision>273</cp:revision>
  <dcterms:created xsi:type="dcterms:W3CDTF">2025-09-15T09:58:00Z</dcterms:created>
  <dcterms:modified xsi:type="dcterms:W3CDTF">2026-01-27T05:04:36Z</dcterms:modified>
</cp:coreProperties>
</file>