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813103</wp:posOffset>
                </wp:positionV>
                <wp:extent cx="5467350" cy="29718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7180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275/2026/0258/VFI-CT.24.A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Đình Tuyên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275, tờ bản đồ số: 377; có địa chỉ tại: Thôn 5, đặc khu Vân Đồn, t</w:t>
                            </w:r>
                            <w:r>
                              <w:rPr>
                                <w:color w:val="000000"/>
                              </w:rPr>
                              <w:t xml:space="preserve">ỉnh Quảng Ninh theo Giấy chứng nhận quyền sử dụng đất, quyền sở hữu tài sản gắn liền với đất số AA 03689087 số vào sổ cấp GCN CN02138 do Chi nhánh văn phòng đăng ký đất đai số 6 cấp ngày 08/10/2025 cho ông Lê Văn Hùng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64.02pt;mso-position-vertical:absolute;width:430.50pt;height:234.0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275/2026/0258/VFI-CT.24.A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Đình Tuyên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275, tờ bản đồ số: 377; có địa chỉ tại: Thôn 5, đặc khu Vân Đồn, t</w:t>
                      </w:r>
                      <w:r>
                        <w:rPr>
                          <w:color w:val="000000"/>
                        </w:rPr>
                        <w:t xml:space="preserve">ỉnh Quảng Ninh theo Giấy chứng nhận quyền sử dụng đất, quyền sở hữu tài sản gắn liền với đất số AA 03689087 số vào sổ cấp GCN CN02138 do Chi nhánh văn phòng đăng ký đất đai số 6 cấp ngày 08/10/2025 cho ông Lê Văn Hùng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08" w:type="dxa"/>
        <w:tblBorders/>
        <w:tblLayout w:type="fixed"/>
        <w:tblLook w:val="04A0" w:firstRow="1" w:lastRow="0" w:firstColumn="1" w:lastColumn="0" w:noHBand="0" w:noVBand="1"/>
      </w:tblPr>
      <w:tblGrid>
        <w:gridCol w:w="29"/>
        <w:gridCol w:w="1699"/>
        <w:gridCol w:w="2411"/>
        <w:gridCol w:w="5811"/>
        <w:gridCol w:w="58"/>
      </w:tblGrid>
      <w:tr>
        <w:trPr>
          <w:trHeight w:val="1152"/>
        </w:trPr>
        <w:tc>
          <w:tcPr>
            <w:gridSpan w:val="2"/>
            <w:tcBorders/>
            <w:tcW w:w="172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8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110"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275/2026/0258/VFI-CT.24.A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1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3 tháng 2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Đình Tuyên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275/2026/0234/VFI-HĐTĐ.24.A</w:t>
      </w:r>
      <w:r>
        <w:rPr>
          <w:spacing w:val="-4"/>
          <w:lang w:val="vi-VN"/>
        </w:rPr>
        <w:t xml:space="preserve"> ký ngày </w:t>
      </w:r>
      <w:r>
        <w:rPr>
          <w:color w:val="000000" w:themeColor="text1"/>
          <w:spacing w:val="-4"/>
        </w:rPr>
        <w:t xml:space="preserve">29 tháng 01 năm 2026</w:t>
      </w:r>
      <w:r>
        <w:rPr>
          <w:spacing w:val="-4"/>
          <w:lang w:val="vi-VN"/>
        </w:rPr>
        <w:t xml:space="preserve"> </w:t>
      </w:r>
      <w:r>
        <w:rPr>
          <w:spacing w:val="-4"/>
          <w:lang w:val="vi-VN"/>
        </w:rPr>
        <w:t xml:space="preserve">giữa </w:t>
      </w:r>
      <w:r>
        <w:rPr>
          <w:color w:val="000000" w:themeColor="text1"/>
          <w:spacing w:val="-4"/>
        </w:rPr>
        <w:t xml:space="preserve">Ông Vũ Đình Tuyên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275/2026/0258/VFI-BC.24.A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03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Ông Vũ Đình Tuyên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022078000939</w:t>
            </w:r>
            <w:r/>
          </w:p>
        </w:tc>
      </w:tr>
      <w:tr>
        <w:trPr>
          <w:trHeight w:val="20"/>
        </w:trPr>
        <w:tc>
          <w:tcPr>
            <w:shd w:val="clear" w:color="auto" w:fill="auto"/>
            <w:tcBorders/>
            <w:tcW w:w="1109" w:type="pct"/>
            <w:vAlign w:val="center"/>
            <w:textDirection w:val="lrTb"/>
            <w:noWrap w:val="false"/>
          </w:tcPr>
          <w:p>
            <w:pPr>
              <w:pBdr/>
              <w:spacing/>
              <w:ind/>
              <w:rPr/>
            </w:pPr>
            <w:r>
              <w:rPr>
                <w:bCs/>
                <w:color w:val="000000" w:themeColor="text1"/>
                <w:lang w:val="pt-BR"/>
              </w:rPr>
              <w:t xml:space="preserve">Địa chỉ</w:t>
            </w:r>
            <w:r>
              <w:rPr>
                <w:bCs/>
                <w:color w:val="000000" w:themeColor="text1"/>
                <w:lang w:val="pt-BR"/>
              </w:rPr>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Tổ 4, Khu 5B Bãi Cháy, Thành phố Hạ Long, Quảng Ninh</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ayout w:type="fixed"/>
        <w:tblLook w:val="04A0" w:firstRow="1" w:lastRow="0" w:firstColumn="1" w:lastColumn="0" w:noHBand="0" w:noVBand="1"/>
      </w:tblPr>
      <w:tblGrid>
        <w:gridCol w:w="1763"/>
        <w:gridCol w:w="283"/>
        <w:gridCol w:w="7627"/>
      </w:tblGrid>
      <w:tr>
        <w:trPr>
          <w:trHeight w:val="20"/>
        </w:trPr>
        <w:tc>
          <w:tcPr>
            <w:tcBorders/>
            <w:tcW w:w="1763"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763"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763"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627"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763"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763"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763"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27"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1763"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27"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763"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27" w:type="dxa"/>
            <w:vAlign w:val="center"/>
            <w:textDirection w:val="lrTb"/>
            <w:noWrap w:val="false"/>
          </w:tcPr>
          <w:p>
            <w:pPr>
              <w:pBdr/>
              <w:spacing w:after="40" w:before="40" w:line="276" w:lineRule="auto"/>
              <w:ind/>
              <w:jc w:val="both"/>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tại thửa đất số: 275, tờ bản đồ số: 377; có địa chỉ tại: Thôn 5, đặc khu Vân Đồn, t</w:t>
      </w:r>
      <w:r>
        <w:rPr>
          <w:color w:val="000000" w:themeColor="text1"/>
        </w:rPr>
        <w:t xml:space="preserve">ỉnh Quảng Ninh theo Giấy chứng nhận quyền sử dụng đất, quyền sở hữu tài sản gắn liền với đất số AA 03689087 số vào sổ cấp GCN CN02138 do Chi nhánh văn phòng đăng ký đất đai số 6 cấp ngày 08/10/2025 cho ông Lê Văn Hùng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159"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3330"/>
        <w:gridCol w:w="1802"/>
        <w:gridCol w:w="2068"/>
        <w:gridCol w:w="1890"/>
      </w:tblGrid>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33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68"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890"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200"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275, tờ bản đồ số: 377; có địa chỉ tại: Thôn 5, đặc khu Vân Đồn, t</w:t>
            </w:r>
            <w:r>
              <w:rPr>
                <w:b/>
                <w:bCs/>
                <w:color w:val="000000"/>
              </w:rPr>
              <w:t xml:space="preserve">ỉnh Quảng Ninh theo Giấy chứng nhận quyền sử dụng đất, quyền sở hữu tài sản gắn liền với đất số AA 03689087 số vào sổ cấp GCN CN02138 do Chi nhánh văn phòng đăng ký đất đai số 6 cấp ngày 08/10/2025 cho ông Lê Văn Hùng</w:t>
            </w:r>
            <w:r>
              <w:rPr>
                <w:b/>
                <w:bCs/>
              </w:rPr>
              <w:t xml:space="preserve">.</w:t>
            </w:r>
            <w:r>
              <w:rPr>
                <w:b/>
                <w:bCs/>
              </w:rPr>
            </w:r>
            <w:r>
              <w:rPr>
                <w:b/>
                <w:bCs/>
              </w:rPr>
            </w:r>
          </w:p>
        </w:tc>
        <w:tc>
          <w:tcPr>
            <w:shd w:val="clear" w:color="000000" w:fill="ffffff"/>
            <w:tcBorders/>
            <w:tcW w:w="1890"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330"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2.632</w:t>
            </w:r>
            <w:r>
              <w:rPr>
                <w:color w:val="000000"/>
              </w:rPr>
            </w:r>
            <w:r>
              <w:rPr>
                <w:color w:val="000000"/>
              </w:rPr>
            </w:r>
          </w:p>
        </w:tc>
        <w:tc>
          <w:tcPr>
            <w:shd w:val="clear" w:color="000000" w:fill="ffffff"/>
            <w:tcBorders/>
            <w:tcW w:w="2068" w:type="dxa"/>
            <w:vAlign w:val="center"/>
            <w:textDirection w:val="lrTb"/>
            <w:noWrap w:val="false"/>
          </w:tcPr>
          <w:p>
            <w:pPr>
              <w:pBdr/>
              <w:spacing w:after="40" w:before="40" w:line="288" w:lineRule="auto"/>
              <w:ind/>
              <w:jc w:val="center"/>
              <w:rPr/>
            </w:pPr>
            <w:r>
              <w:rPr>
                <w:color w:val="000000" w:themeColor="text1"/>
              </w:rPr>
              <w:t xml:space="preserve">3.900.000</w:t>
            </w:r>
            <w:r/>
          </w:p>
        </w:tc>
        <w:tc>
          <w:tcPr>
            <w:shd w:val="clear" w:color="000000" w:fill="ffffff"/>
            <w:tcBorders/>
            <w:tcW w:w="1890" w:type="dxa"/>
            <w:vAlign w:val="center"/>
            <w:textDirection w:val="lrTb"/>
            <w:noWrap w:val="false"/>
          </w:tcPr>
          <w:p>
            <w:pPr>
              <w:pBdr/>
              <w:spacing w:after="40" w:before="40" w:line="288" w:lineRule="auto"/>
              <w:ind/>
              <w:jc w:val="right"/>
              <w:rPr/>
            </w:pPr>
            <w:r>
              <w:rPr>
                <w:color w:val="000000" w:themeColor="text1"/>
              </w:rPr>
              <w:t xml:space="preserve">10.264.800.000</w:t>
            </w: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3330" w:type="dxa"/>
            <w:vAlign w:val="center"/>
            <w:textDirection w:val="lrTb"/>
            <w:noWrap w:val="false"/>
          </w:tcPr>
          <w:p>
            <w:pPr>
              <w:pBdr/>
              <w:spacing w:after="40" w:before="40" w:line="288" w:lineRule="auto"/>
              <w:ind/>
              <w:rPr>
                <w:b w:val="0"/>
                <w:bCs w:val="0"/>
              </w:rPr>
            </w:pPr>
            <w:r>
              <w:rPr>
                <w:b w:val="0"/>
                <w:bCs w:val="0"/>
              </w:rPr>
              <w:t xml:space="preserve">Đất trồng cây hàng năm khác</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306</w:t>
            </w:r>
            <w:r>
              <w:rPr>
                <w:color w:val="000000"/>
              </w:rPr>
            </w:r>
            <w:r>
              <w:rPr>
                <w:color w:val="000000"/>
              </w:rPr>
            </w:r>
          </w:p>
        </w:tc>
        <w:tc>
          <w:tcPr>
            <w:shd w:val="clear" w:color="000000" w:fill="ffffff"/>
            <w:tcBorders/>
            <w:tcW w:w="2068" w:type="dxa"/>
            <w:vAlign w:val="center"/>
            <w:textDirection w:val="lrTb"/>
            <w:noWrap w:val="false"/>
          </w:tcPr>
          <w:p>
            <w:pPr>
              <w:pBdr/>
              <w:spacing w:after="40" w:before="40" w:line="288" w:lineRule="auto"/>
              <w:ind/>
              <w:jc w:val="center"/>
              <w:rPr/>
            </w:pPr>
            <w:r>
              <w:rPr>
                <w:color w:val="000000" w:themeColor="text1"/>
              </w:rPr>
              <w:t xml:space="preserve">70.000</w:t>
            </w:r>
            <w:r/>
          </w:p>
        </w:tc>
        <w:tc>
          <w:tcPr>
            <w:shd w:val="clear" w:color="000000" w:fill="ffffff"/>
            <w:tcBorders/>
            <w:tcW w:w="1890" w:type="dxa"/>
            <w:vAlign w:val="center"/>
            <w:textDirection w:val="lrTb"/>
            <w:noWrap w:val="false"/>
          </w:tcPr>
          <w:p>
            <w:pPr>
              <w:pBdr/>
              <w:spacing w:after="40" w:before="40" w:line="288" w:lineRule="auto"/>
              <w:ind/>
              <w:jc w:val="right"/>
              <w:rPr/>
            </w:pPr>
            <w:r>
              <w:rPr>
                <w:color w:val="000000" w:themeColor="text1"/>
              </w:rPr>
              <w:t xml:space="preserve">21.420.000</w:t>
            </w:r>
            <w:r/>
          </w:p>
        </w:tc>
      </w:tr>
      <w:tr>
        <w:trPr>
          <w:trHeight w:val="20"/>
        </w:trPr>
        <w:tc>
          <w:tcPr>
            <w:gridSpan w:val="4"/>
            <w:tcBorders/>
            <w:tcW w:w="793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90" w:type="dxa"/>
            <w:vAlign w:val="center"/>
            <w:textDirection w:val="lrTb"/>
            <w:noWrap/>
          </w:tcPr>
          <w:p>
            <w:pPr>
              <w:pBdr/>
              <w:spacing w:after="40" w:before="40" w:line="288" w:lineRule="auto"/>
              <w:ind/>
              <w:jc w:val="right"/>
              <w:rPr>
                <w:b/>
                <w:bCs/>
                <w:color w:val="000000"/>
              </w:rPr>
            </w:pPr>
            <w:r>
              <w:t xml:space="preserve">10.286.220.000</w:t>
            </w:r>
            <w:r>
              <w:rPr>
                <w:b/>
                <w:bCs/>
                <w:color w:val="000000"/>
              </w:rPr>
            </w:r>
            <w:r>
              <w:rPr>
                <w:b/>
                <w:bCs/>
                <w:color w:val="000000"/>
              </w:rPr>
            </w:r>
          </w:p>
        </w:tc>
      </w:tr>
      <w:tr>
        <w:trPr>
          <w:trHeight w:val="20"/>
        </w:trPr>
        <w:tc>
          <w:tcPr>
            <w:gridSpan w:val="4"/>
            <w:tcBorders/>
            <w:tcW w:w="793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90" w:type="dxa"/>
            <w:vAlign w:val="center"/>
            <w:textDirection w:val="lrTb"/>
            <w:noWrap/>
          </w:tcPr>
          <w:p>
            <w:pPr>
              <w:pBdr/>
              <w:spacing w:after="40" w:before="40" w:line="288" w:lineRule="auto"/>
              <w:ind/>
              <w:jc w:val="right"/>
              <w:rPr>
                <w:b/>
                <w:bCs/>
                <w:color w:val="000000"/>
              </w:rPr>
            </w:pPr>
            <w:r>
              <w:rPr>
                <w:b/>
                <w:bCs/>
                <w:color w:val="000000"/>
              </w:rPr>
              <w:t xml:space="preserve">10.286.200.000</w:t>
            </w:r>
            <w:r>
              <w:rPr>
                <w:b/>
                <w:bCs/>
                <w:color w:val="000000"/>
              </w:rPr>
            </w:r>
            <w:r>
              <w:rPr>
                <w:b/>
                <w:bCs/>
                <w:color w:val="000000"/>
              </w:rPr>
            </w:r>
          </w:p>
        </w:tc>
      </w:tr>
      <w:tr>
        <w:trPr>
          <w:trHeight w:val="20"/>
        </w:trPr>
        <w:tc>
          <w:tcPr>
            <w:gridSpan w:val="5"/>
            <w:tcBorders/>
            <w:tcW w:w="982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hai trăm tám mươi sáu triệu hai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08" w:type="dxa"/>
        <w:tblBorders/>
        <w:tblLayout w:type="fixed"/>
        <w:tblLook w:val="04A0" w:firstRow="1" w:lastRow="0" w:firstColumn="1" w:lastColumn="0" w:noHBand="0" w:noVBand="1"/>
      </w:tblPr>
      <w:tblGrid>
        <w:gridCol w:w="29"/>
        <w:gridCol w:w="1789"/>
        <w:gridCol w:w="2463"/>
        <w:gridCol w:w="5669"/>
        <w:gridCol w:w="58"/>
      </w:tblGrid>
      <w:tr>
        <w:trPr>
          <w:trHeight w:val="1152"/>
        </w:trPr>
        <w:tc>
          <w:tcPr>
            <w:gridSpan w:val="2"/>
            <w:tcBorders/>
            <w:tcW w:w="181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19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52"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275/2026/0258/VFI-CT.24.A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669"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03 tháng 02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275/2026/0258/VFI-CT.24.A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1905"/>
        <w:gridCol w:w="283"/>
        <w:gridCol w:w="7593"/>
      </w:tblGrid>
      <w:tr>
        <w:trPr>
          <w:trHeight w:val="20"/>
        </w:trPr>
        <w:tc>
          <w:tcPr>
            <w:tcBorders/>
            <w:tcW w:w="1905"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05"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593"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05"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05"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93"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93"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Ông Vũ Đình Tuyên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022078000939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ind/>
              <w:rPr/>
            </w:pPr>
            <w:r>
              <w:rPr>
                <w:bCs/>
                <w:color w:val="000000" w:themeColor="text1"/>
                <w:lang w:val="pt-BR"/>
              </w:rPr>
              <w:t xml:space="preserve">Địa chỉ</w:t>
            </w: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Tổ 4, Khu 5B Bãi Cháy, Thành phố Hạ Long, Quảng Ninh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abs>
                <w:tab w:val="center" w:leader="none" w:pos="1151"/>
              </w:tabs>
              <w:spacing w:after="60" w:before="60" w:line="276" w:lineRule="auto"/>
              <w:ind/>
              <w:rPr>
                <w:bCs/>
                <w:lang w:val="pt-BR"/>
              </w:rPr>
            </w:pPr>
            <w:r>
              <w:rPr>
                <w:bCs/>
                <w:color w:val="000000" w:themeColor="text1"/>
                <w:lang w:val="pt-BR"/>
              </w:rPr>
              <w:t xml:space="preserve">Số hợp đồng</w:t>
            </w:r>
            <w:r>
              <w:rPr>
                <w:bCs/>
                <w:lang w:val="pt-BR"/>
              </w:rPr>
              <w:tab/>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color w:val="000000" w:themeColor="text1"/>
                <w:spacing w:val="-4"/>
                <w:lang w:val="vi-VN"/>
              </w:rPr>
              <w:t xml:space="preserve">275/2026/0234/VFI-HĐTĐ.24.A</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275, tờ bản đồ số: 377; có địa chỉ tại: Thôn 5, đặc khu Vân Đồn, t</w:t>
            </w:r>
            <w:r>
              <w:rPr>
                <w:bCs/>
                <w:color w:val="000000" w:themeColor="text1"/>
                <w:lang w:val="pt-BR"/>
              </w:rPr>
              <w:t xml:space="preserve">ỉnh Quảng Ninh theo Giấy chứng nhận quyền sử dụng đất, quyền sở hữu tài sản gắn liền với đất số AA 03689087 số vào sổ cấp GCN CN02138 do Chi nhánh văn phòng đăng ký đất đai số 6 cấp ngày 08/10/2025 cho ông Lê Văn Hùng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Hạ Long, Huyện Vân Đồn,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21.093083333333, 107.44713888889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03689087</w:t>
      </w:r>
      <w:r>
        <w:rPr>
          <w:bCs/>
          <w:color w:val="000000" w:themeColor="text1"/>
          <w:lang w:val="pt-BR"/>
        </w:rPr>
        <w:t xml:space="preserve"> số vào sổ cấp GCN CN02138 tại thửa đất số: 275, tờ bản đồ số: 377; có địa chỉ tại: Thôn 5, đặc khu Vân Đồn, tỉnh Quảng Ninh do Chi nhánh văn phòng đăng ký đất đai số 6 cấp ngày 08/10/2025 cho ông Lê Văn Hùng.</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275/2026/0234/VFI-HĐTĐ.24.A ngày 29/01/2026 giữa Ông Vũ Đình Tuyên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Thị trường bất động sản Quảng Ninh đang chứng kiến sự phát triển mạnh mẽ trong vài năm trở lại đây, nhờ những bước tiến vượt bậc về hạ tầng, du lịch và công nghiệp. Với vị trí chiến lược khi vừa là cửa ngõ phía Đông Bắc, vừa tiếp giáp Trung Quốc – Quảng Ni</w:t>
      </w:r>
      <w:r>
        <w:rPr>
          <w:lang w:val="pt-BR"/>
        </w:rPr>
        <w:t xml:space="preserve">nh giữ vai trò quan trọng trong giao thương quốc tế và phát triển kinh tế khu vực. Đặc biệt, sự xuất hiện của những tuyến đường cao tốc, sân bay quốc tế Vân Đồn, cảng biển nước sâu Cái Lân đã tạo nên đòn bẩy lớn giúp thị trường bất động sản nơi đây trở nên</w:t>
      </w:r>
      <w:r>
        <w:rPr>
          <w:lang w:val="pt-BR"/>
        </w:rPr>
        <w:t xml:space="preserve"> sôi động.</w:t>
      </w:r>
      <w:r>
        <w:rPr>
          <w:lang w:val="pt-BR"/>
          <w14:ligatures w14:val="none"/>
        </w:rPr>
      </w:r>
      <w:r>
        <w:rPr>
          <w:lang w:val="pt-BR"/>
          <w14:ligatures w14:val="none"/>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Không chỉ dừng lại ở vai trò là trung tâm du lịch nổi tiếng với Vịnh Hạ Long – kỳ quan thiên nhiên thế giới, Quảng Ninh còn định hướng trở thành “thành phố trực thuộc Trung ương” vào năm 2030. Chính sách quy hoạch đô thị đồng bộ cùng sự tham gia của nhiều </w:t>
      </w:r>
      <w:r>
        <w:rPr>
          <w:lang w:val="pt-BR"/>
        </w:rPr>
        <w:t xml:space="preserve">“ông lớn” bất động sản như Sun Group, Vingroup, BIM Group… đã góp phần đưa Quảng Ninh trở thành điểm đến hấp dẫn của các nhà đầu tư. Từ căn hộ, đất nền, biệt thự liền kề cho đến bất động sản công nghiệp, thị trường nơi đây đều cho thấy sức hút và tiềm năng</w:t>
      </w:r>
      <w:r>
        <w:rPr>
          <w:lang w:val="pt-BR"/>
        </w:rPr>
        <w:t xml:space="preserve"> tăng trưởng bền vững trong tương lai.</w:t>
      </w:r>
      <w:r>
        <w:rPr>
          <w:lang w:val="pt-BR"/>
          <w14:ligatures w14:val="none"/>
        </w:rPr>
      </w:r>
      <w:r>
        <w:rPr>
          <w:lang w:val="pt-BR"/>
          <w14:ligatures w14:val="none"/>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Thị trường bất động sản Quảng Ninh trong những năm gần đây chứng kiến sự phát triển mạnh mẽ, đặc biệt tại các thành phố trọng điểm như Hạ Long, Cẩm Phả và Vân Đồn. Sự xuất hiện liên tiếp của các “ông lớn” bất động sản như Sun Group, Vingroup, BIM Group, FL</w:t>
      </w:r>
      <w:r>
        <w:rPr>
          <w:lang w:val="pt-BR"/>
        </w:rPr>
        <w:t xml:space="preserve">C… đã góp phần thay đổi diện mạo đô thị và nâng tầm giá trị thị trường địa phương. Các dự án quy mô lớn với quy hoạch hiện đại, đồng bộ hạ tầng và hệ sinh thái tiện ích khép kín đang trở thành xu hướng chủ đạo.</w:t>
      </w:r>
      <w:r>
        <w:rPr>
          <w:lang w:val="pt-BR"/>
          <w14:ligatures w14:val="none"/>
        </w:rPr>
      </w:r>
      <w:r>
        <w:rPr>
          <w:lang w:val="pt-BR"/>
          <w14:ligatures w14:val="none"/>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Một trong những điểm đáng chú ý là giá bất động sản Quảng Ninh có sự phân hóa rõ rệt theo từng khu vực. Hạ Long và Bãi Cháy có mức giá cao do tiềm năng du lịch, trong khi các huyện ngoại thành và khu vực gần khu công nghiệp vẫn giữ được mức giá hợp lý, phù</w:t>
      </w:r>
      <w:r>
        <w:rPr>
          <w:lang w:val="pt-BR"/>
        </w:rPr>
        <w:t xml:space="preserve"> hợp cho các nhà đầu tư trung và dài hạn.</w:t>
      </w:r>
      <w:r>
        <w:rPr>
          <w:lang w:val="pt-BR"/>
          <w14:ligatures w14:val="none"/>
        </w:rPr>
      </w:r>
      <w:r>
        <w:rPr>
          <w:lang w:val="pt-BR"/>
          <w14:ligatures w14:val="none"/>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Nguồn cầu trên thị trường đến từ hai nhóm chính: người dân địa phương có nhu cầu an cư và nhà đầu tư từ Hà Nội, Hải Phòng tìm kiếm cơ hội sinh lời. Đặc biệt, với chính sách phát triển hạ tầng đồng bộ (cao tốc Vân Đồn – Móng Cái, sân bay Vân Đồn, cảng biển </w:t>
      </w:r>
      <w:r>
        <w:rPr>
          <w:lang w:val="pt-BR"/>
        </w:rPr>
        <w:t xml:space="preserve">quốc tế Cái Lân…), Quảng Ninh đang trở thành “điểm đến” hấp dẫn cho cả bất động sản du lịch và bất động sản công nghiệp.</w:t>
      </w:r>
      <w:r>
        <w:rPr>
          <w:lang w:val="pt-BR"/>
          <w14:ligatures w14:val="none"/>
        </w:rPr>
      </w:r>
      <w:r>
        <w:rPr>
          <w:lang w:val="pt-BR"/>
          <w14:ligatures w14:val="none"/>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Tuy vậy, thị trường bất động sản Quảng Ninh cũng tồn tại một số thách thức. Tính thanh khoản tại một số phân khúc chưa cao, đặc biệt là đất nền tại các khu vực xa trung tâm. Ngoài ra, khung pháp lý tại một số dự án ven biển còn cần thời gian hoàn thiện, kh</w:t>
      </w:r>
      <w:r>
        <w:rPr>
          <w:lang w:val="pt-BR"/>
        </w:rPr>
        <w:t xml:space="preserve">iến nhà đầu tư phải cân nhắc kỹ lưỡng trước khi “xuống tiền”.</w:t>
      </w:r>
      <w:r>
        <w:rPr>
          <w:lang w:val="pt-BR"/>
          <w14:ligatures w14:val="none"/>
        </w:rPr>
      </w:r>
      <w:r>
        <w:rPr>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lang w:val="pt-BR"/>
          <w14:ligatures w14:val="none"/>
        </w:rPr>
      </w:pPr>
      <w:r>
        <w:rPr>
          <w:lang w:val="pt-BR" w:bidi="pt-BR"/>
        </w:rPr>
      </w:r>
      <w:r>
        <w:rPr>
          <w:lang w:val="pt-BR" w:bidi="pt-BR"/>
        </w:rPr>
        <w:t xml:space="preserve">Nguồn: </w:t>
      </w:r>
      <w:r>
        <w:rPr>
          <w:i/>
          <w:iCs/>
          <w:lang w:val="pt-BR" w:bidi="pt-BR"/>
        </w:rPr>
        <w:t xml:space="preserve">https://newstarland.com/bat-dong-san-quang-ninh/</w:t>
      </w:r>
      <w:r>
        <w:rPr>
          <w:lang w:val="pt-BR"/>
          <w14:ligatures w14:val="none"/>
        </w:rPr>
      </w:r>
      <w:r>
        <w:rPr>
          <w:lang w:val="pt-BR"/>
          <w14:ligatures w14:val="none"/>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275, tờ bản đồ số: 377; có địa chỉ tại: Thôn 5, đặc khu Vân Đồn, t</w:t>
            </w:r>
            <w:r>
              <w:rPr>
                <w:b/>
                <w:bCs/>
                <w:color w:val="000000"/>
              </w:rPr>
              <w:t xml:space="preserve">ỉnh Quảng Ninh theo Giấy chứng nhận quyền sử dụng đất, quyền sở hữu tài sản gắn liền với đất số AA 03689087 số vào sổ cấp GCN CN02138 do Chi nhánh văn phòng đăng ký đất đai số 6 cấp ngày 08/10/2025 cho ông Lê Văn Hùng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377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Hạ Long, Huyện Vân Đồn, Tỉnh Quảng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2.938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left"/>
              <w:rPr>
                <w:color w:val="000000" w:themeColor="text1"/>
              </w:rPr>
            </w:pPr>
            <w:r>
              <w:rPr>
                <w:color w:val="000000" w:themeColor="text1"/>
              </w:rPr>
              <w:t xml:space="preserve">Đất ở nông thôn: 2.632m2</w:t>
            </w:r>
            <w:r>
              <w:rPr>
                <w:color w:val="000000" w:themeColor="text1"/>
              </w:rPr>
            </w:r>
            <w:r>
              <w:rPr>
                <w:color w:val="000000" w:themeColor="text1"/>
              </w:rPr>
            </w:r>
          </w:p>
          <w:p>
            <w:pPr>
              <w:pBdr/>
              <w:spacing/>
              <w:ind/>
              <w:jc w:val="left"/>
              <w:rPr>
                <w:color w:val="000000"/>
              </w:rPr>
            </w:pPr>
            <w:r>
              <w:rPr>
                <w:color w:val="000000" w:themeColor="text1"/>
              </w:rPr>
              <w:t xml:space="preserve">Đất trồng cây hàng năm khác: 306m2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left"/>
              <w:rPr>
                <w:color w:val="000000" w:themeColor="text1"/>
                <w:highlight w:val="none"/>
              </w:rPr>
            </w:pPr>
            <w:r>
              <w:rPr>
                <w:color w:val="000000" w:themeColor="text1"/>
              </w:rPr>
              <w:t xml:space="preserve">Đất ở nông thôn: Lâu dài;</w:t>
            </w:r>
            <w:r>
              <w:rPr>
                <w:color w:val="000000" w:themeColor="text1"/>
                <w:highlight w:val="none"/>
              </w:rPr>
            </w:r>
            <w:r>
              <w:rPr>
                <w:color w:val="000000" w:themeColor="text1"/>
                <w:highlight w:val="none"/>
              </w:rPr>
            </w:r>
          </w:p>
          <w:p>
            <w:pPr>
              <w:pBdr/>
              <w:spacing/>
              <w:ind/>
              <w:jc w:val="left"/>
              <w:rPr>
                <w:color w:val="000000"/>
              </w:rPr>
            </w:pPr>
            <w:r>
              <w:rPr>
                <w:color w:val="000000" w:themeColor="text1"/>
                <w:highlight w:val="none"/>
              </w:rPr>
              <w:t xml:space="preserve">Đất trồng cây HNK: Đến ngày 15/06/2066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định chưa thu thập được thông tin quy hoạch của tài sản thẩm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2,92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334 khoảng 200m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Đông Bắc: Tiếp giáp ngõ bê tông</w:t>
            </w:r>
            <w:r>
              <w:rPr>
                <w:highlight w:val="none"/>
              </w:rPr>
            </w:r>
            <w:r>
              <w:rPr>
                <w:highlight w:val="none"/>
              </w:rPr>
            </w:r>
          </w:p>
          <w:p>
            <w:pPr>
              <w:pBdr/>
              <w:spacing/>
              <w:ind/>
              <w:rPr>
                <w:color w:val="000000" w:themeColor="text1"/>
              </w:rPr>
            </w:pPr>
            <w:r>
              <w:rPr>
                <w:highlight w:val="none"/>
              </w:rPr>
              <w:t xml:space="preserve">-</w:t>
            </w:r>
            <w:r>
              <w:rPr>
                <w:highlight w:val="none"/>
              </w:rPr>
              <w:t xml:space="preserve">Các hướng còn lại tiếp giáp BĐS khác liền kề</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21.093083333333</w:t>
            </w:r>
            <w:r>
              <w:rPr>
                <w:color w:val="000000"/>
              </w:rPr>
              <w:t xml:space="preserve">, </w:t>
            </w:r>
            <w:r>
              <w:rPr>
                <w:color w:val="000000"/>
              </w:rPr>
              <w:t xml:space="preserve">107.44713888889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618481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618481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86.99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2.938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34,24</w:t>
            </w:r>
            <w:r>
              <w:rPr>
                <w:color w:val="000000"/>
              </w:rPr>
            </w:r>
            <w:r>
              <w:rPr>
                <w:color w:val="000000"/>
              </w:rPr>
            </w:r>
          </w:p>
        </w:tc>
        <w:tc>
          <w:tcPr>
            <w:tcBorders/>
            <w:tcW w:w="2126" w:type="dxa"/>
            <w:vAlign w:val="center"/>
            <w:textDirection w:val="lrTb"/>
            <w:noWrap w:val="false"/>
          </w:tcPr>
          <w:p>
            <w:pPr>
              <w:pBdr/>
              <w:spacing/>
              <w:ind/>
              <w:rPr/>
            </w:pPr>
            <w:r/>
            <w:r/>
          </w:p>
        </w:tc>
        <w:tc>
          <w:tcPr>
            <w:tcBorders/>
            <w:tcW w:w="2007" w:type="dxa"/>
            <w:vAlign w:val="center"/>
            <w:textDirection w:val="lrTb"/>
            <w:noWrap w:val="false"/>
          </w:tcPr>
          <w:p>
            <w:pPr>
              <w:pBdr/>
              <w:spacing/>
              <w:ind/>
              <w:rPr/>
            </w:p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là 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5, đặc khu Vân Đồn, tỉnh Quảng Ninh</w:t>
            </w:r>
            <w:r/>
          </w:p>
        </w:tc>
        <w:tc>
          <w:tcPr>
            <w:tcBorders/>
            <w:tcW w:w="1605" w:type="dxa"/>
            <w:vAlign w:val="center"/>
            <w:textDirection w:val="lrTb"/>
            <w:noWrap w:val="false"/>
          </w:tcPr>
          <w:p>
            <w:pPr>
              <w:pBdr/>
              <w:spacing/>
              <w:ind/>
              <w:jc w:val="center"/>
              <w:rPr/>
            </w:pPr>
            <w:r>
              <w:t xml:space="preserve">Thôn 5, đặc khu Vân Đồn, tỉnh Quảng Ninh</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Hạ Long, Huyện Vân Đồn, Tỉnh Quảng Ninh</w:t>
            </w:r>
            <w:r/>
          </w:p>
        </w:tc>
        <w:tc>
          <w:tcPr>
            <w:tcBorders/>
            <w:tcW w:w="1605" w:type="dxa"/>
            <w:vAlign w:val="center"/>
            <w:textDirection w:val="lrTb"/>
            <w:noWrap w:val="false"/>
          </w:tcPr>
          <w:p>
            <w:pPr>
              <w:pBdr/>
              <w:spacing/>
              <w:ind/>
              <w:jc w:val="center"/>
              <w:rPr/>
            </w:pPr>
            <w:r>
              <w:t xml:space="preserve">Xã Hạ Long, Huyện Vân Đồn, Tỉnh Quảng Ninh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trồng cây hàng năm khác ✔</w:t>
            </w:r>
            <w:r/>
          </w:p>
        </w:tc>
        <w:tc>
          <w:tcPr>
            <w:tcBorders/>
            <w:tcW w:w="1605" w:type="dxa"/>
            <w:vAlign w:val="center"/>
            <w:textDirection w:val="lrTb"/>
            <w:noWrap w:val="false"/>
          </w:tcPr>
          <w:p>
            <w:pPr>
              <w:pBdr/>
              <w:spacing/>
              <w:ind/>
              <w:jc w:val="center"/>
              <w:rPr/>
            </w:pPr>
            <w:r>
              <w:t xml:space="preserve">Đất ở nông thôn, Đất trồng cây hàng năm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2,92</w:t>
            </w:r>
            <w:r/>
          </w:p>
        </w:tc>
        <w:tc>
          <w:tcPr>
            <w:tcBorders/>
            <w:tcW w:w="1605" w:type="dxa"/>
            <w:vAlign w:val="center"/>
            <w:textDirection w:val="lrTb"/>
            <w:noWrap w:val="false"/>
          </w:tcPr>
          <w:p>
            <w:pPr>
              <w:pBdr/>
              <w:spacing/>
              <w:ind/>
              <w:jc w:val="center"/>
              <w:rPr/>
            </w:pPr>
            <w:r>
              <w:t xml:space="preserve">2,92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2938</w:t>
            </w:r>
            <w:r/>
          </w:p>
        </w:tc>
        <w:tc>
          <w:tcPr>
            <w:tcBorders/>
            <w:tcW w:w="1605" w:type="dxa"/>
            <w:vAlign w:val="center"/>
            <w:textDirection w:val="lrTb"/>
            <w:noWrap w:val="false"/>
          </w:tcPr>
          <w:p>
            <w:pPr>
              <w:pBdr/>
              <w:spacing/>
              <w:ind/>
              <w:jc w:val="center"/>
              <w:rPr/>
            </w:pPr>
            <w:r>
              <w:t xml:space="preserve">2938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34,24</w:t>
            </w:r>
            <w:r/>
          </w:p>
        </w:tc>
        <w:tc>
          <w:tcPr>
            <w:tcBorders/>
            <w:tcW w:w="1605" w:type="dxa"/>
            <w:vAlign w:val="center"/>
            <w:textDirection w:val="lrTb"/>
            <w:noWrap w:val="false"/>
          </w:tcPr>
          <w:p>
            <w:pPr>
              <w:pBdr/>
              <w:spacing/>
              <w:ind/>
              <w:jc w:val="center"/>
              <w:rPr/>
            </w:pPr>
            <w:r>
              <w:t xml:space="preserve">34,24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Bắc ✔</w:t>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 ✔</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 ở nông thôn</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Long, Huyện Vân Đồn,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Long, Huyện Vân Đồn,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Long, Huyện Vân Đồn,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Long, Huyện Vân Đồn,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https://www.facebook.com/groups/298926580611817/posts/2261782640992858/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https://www.facebook.com/baotung.nguyen.92/posts/pfbid02S3KszkD2KTya91WWuB98nvMepdHi4U6EGiCqLUa1yQwfpfNb4QuMVt1hpkBfh9pwl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https://www.facebook.com/baotung.nguyen.92/posts/pfbid02S3KszkD2KTya91WWuB98nvMepdHi4U6EGiCqLUa1yQwfpfNb4QuMVt1hpkBfh9pwl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0828.614.866</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0971187365</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0971187365</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Hạ Long, Huyện Vân Đồn, Tỉnh Quảng Ninh, khoảng cách ra đường chính Cách đường 334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Hạ Long, Huyện Vân Đồn, Tỉnh Quảng Ninh, khoảng cách ra đường chính Cách đường 334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Hạ Long, Huyện Vân Đồn, Tỉnh Quảng Ninh, khoảng cách ra đường chính Cách đường 334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Hạ Long, Huyện Vân Đồn, Tỉnh Quảng Ninh, khoảng cách ra đường chính Cách đường 334 khoảng 200m.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880.000.000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1.520.000.000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9.072.165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11.584.875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11.996.843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394"/>
        <w:gridCol w:w="1421"/>
        <w:gridCol w:w="883"/>
        <w:gridCol w:w="1571"/>
        <w:gridCol w:w="1822"/>
        <w:gridCol w:w="1937"/>
        <w:gridCol w:w="1938"/>
        <w:gridCol w:w="50"/>
      </w:tblGrid>
      <w:tr>
        <w:trPr>
          <w:gridAfter w:val="1"/>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Yếu tố so sánh</w:t>
            </w:r>
            <w:r/>
          </w:p>
        </w:tc>
        <w:tc>
          <w:tcPr>
            <w:tcBorders>
              <w:top w:val="single" w:color="000000" w:sz="8" w:space="0"/>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Đơn vị tính</w:t>
            </w:r>
            <w:r/>
          </w:p>
        </w:tc>
        <w:tc>
          <w:tcPr>
            <w:tcBorders>
              <w:top w:val="single" w:color="000000" w:sz="8" w:space="0"/>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single" w:color="e5e7eb" w:sz="2" w:space="0"/>
                <w:left w:val="single" w:color="e5e7eb" w:sz="2" w:space="0"/>
                <w:bottom w:val="single" w:color="e5e7eb" w:sz="2" w:space="0"/>
                <w:right w:val="single" w:color="e5e7eb" w:sz="2" w:space="0"/>
              </w:pBdr>
              <w:spacing w:after="0" w:line="276" w:lineRule="auto"/>
              <w:ind w:right="0" w:firstLine="0" w:left="0"/>
              <w:jc w:val="center"/>
              <w:rPr/>
            </w:pPr>
            <w:r>
              <w:rPr>
                <w:rFonts w:ascii="Times New Roman" w:hAnsi="Times New Roman" w:eastAsia="Times New Roman" w:cs="Times New Roman"/>
                <w:b/>
                <w:color w:val="000000"/>
                <w:sz w:val="22"/>
              </w:rPr>
              <w:t xml:space="preserve">TSSS 1</w:t>
            </w:r>
            <w:r/>
          </w:p>
        </w:tc>
        <w:tc>
          <w:tcPr>
            <w:tcBorders>
              <w:top w:val="single" w:color="000000" w:sz="8" w:space="0"/>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single" w:color="e5e7eb" w:sz="2" w:space="0"/>
                <w:left w:val="single" w:color="e5e7eb" w:sz="2" w:space="0"/>
                <w:bottom w:val="single" w:color="e5e7eb" w:sz="2" w:space="0"/>
                <w:right w:val="single" w:color="e5e7eb" w:sz="2" w:space="0"/>
              </w:pBdr>
              <w:spacing w:after="0" w:line="276" w:lineRule="auto"/>
              <w:ind w:right="0" w:firstLine="0" w:left="0"/>
              <w:jc w:val="center"/>
              <w:rPr/>
            </w:pPr>
            <w:r>
              <w:rPr>
                <w:rFonts w:ascii="Times New Roman" w:hAnsi="Times New Roman" w:eastAsia="Times New Roman" w:cs="Times New Roman"/>
                <w:b/>
                <w:color w:val="000000"/>
                <w:sz w:val="22"/>
              </w:rPr>
              <w:t xml:space="preserve">TSSS 2</w:t>
            </w:r>
            <w:r/>
          </w:p>
        </w:tc>
        <w:tc>
          <w:tcPr>
            <w:tcBorders>
              <w:top w:val="single" w:color="000000" w:sz="8" w:space="0"/>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single" w:color="e5e7eb" w:sz="2" w:space="0"/>
                <w:left w:val="single" w:color="e5e7eb" w:sz="2" w:space="0"/>
                <w:bottom w:val="single" w:color="e5e7eb" w:sz="2" w:space="0"/>
                <w:right w:val="single" w:color="e5e7eb" w:sz="2" w:space="0"/>
              </w:pBdr>
              <w:spacing w:after="0" w:line="276" w:lineRule="auto"/>
              <w:ind w:right="0" w:firstLine="0" w:left="0"/>
              <w:jc w:val="center"/>
              <w:rPr/>
            </w:pPr>
            <w:r>
              <w:rPr>
                <w:rFonts w:ascii="Times New Roman" w:hAnsi="Times New Roman" w:eastAsia="Times New Roman" w:cs="Times New Roman"/>
                <w:b/>
                <w:color w:val="000000"/>
                <w:sz w:val="22"/>
              </w:rPr>
              <w:t xml:space="preserve">TSSS 3</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Giá trị QSDĐ thị trường (Ước tính sau thương lượng), (...%)</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880.000.000, (80%)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1.440.000.000, (80%)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1.520.000.000, (80%)</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Đơn giá đất ước tính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9.072.165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11.584.875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11.996.843</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Điều chỉnh các yếu tố so sánh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spacing w:after="0" w:before="0" w:line="276" w:lineRule="auto"/>
              <w:ind/>
              <w:rPr/>
            </w:pPr>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C1</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Pháp lý</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tài sản gắn liền với đất</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9.072.165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11.584.875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11.996.843</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C2</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Mục đích sử dụng</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nông thôn (97 m²)</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nông thôn (124.3 m²)</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nông thôn (126.7 m²)</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9.072.165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11.584.875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11.996.843</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C3</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Thời hạn sử dụng đất</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nông thôn – Lâu dài</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nông thôn – Lâu dài</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nông thôn – Lâu dài</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nông thôn – Lâu dài</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9.072.165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11.584.875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11.996.843</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C4</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Vị trí</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tại: Xã Hạ Long, Huyện Vân Đồn, Tỉnh Quảng Ninh, khoảng cách ra đường chính Cách đường 334 khoảng 200m</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tại: Xã Hạ Long, Huyện Vân Đồn, Tỉnh Quảng Ninh, khoảng cách ra đường chính Cách đường 334 khoảng 300m</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tại: Xã Hạ Long, Huyện Vân Đồn, Tỉnh Quảng Ninh, khoảng cách ra đường chính Cách đường 334 khoảng 200m</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tại: Xã Hạ Long, Huyện Vân Đồn, Tỉnh Quảng Ninh, khoảng cách ra đường chính Cách đường 334 khoảng 200m</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-1.158.488</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-1.199.684</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9.072.165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10.426.387</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10.797.159</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C5</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Giao thông</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9.072.165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10.426.387</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10.797.159</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C6</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Độ rộng đường trước tài sản (m)</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2,92</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-272.165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-1.158.488</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-1.199.684</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8.800.000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9.267.899</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9.597.475</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C7</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Độ rộng nhỏ nhất từ đường chính vào tài sản (m)</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2,92</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-272.165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-1.158.488</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-1.199.684</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8.527.835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8.109.411</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8.397.791</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C8</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Cơ sở hạ tầng kỹ thuật</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8.527.835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8.109.411</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8.397.791</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C10</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Diện tích đất (m²)</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2.632</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97</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124,3</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126,7</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-30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-25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-25</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-2.721.650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-2.896.219</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-2.999.211</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5.806.185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5.213.192</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5.398.580</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C11</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Mặt tiền (m)</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34,24</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4,75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4,76</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907.217</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1.158.488</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1.199.684</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6.713.402</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6.371.680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6.598.264</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C12</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Chiều sâu (m)</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85,81</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19.4</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26.17</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26.62</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-20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-15</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-1.814.433</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-1.737.731</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-1.799.526</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4.898.969</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4.633.949</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4.798.738</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C13</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Số lượng mặt tiếp giáp</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4.898.969</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4.633.949</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4.798.738</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C14</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Hình dáng thửa đất</w:t>
            </w:r>
            <w:r/>
          </w:p>
        </w:tc>
        <w:tc>
          <w:tcPr>
            <w:tcBorders>
              <w:bottom w:val="single" w:color="000000" w:sz="8" w:space="0"/>
              <w:right w:val="single" w:color="000000" w:sz="8" w:space="0"/>
            </w:tcBorders>
            <w:tcMar>
              <w:left w:w="15" w:type="dxa"/>
              <w:top w:w="15" w:type="dxa"/>
              <w:right w:w="15" w:type="dxa"/>
              <w:bottom w:w="15" w:type="dxa"/>
            </w:tcMar>
            <w:tcW w:w="883" w:type="dxa"/>
            <w:vAlign w:val="top"/>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-8</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-8</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-8</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-725.773</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-926.790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-959.747</w:t>
            </w:r>
            <w:r/>
          </w:p>
        </w:tc>
      </w:tr>
      <w:tr>
        <w:trPr>
          <w:gridAfter w:val="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5" w:type="dxa"/>
              <w:top w:w="15" w:type="dxa"/>
              <w:right w:w="15" w:type="dxa"/>
              <w:bottom w:w="15" w:type="dxa"/>
            </w:tcMar>
            <w:tcW w:w="14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4.173.196</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3.707.159</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3.838.991</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D</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Mức giá chỉ dẫn</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Đồng/m2</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4.173.196</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3.707.159</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3.838.991</w:t>
            </w:r>
            <w:r/>
          </w:p>
        </w:tc>
      </w:tr>
      <w:tr>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D1</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trị trung bình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gridSpan w:val="4"/>
            <w:tcBorders>
              <w:bottom w:val="single" w:color="000000" w:sz="8" w:space="0"/>
              <w:right w:val="single" w:color="000000" w:sz="8" w:space="0"/>
            </w:tcBorders>
            <w:tcMar>
              <w:left w:w="15" w:type="dxa"/>
              <w:top w:w="15" w:type="dxa"/>
              <w:right w:w="15" w:type="dxa"/>
              <w:bottom w:w="15" w:type="dxa"/>
            </w:tcMar>
            <w:tcW w:w="574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3.906.449</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D2</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Mức độ chênh lệch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6,83%</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-5.10%</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-1.73%</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E</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spacing w:after="0" w:before="0" w:line="276" w:lineRule="auto"/>
              <w:ind/>
              <w:rPr/>
            </w:pPr>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E1</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Tổng giá trị điều chỉnh gộp</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6.713.403</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10.194.692</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10.557.220</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E2</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Tổng số lần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Lần</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E3</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Biên độ điều chỉnh</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 - 30%</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 - 25%</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 - 25%</w:t>
            </w:r>
            <w:r/>
          </w:p>
        </w:tc>
      </w:tr>
      <w:tr>
        <w:trPr>
          <w:gridAfter w:val="1"/>
        </w:trPr>
        <w:tc>
          <w:tcPr>
            <w:tcBorders>
              <w:left w:val="single" w:color="000000" w:sz="8" w:space="0"/>
              <w:bottom w:val="single" w:color="000000" w:sz="8" w:space="0"/>
              <w:right w:val="single" w:color="000000" w:sz="8" w:space="0"/>
            </w:tcBorders>
            <w:tcMar>
              <w:left w:w="15" w:type="dxa"/>
              <w:top w:w="15" w:type="dxa"/>
              <w:right w:w="15" w:type="dxa"/>
              <w:bottom w:w="15" w:type="dxa"/>
            </w:tcMar>
            <w:tcW w:w="3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E4</w:t>
            </w:r>
            <w:r/>
          </w:p>
        </w:tc>
        <w:tc>
          <w:tcPr>
            <w:tcBorders>
              <w:bottom w:val="single" w:color="000000" w:sz="8" w:space="0"/>
              <w:right w:val="single" w:color="000000" w:sz="8" w:space="0"/>
            </w:tcBorders>
            <w:tcMar>
              <w:left w:w="15" w:type="dxa"/>
              <w:top w:w="15" w:type="dxa"/>
              <w:right w:w="15" w:type="dxa"/>
              <w:bottom w:w="15" w:type="dxa"/>
            </w:tcMar>
            <w:tcW w:w="14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Tổng giá trị điều chỉnh thuần</w:t>
            </w:r>
            <w:r/>
          </w:p>
        </w:tc>
        <w:tc>
          <w:tcPr>
            <w:tcBorders>
              <w:bottom w:val="single" w:color="000000" w:sz="8" w:space="0"/>
              <w:right w:val="single" w:color="000000" w:sz="8" w:space="0"/>
            </w:tcBorders>
            <w:tcMar>
              <w:left w:w="15" w:type="dxa"/>
              <w:top w:w="15" w:type="dxa"/>
              <w:right w:w="15" w:type="dxa"/>
              <w:bottom w:w="15" w:type="dxa"/>
            </w:tcMar>
            <w:tcW w:w="8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Đồng</w:t>
            </w:r>
            <w:r/>
          </w:p>
        </w:tc>
        <w:tc>
          <w:tcPr>
            <w:tcBorders>
              <w:bottom w:val="single" w:color="000000" w:sz="8" w:space="0"/>
              <w:right w:val="single" w:color="000000" w:sz="8" w:space="0"/>
            </w:tcBorders>
            <w:tcMar>
              <w:left w:w="15" w:type="dxa"/>
              <w:top w:w="15" w:type="dxa"/>
              <w:right w:w="15" w:type="dxa"/>
              <w:bottom w:w="15" w:type="dxa"/>
            </w:tcMar>
            <w:tcW w:w="1571" w:type="dxa"/>
            <w:vAlign w:val="center"/>
            <w:textDirection w:val="lrTb"/>
            <w:noWrap w:val="false"/>
          </w:tcPr>
          <w:p>
            <w:pPr>
              <w:pBdr/>
              <w:spacing w:after="0" w:before="0" w:line="276" w:lineRule="auto"/>
              <w:ind/>
              <w:rPr/>
            </w:pPr>
            <w:r/>
            <w:r/>
          </w:p>
        </w:tc>
        <w:tc>
          <w:tcPr>
            <w:tcBorders>
              <w:bottom w:val="single" w:color="000000" w:sz="8" w:space="0"/>
              <w:right w:val="single" w:color="000000" w:sz="8" w:space="0"/>
            </w:tcBorders>
            <w:tcMar>
              <w:left w:w="15" w:type="dxa"/>
              <w:top w:w="15" w:type="dxa"/>
              <w:right w:w="15" w:type="dxa"/>
              <w:bottom w:w="15" w:type="dxa"/>
            </w:tcMar>
            <w:tcW w:w="18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4.898.969</w:t>
            </w:r>
            <w:r/>
          </w:p>
        </w:tc>
        <w:tc>
          <w:tcPr>
            <w:tcBorders>
              <w:bottom w:val="single" w:color="000000" w:sz="8" w:space="0"/>
              <w:right w:val="single" w:color="000000" w:sz="8" w:space="0"/>
            </w:tcBorders>
            <w:tcMar>
              <w:left w:w="15" w:type="dxa"/>
              <w:top w:w="15" w:type="dxa"/>
              <w:right w:w="15" w:type="dxa"/>
              <w:bottom w:w="15" w:type="dxa"/>
            </w:tcMar>
            <w:tcW w:w="19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7.877.716</w:t>
            </w:r>
            <w:r/>
          </w:p>
        </w:tc>
        <w:tc>
          <w:tcPr>
            <w:tcBorders>
              <w:bottom w:val="single" w:color="000000" w:sz="8" w:space="0"/>
              <w:right w:val="single" w:color="000000" w:sz="8" w:space="0"/>
            </w:tcBorders>
            <w:tcMar>
              <w:left w:w="15" w:type="dxa"/>
              <w:top w:w="15" w:type="dxa"/>
              <w:right w:w="15" w:type="dxa"/>
              <w:bottom w:w="15" w:type="dxa"/>
            </w:tcMar>
            <w:tcW w:w="19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8.157.852</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-5,1</w:t>
      </w:r>
      <w:r>
        <w:t xml:space="preserve">% </w:t>
      </w:r>
      <w:r>
        <w:t xml:space="preserve">đến</w:t>
      </w:r>
      <w:r>
        <w:t xml:space="preserve"> </w:t>
      </w:r>
      <w:r>
        <w:t xml:space="preserve"> </w:t>
      </w:r>
      <w:r>
        <w:t xml:space="preserve">6,83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4.173.196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1.669.278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3.707.159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1.112.147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3.838.991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1.151.697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3.933.122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3.900.000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3.900.000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quyền sử dụng đất trồng cây hàng năm.</w:t>
      </w:r>
      <w:r>
        <w:rPr>
          <w:b/>
          <w:bCs/>
        </w:rPr>
      </w:r>
      <w:r>
        <w:rPr>
          <w:b/>
          <w:bCs/>
        </w:rPr>
      </w:r>
    </w:p>
    <w:p>
      <w:pPr>
        <w:pStyle w:val="1035"/>
        <w:pBdr/>
        <w:tabs>
          <w:tab w:val="left" w:leader="none" w:pos="993"/>
        </w:tabs>
        <w:spacing w:after="120" w:before="120" w:line="276" w:lineRule="auto"/>
        <w:ind w:left="0"/>
        <w:jc w:val="both"/>
        <w:rPr>
          <w:b w:val="0"/>
          <w:bCs w:val="0"/>
          <w:i w:val="0"/>
          <w14:ligatures w14:val="none"/>
        </w:rPr>
      </w:pPr>
      <w:r>
        <w:rPr>
          <w:b/>
          <w:lang w:val="pt-BR"/>
        </w:rPr>
      </w:r>
      <w:r>
        <w:rPr>
          <w:b w:val="0"/>
          <w:bCs w:val="0"/>
          <w:lang w:val="pt-BR"/>
        </w:rPr>
        <w:t xml:space="preserve">Căn cứ Nghị qu</w:t>
      </w:r>
      <w:r>
        <w:rPr>
          <w:b w:val="0"/>
          <w:bCs w:val="0"/>
          <w:lang w:val="pt-BR"/>
        </w:rPr>
        <w:t xml:space="preserve">yết số </w:t>
      </w:r>
      <w:r>
        <w:rPr>
          <w:b w:val="0"/>
          <w:bCs w:val="0"/>
          <w:lang w:val="pt-BR"/>
        </w:rPr>
        <w:t xml:space="preserve">100/2025/NQ-HĐND</w:t>
      </w:r>
      <w:r>
        <w:rPr>
          <w:b w:val="0"/>
          <w:bCs w:val="0"/>
          <w:lang w:val="pt-BR"/>
        </w:rPr>
        <w:t xml:space="preserve"> về việc </w:t>
      </w:r>
      <w:r>
        <w:rPr>
          <w:b w:val="0"/>
          <w:bCs w:val="0"/>
          <w:lang w:val="pt-BR"/>
        </w:rPr>
        <w:t xml:space="preserve">Quy định bảng giá đất lần đầu áp dụng từ ngày 01 tháng 01 năm 2026 trên địa bàn tỉnh Quảng Ninh</w:t>
      </w:r>
      <w:r>
        <w:rPr>
          <w:b w:val="0"/>
          <w:bCs w:val="0"/>
          <w:lang w:val="pt-BR"/>
        </w:rPr>
        <w:t xml:space="preserve">, tổ thẩm định xác định đơn giá đất trồng cây hàng năm khác của tài sản</w:t>
      </w:r>
      <w:r>
        <w:rPr>
          <w:b w:val="0"/>
          <w:bCs w:val="0"/>
          <w:lang w:val="pt-BR"/>
        </w:rPr>
        <w:t xml:space="preserve"> thẩm định bằng đơn giá đất trồng cây hàng năm được quy định theo nghị định</w:t>
      </w:r>
      <w:r>
        <w:rPr>
          <w:b w:val="0"/>
          <w:bCs w:val="0"/>
          <w:i/>
          <w:iCs/>
          <w:lang w:val="pt-BR"/>
        </w:rPr>
        <w:t xml:space="preserve"> </w:t>
      </w:r>
      <w:r>
        <w:rPr>
          <w:b w:val="0"/>
          <w:bCs w:val="0"/>
          <w:i/>
          <w:iCs/>
          <w:lang w:val="pt-BR"/>
        </w:rPr>
        <w:t xml:space="preserve">“</w:t>
      </w:r>
      <w:r>
        <w:rPr>
          <w:b w:val="0"/>
          <w:bCs w:val="0"/>
          <w:i/>
          <w:iCs/>
          <w:lang w:val="pt-BR"/>
        </w:rPr>
        <w:t xml:space="preserve">Giá đất trồng cây hàng năm bao gồm đất trồng lúa và đất trồng cây hàng năm khác</w:t>
      </w:r>
      <w:r>
        <w:rPr>
          <w:b w:val="0"/>
          <w:bCs w:val="0"/>
          <w:i/>
          <w:iCs/>
          <w:lang w:val="pt-BR" w:bidi="pt-BR"/>
        </w:rPr>
        <w:t xml:space="preserve"> - Đặc khu Vân Đồn” </w:t>
      </w:r>
      <w:r>
        <w:rPr>
          <w:b w:val="0"/>
          <w:bCs w:val="0"/>
          <w:i w:val="0"/>
          <w:iCs w:val="0"/>
          <w:lang w:val="pt-BR" w:bidi="pt-BR"/>
        </w:rPr>
        <w:t xml:space="preserve">là: 70.000 đồng/m2</w:t>
      </w:r>
      <w:r>
        <w:rPr>
          <w:b w:val="0"/>
          <w:bCs w:val="0"/>
          <w:i w:val="0"/>
          <w14:ligatures w14:val="none"/>
        </w:rPr>
      </w:r>
      <w:r>
        <w:rPr>
          <w:b w:val="0"/>
          <w:bCs w:val="0"/>
          <w:i w:val="0"/>
          <w14:ligatures w14:val="none"/>
        </w:rP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15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8"/>
        <w:gridCol w:w="3330"/>
        <w:gridCol w:w="1802"/>
        <w:gridCol w:w="2068"/>
        <w:gridCol w:w="1890"/>
      </w:tblGrid>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33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68"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890"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200"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275, tờ bản đồ số: 377; có địa chỉ tại: Thôn 5, đặc khu Vân Đồn, t</w:t>
            </w:r>
            <w:r>
              <w:rPr>
                <w:b/>
                <w:bCs/>
                <w:color w:val="000000"/>
              </w:rPr>
              <w:t xml:space="preserve">ỉnh Quảng Ninh theo Giấy chứng nhận quyền sử dụng đất, quyền sở hữu tài sản gắn liền với đất số AA 03689087 số vào sổ cấp GCN CN02138 do Chi nhánh văn phòng đăng ký đất đai số 6 cấp ngày 08/10/2025 cho ông Lê Văn Hùng</w:t>
            </w:r>
            <w:r>
              <w:rPr>
                <w:b/>
                <w:bCs/>
              </w:rPr>
              <w:t xml:space="preserve">.</w:t>
            </w:r>
            <w:r>
              <w:rPr>
                <w:b/>
                <w:bCs/>
              </w:rPr>
            </w:r>
            <w:r>
              <w:rPr>
                <w:b/>
                <w:bCs/>
              </w:rPr>
            </w:r>
          </w:p>
        </w:tc>
        <w:tc>
          <w:tcPr>
            <w:shd w:val="clear" w:color="000000" w:fill="ffffff"/>
            <w:tcBorders/>
            <w:tcW w:w="1890"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330"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2.632</w:t>
            </w:r>
            <w:r>
              <w:rPr>
                <w:color w:val="000000"/>
              </w:rPr>
            </w:r>
            <w:r>
              <w:rPr>
                <w:color w:val="000000"/>
              </w:rPr>
            </w:r>
          </w:p>
        </w:tc>
        <w:tc>
          <w:tcPr>
            <w:shd w:val="clear" w:color="000000" w:fill="ffffff"/>
            <w:tcBorders/>
            <w:tcW w:w="2068" w:type="dxa"/>
            <w:vAlign w:val="center"/>
            <w:textDirection w:val="lrTb"/>
            <w:noWrap w:val="false"/>
          </w:tcPr>
          <w:p>
            <w:pPr>
              <w:pBdr/>
              <w:spacing w:after="40" w:before="40" w:line="288" w:lineRule="auto"/>
              <w:ind/>
              <w:jc w:val="center"/>
              <w:rPr/>
            </w:pPr>
            <w:r>
              <w:rPr>
                <w:color w:val="000000" w:themeColor="text1"/>
              </w:rPr>
              <w:t xml:space="preserve">3.900.000</w:t>
            </w:r>
            <w:r/>
          </w:p>
        </w:tc>
        <w:tc>
          <w:tcPr>
            <w:shd w:val="clear" w:color="000000" w:fill="ffffff"/>
            <w:tcBorders/>
            <w:tcW w:w="1890" w:type="dxa"/>
            <w:vAlign w:val="center"/>
            <w:textDirection w:val="lrTb"/>
            <w:noWrap w:val="false"/>
          </w:tcPr>
          <w:p>
            <w:pPr>
              <w:pBdr/>
              <w:spacing w:after="40" w:before="40" w:line="288" w:lineRule="auto"/>
              <w:ind/>
              <w:jc w:val="right"/>
              <w:rPr/>
            </w:pPr>
            <w:r>
              <w:rPr>
                <w:color w:val="000000" w:themeColor="text1"/>
              </w:rPr>
              <w:t xml:space="preserve">10.264.800.000</w:t>
            </w: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3330" w:type="dxa"/>
            <w:vAlign w:val="center"/>
            <w:textDirection w:val="lrTb"/>
            <w:noWrap w:val="false"/>
          </w:tcPr>
          <w:p>
            <w:pPr>
              <w:pBdr/>
              <w:spacing w:after="40" w:before="40" w:line="288" w:lineRule="auto"/>
              <w:ind/>
              <w:rPr>
                <w:b w:val="0"/>
                <w:bCs w:val="0"/>
              </w:rPr>
            </w:pPr>
            <w:r>
              <w:rPr>
                <w:b w:val="0"/>
                <w:bCs w:val="0"/>
              </w:rPr>
              <w:t xml:space="preserve">Đất trồng cây hàng năm khác</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306</w:t>
            </w:r>
            <w:r>
              <w:rPr>
                <w:color w:val="000000"/>
              </w:rPr>
            </w:r>
            <w:r>
              <w:rPr>
                <w:color w:val="000000"/>
              </w:rPr>
            </w:r>
          </w:p>
        </w:tc>
        <w:tc>
          <w:tcPr>
            <w:shd w:val="clear" w:color="000000" w:fill="ffffff"/>
            <w:tcBorders/>
            <w:tcW w:w="2068" w:type="dxa"/>
            <w:vAlign w:val="center"/>
            <w:textDirection w:val="lrTb"/>
            <w:noWrap w:val="false"/>
          </w:tcPr>
          <w:p>
            <w:pPr>
              <w:pBdr/>
              <w:spacing w:after="40" w:before="40" w:line="288" w:lineRule="auto"/>
              <w:ind/>
              <w:jc w:val="center"/>
              <w:rPr/>
            </w:pPr>
            <w:r>
              <w:rPr>
                <w:color w:val="000000" w:themeColor="text1"/>
              </w:rPr>
              <w:t xml:space="preserve">70.000</w:t>
            </w:r>
            <w:r/>
          </w:p>
        </w:tc>
        <w:tc>
          <w:tcPr>
            <w:shd w:val="clear" w:color="000000" w:fill="ffffff"/>
            <w:tcBorders/>
            <w:tcW w:w="1890" w:type="dxa"/>
            <w:vAlign w:val="center"/>
            <w:textDirection w:val="lrTb"/>
            <w:noWrap w:val="false"/>
          </w:tcPr>
          <w:p>
            <w:pPr>
              <w:pBdr/>
              <w:spacing w:after="40" w:before="40" w:line="288" w:lineRule="auto"/>
              <w:ind/>
              <w:jc w:val="right"/>
              <w:rPr/>
            </w:pPr>
            <w:r>
              <w:rPr>
                <w:color w:val="000000" w:themeColor="text1"/>
              </w:rPr>
              <w:t xml:space="preserve">21.420.000</w:t>
            </w:r>
            <w:r/>
          </w:p>
        </w:tc>
      </w:tr>
      <w:tr>
        <w:trPr>
          <w:trHeight w:val="20"/>
        </w:trPr>
        <w:tc>
          <w:tcPr>
            <w:gridSpan w:val="4"/>
            <w:tcBorders/>
            <w:tcW w:w="793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90" w:type="dxa"/>
            <w:vAlign w:val="center"/>
            <w:textDirection w:val="lrTb"/>
            <w:noWrap/>
          </w:tcPr>
          <w:p>
            <w:pPr>
              <w:pBdr/>
              <w:spacing w:after="40" w:before="40" w:line="288" w:lineRule="auto"/>
              <w:ind/>
              <w:jc w:val="right"/>
              <w:rPr>
                <w:b/>
                <w:bCs/>
                <w:color w:val="000000"/>
              </w:rPr>
            </w:pPr>
            <w:r>
              <w:t xml:space="preserve">10.286.220.000</w:t>
            </w:r>
            <w:r>
              <w:rPr>
                <w:b/>
                <w:bCs/>
                <w:color w:val="000000"/>
              </w:rPr>
            </w:r>
            <w:r>
              <w:rPr>
                <w:b/>
                <w:bCs/>
                <w:color w:val="000000"/>
              </w:rPr>
            </w:r>
          </w:p>
        </w:tc>
      </w:tr>
      <w:tr>
        <w:trPr>
          <w:trHeight w:val="20"/>
        </w:trPr>
        <w:tc>
          <w:tcPr>
            <w:gridSpan w:val="4"/>
            <w:tcBorders/>
            <w:tcW w:w="793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90" w:type="dxa"/>
            <w:vAlign w:val="center"/>
            <w:textDirection w:val="lrTb"/>
            <w:noWrap/>
          </w:tcPr>
          <w:p>
            <w:pPr>
              <w:pBdr/>
              <w:spacing w:after="40" w:before="40" w:line="288" w:lineRule="auto"/>
              <w:ind/>
              <w:jc w:val="right"/>
              <w:rPr>
                <w:b/>
                <w:bCs/>
                <w:color w:val="000000"/>
              </w:rPr>
            </w:pPr>
            <w:r>
              <w:rPr>
                <w:b/>
                <w:bCs/>
                <w:color w:val="000000"/>
              </w:rPr>
              <w:t xml:space="preserve">10.286.200.000</w:t>
            </w:r>
            <w:r>
              <w:rPr>
                <w:b/>
                <w:bCs/>
                <w:color w:val="000000"/>
              </w:rPr>
            </w:r>
            <w:r>
              <w:rPr>
                <w:b/>
                <w:bCs/>
                <w:color w:val="000000"/>
              </w:rPr>
            </w:r>
          </w:p>
        </w:tc>
      </w:tr>
      <w:tr>
        <w:trPr>
          <w:trHeight w:val="20"/>
        </w:trPr>
        <w:tc>
          <w:tcPr>
            <w:gridSpan w:val="5"/>
            <w:tcBorders/>
            <w:tcW w:w="982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tỷ, hai trăm tám mươi sáu triệu hai trăm nghìn</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275/2026/0258/VFI-CT.24.A</w:t>
      </w:r>
      <w:r>
        <w:rPr>
          <w:color w:val="ff0000"/>
          <w:lang w:val="vi-VN"/>
        </w:rPr>
        <w:t xml:space="preserve"> </w:t>
      </w:r>
      <w:r>
        <w:rPr>
          <w:color w:val="000000" w:themeColor="text1"/>
        </w:rPr>
        <w:t xml:space="preserve">ngày 03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275/2026/0258/VFI-BC.24.A</w:t>
      </w:r>
      <w:r>
        <w:rPr>
          <w:i/>
          <w:lang w:val="pt-BR"/>
        </w:rPr>
        <w:t xml:space="preserve"> </w:t>
      </w:r>
      <w:r>
        <w:rPr>
          <w:i/>
          <w:lang w:val="pt-BR"/>
        </w:rPr>
        <w:t xml:space="preserve">ngày 03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1305" cy="39933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650209" name=""/>
                              <pic:cNvPicPr>
                                <a:picLocks noChangeAspect="1"/>
                              </pic:cNvPicPr>
                              <pic:nvPr/>
                            </pic:nvPicPr>
                            <pic:blipFill rotWithShape="1">
                              <a:blip r:embed="rId18"/>
                              <a:stretch/>
                            </pic:blipFill>
                            <pic:spPr bwMode="auto">
                              <a:xfrm flipH="0" flipV="0">
                                <a:off x="0" y="0"/>
                                <a:ext cx="2651304" cy="39933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8.76pt;height:314.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8047" cy="219498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95485" name=""/>
                              <pic:cNvPicPr>
                                <a:picLocks noChangeAspect="1"/>
                              </pic:cNvPicPr>
                              <pic:nvPr/>
                            </pic:nvPicPr>
                            <pic:blipFill rotWithShape="1">
                              <a:blip r:embed="rId19"/>
                              <a:stretch/>
                            </pic:blipFill>
                            <pic:spPr bwMode="auto">
                              <a:xfrm flipH="0" flipV="0">
                                <a:off x="0" y="0"/>
                                <a:ext cx="2888046" cy="2194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7.41pt;height:172.8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966740" cy="305534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4026" name=""/>
                              <pic:cNvPicPr>
                                <a:picLocks noChangeAspect="1"/>
                              </pic:cNvPicPr>
                              <pic:nvPr/>
                            </pic:nvPicPr>
                            <pic:blipFill rotWithShape="1">
                              <a:blip r:embed="rId20"/>
                              <a:stretch/>
                            </pic:blipFill>
                            <pic:spPr bwMode="auto">
                              <a:xfrm flipH="0" flipV="0">
                                <a:off x="0" y="0"/>
                                <a:ext cx="2966739" cy="30553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3.60pt;height:240.5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8047" cy="289809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90775" name=""/>
                              <pic:cNvPicPr>
                                <a:picLocks noChangeAspect="1"/>
                              </pic:cNvPicPr>
                              <pic:nvPr/>
                            </pic:nvPicPr>
                            <pic:blipFill rotWithShape="1">
                              <a:blip r:embed="rId19"/>
                              <a:stretch/>
                            </pic:blipFill>
                            <pic:spPr bwMode="auto">
                              <a:xfrm rot="0" flipH="0" flipV="0">
                                <a:off x="0" y="0"/>
                                <a:ext cx="2888046" cy="2898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41pt;height:228.20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bl>
    <w:p>
      <w:pPr>
        <w:pBdr/>
        <w:spacing/>
        <w:ind/>
        <w:rPr/>
      </w:pPr>
      <w:r>
        <w:br w:type="page" w:clear="all"/>
      </w:r>
      <w:r/>
    </w:p>
    <w:tbl>
      <w:tblPr>
        <w:tblStyle w:val="103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997842" cy="224604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9739" name=""/>
                              <pic:cNvPicPr>
                                <a:picLocks noChangeAspect="1"/>
                              </pic:cNvPicPr>
                              <pic:nvPr/>
                            </pic:nvPicPr>
                            <pic:blipFill rotWithShape="1">
                              <a:blip r:embed="rId21"/>
                              <a:stretch/>
                            </pic:blipFill>
                            <pic:spPr bwMode="auto">
                              <a:xfrm flipH="0" flipV="0">
                                <a:off x="0" y="0"/>
                                <a:ext cx="2997842" cy="2246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05pt;height:176.8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869767" cy="215232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67284" name=""/>
                              <pic:cNvPicPr>
                                <a:picLocks noChangeAspect="1"/>
                              </pic:cNvPicPr>
                              <pic:nvPr/>
                            </pic:nvPicPr>
                            <pic:blipFill rotWithShape="1">
                              <a:blip r:embed="rId22"/>
                              <a:stretch/>
                            </pic:blipFill>
                            <pic:spPr bwMode="auto">
                              <a:xfrm flipH="0" flipV="0">
                                <a:off x="0" y="0"/>
                                <a:ext cx="2869767" cy="21523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97pt;height:169.47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275/2026/0258/VFI-BC.24.A</w:t>
      </w:r>
      <w:r>
        <w:rPr>
          <w:i/>
          <w:lang w:val="pt-BR"/>
        </w:rPr>
        <w:t xml:space="preserve"> </w:t>
      </w:r>
      <w:r>
        <w:rPr>
          <w:i/>
          <w:lang w:val="pt-BR"/>
        </w:rPr>
        <w:t xml:space="preserve">ngày 03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https://www.facebook.com/groups/298926580611817/posts/2261782640992858/</w:t>
            </w:r>
            <w:r>
              <w:rPr>
                <w:color w:val="000000" w:themeColor="text1"/>
                <w:sz w:val="22"/>
                <w:szCs w:val="22"/>
              </w:rPr>
              <w:br/>
              <w:t xml:space="preserve">0828.614.866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Đông Xá, Huyện Vân Đồn, Tỉnh Quảng Ninh, khoảng cách ra đường chính Cách đường 334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88049"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5880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61.2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1005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1100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6.1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https://www.facebook.com/baotung.nguyen.92/posts/pfbid02S3KszkD2KTya91WWuB98nvMepdHi4U6EGiCqLUa1yQwfpfNb4QuMVt1hpkBfh9pwl</w:t>
            </w:r>
            <w:r>
              <w:rPr>
                <w:color w:val="000000" w:themeColor="text1"/>
                <w:sz w:val="22"/>
                <w:szCs w:val="22"/>
              </w:rPr>
              <w:br/>
              <w:t xml:space="preserve">0971187365</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(124.3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Đông Xá, Huyện Vân Đồn, Tỉnh Quảng Ninh, khoảng cách ra đường chính Cách đường 334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80958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179751333" name="" descr=""/>
                              <pic:cNvPicPr/>
                              <pic:nvPr/>
                            </pic:nvPicPr>
                            <pic:blipFill rotWithShape="1">
                              <a:blip r:embed="rId25"/>
                              <a:stretch/>
                            </pic:blipFill>
                            <pic:spPr bwMode="auto">
                              <a:xfrm>
                                <a:off x="0" y="0"/>
                                <a:ext cx="48095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78.7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https://www.facebook.com/baotung.nguyen.92/posts/pfbid02S3KszkD2KTya91WWuB98nvMepdHi4U6EGiCqLUa1yQwfpfNb4QuMVt1hpkBfh9pwl</w:t>
            </w:r>
            <w:r>
              <w:rPr>
                <w:color w:val="000000" w:themeColor="text1"/>
                <w:sz w:val="22"/>
                <w:szCs w:val="22"/>
              </w:rPr>
              <w:br/>
            </w:r>
            <w:r>
              <w:rPr>
                <w:sz w:val="22"/>
                <w:szCs w:val="22"/>
              </w:rPr>
              <w:t xml:space="preserve">SĐT: </w:t>
            </w:r>
            <w:r>
              <w:rPr>
                <w:color w:val="000000" w:themeColor="text1"/>
                <w:sz w:val="22"/>
                <w:szCs w:val="22"/>
              </w:rPr>
              <w:t xml:space="preserve">0971187365</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(126.7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Đông Xá, Huyện Vân Đồn, Tỉnh Quảng Ninh, khoảng cách ra đường chính Cách đường 343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1231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4123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7.4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 </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1">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274</cp:revision>
  <dcterms:created xsi:type="dcterms:W3CDTF">2025-09-15T09:58:00Z</dcterms:created>
  <dcterms:modified xsi:type="dcterms:W3CDTF">2026-02-04T04:08:58Z</dcterms:modified>
</cp:coreProperties>
</file>