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206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206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275/2026/0241/VFI-CT.48.A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LÊ TRUNG KIÊN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375, tờ bản đồ số: 11 có địa chỉ: Thôn Tân Dân 1, xã Phương Trung, huyện Thanh Oai, thành phố Hà Nội (nay là x</w:t>
                            </w:r>
                            <w:r>
                              <w:rPr>
                                <w:color w:val="000000"/>
                              </w:rPr>
                              <w:t xml:space="preserve">ã Thanh Oai, thành phố Hà Nội) theo Giấy chứng nhận Quyền sử dụng đất quyền sở hữu nhà ở và tài sản khác gắn liền với đất số: CH 141085, số vào sổ cấp GCN: CS-TO02142 do Sở Tài nguyên và Môi trường thành phố Hà Nội cấp ngày 04/05/2017 cho Ông Lê Trung Kiên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9.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275/2026/0241/VFI-CT.48.A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LÊ TRUNG KIÊN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375, tờ bản đồ số: 11 có địa chỉ: Thôn Tân Dân 1, xã Phương Trung, huyện Thanh Oai, thành phố Hà Nội (nay là x</w:t>
                      </w:r>
                      <w:r>
                        <w:rPr>
                          <w:color w:val="000000"/>
                        </w:rPr>
                        <w:t xml:space="preserve">ã Thanh Oai, thành phố Hà Nội) theo Giấy chứng nhận Quyền sử dụng đất quyền sở hữu nhà ở và tài sản khác gắn liền với đất số: CH 141085, số vào sổ cấp GCN: CS-TO02142 do Sở Tài nguyên và Môi trường thành phố Hà Nội cấp ngày 04/05/2017 cho Ông Lê Trung Kiên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1729"/>
        <w:gridCol w:w="3160"/>
        <w:gridCol w:w="4890"/>
        <w:gridCol w:w="29"/>
      </w:tblGrid>
      <w:tr>
        <w:trPr>
          <w:trHeight w:val="115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7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890"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275/2026/0241/VFI-CT.48.A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90"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 tháng 2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LÊ TRUNG KIÊN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275/2026/0241/VFI-HĐTĐ.48.A</w:t>
      </w:r>
      <w:r>
        <w:rPr>
          <w:spacing w:val="-4"/>
          <w:lang w:val="vi-VN"/>
        </w:rPr>
        <w:t xml:space="preserve"> ký ngày </w:t>
      </w:r>
      <w:r>
        <w:rPr>
          <w:color w:val="000000" w:themeColor="text1"/>
          <w:spacing w:val="-4"/>
        </w:rPr>
        <w:t xml:space="preserve">22 tháng 1 năm 2026</w:t>
      </w:r>
      <w:r>
        <w:rPr>
          <w:spacing w:val="-4"/>
          <w:lang w:val="vi-VN"/>
        </w:rPr>
        <w:t xml:space="preserve"> </w:t>
      </w:r>
      <w:r>
        <w:rPr>
          <w:spacing w:val="-4"/>
          <w:lang w:val="vi-VN"/>
        </w:rPr>
        <w:t xml:space="preserve">giữa Ông Lê Trung Kiên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275/2026/0241/VFI-BC.48.A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LÊ TRUNG KIÊN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1985</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375, tờ bản đồ số: 11 có địa chỉ: Thôn Tân Dân 1, xã Phương Trung, huyện Thanh Oai, thành phố Hà Nội (nay là x</w:t>
      </w:r>
      <w:r>
        <w:rPr>
          <w:color w:val="000000" w:themeColor="text1"/>
        </w:rPr>
        <w:t xml:space="preserve">ã Thanh Oai, thành phố Hà Nội) theo Giấy chứng nhận Quyền sử dụng đất quyền sở hữu nhà ở và tài sản khác gắn liền với đất số: CH 141085, số vào sổ cấp GCN: CS-TO02142 do Sở Tài nguyên và Môi trường thành phố Hà Nội cấp ngày 04/05/2017 cho Ông Lê Trung Kiên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477"/>
        <w:gridCol w:w="1701"/>
        <w:gridCol w:w="223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477"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23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375, tờ bản đồ số: 11 có địa chỉ: Thôn Tân Dân 1, xã Phương Trung, huyện Thanh Oai, thành phố Hà Nội (nay là x</w:t>
            </w:r>
            <w:r>
              <w:rPr>
                <w:color w:val="000000"/>
              </w:rPr>
              <w:t xml:space="preserve">ã Thanh Oai, thành phố Hà Nội) theo Giấy chứng nhận Quyền sử dụng đất quyền sở hữu nhà ở và tài sản khác gắn liền với đất số: CH 141085, số vào sổ cấp GCN: CS-TO02142 do Sở Tài nguyên và Môi trường thành phố Hà Nội cấp ngày 04/05/2017 cho Ông Lê Trung Kiên</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477" w:type="dxa"/>
            <w:vAlign w:val="center"/>
            <w:textDirection w:val="lrTb"/>
            <w:noWrap w:val="false"/>
          </w:tcPr>
          <w:p>
            <w:pPr>
              <w:pBdr/>
              <w:spacing w:after="40" w:before="40" w:line="288" w:lineRule="auto"/>
              <w:ind/>
              <w:rPr/>
            </w:pPr>
            <w:r>
              <w:rPr>
                <w:b/>
                <w:bCs/>
              </w:rPr>
              <w:t xml:space="preserve">Đất ở tại nông thôn</w:t>
            </w: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248,0</w:t>
            </w:r>
            <w:r>
              <w:rPr>
                <w:color w:val="000000"/>
              </w:rPr>
            </w:r>
            <w:r>
              <w:rPr>
                <w:color w:val="000000"/>
              </w:rPr>
            </w:r>
          </w:p>
        </w:tc>
        <w:tc>
          <w:tcPr>
            <w:shd w:val="clear" w:color="000000" w:fill="ffffff"/>
            <w:tcBorders/>
            <w:tcW w:w="2231" w:type="dxa"/>
            <w:vAlign w:val="center"/>
            <w:textDirection w:val="lrTb"/>
            <w:noWrap w:val="false"/>
          </w:tcPr>
          <w:p>
            <w:pPr>
              <w:pBdr/>
              <w:spacing w:after="40" w:before="40" w:line="288" w:lineRule="auto"/>
              <w:ind/>
              <w:jc w:val="center"/>
              <w:rPr/>
            </w:pPr>
            <w:r>
              <w:rPr>
                <w:color w:val="000000" w:themeColor="text1"/>
              </w:rPr>
              <w:t xml:space="preserve">27.500.000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6.820.000.000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t xml:space="preserve">6.820.000.000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tỷ tám trăm hai mươi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588"/>
        <w:gridCol w:w="3444"/>
        <w:gridCol w:w="5031"/>
        <w:gridCol w:w="29"/>
      </w:tblGrid>
      <w:tr>
        <w:trPr>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5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5031"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275/2026/0241/VFI-CT.48.A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 tháng 2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275/2026/0241/VFI-CT.48.A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 tháng 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ÔNG LÊ TRUNG KIÊN</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375, tờ bản đồ số: 11 có địa chỉ: Thôn Tân Dân 1, xã Phương Trung, huyện Thanh Oai, thành phố Hà Nội (nay là x</w:t>
            </w:r>
            <w:r>
              <w:rPr>
                <w:bCs/>
                <w:color w:val="000000" w:themeColor="text1"/>
                <w:lang w:val="pt-BR"/>
              </w:rPr>
              <w:t xml:space="preserve">ã Thanh Oai, thành phố Hà Nội) theo Giấy chứng nhận Quyền sử dụng đất quyền sở hữu nhà ở và tài sản khác gắn liền với đất số: CH 141085, số vào sổ cấp GCN: CS-TO02142 do Sở Tài nguyên và Môi trường thành phố Hà Nội cấp ngày 04/05/2017 cho Ông Lê Trung Kiên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bCs/>
                <w:color w:val="000000" w:themeColor="text1"/>
                <w:lang w:val="pt-BR"/>
              </w:rPr>
              <w:t xml:space="preserve">Xã Thanh Oai,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20.821555555556, 105.76880555556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CH 141085, số vào sổ cấp GCN: CS-TO02142 do Sở Tài nguyên và Môi trường thành phố Hà Nội cấp ngày 04/05/2017 cho Ông Lê Trung Kiên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275/2026/0241/VFI-HĐTĐ.48.A ngày 22/01/2026 giữa Ông Lê Trung Kiên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4" w:left="0"/>
        <w:jc w:val="both"/>
        <w:rPr/>
      </w:pPr>
      <w:r>
        <w:rPr>
          <w:lang w:val="pt-BR"/>
        </w:rPr>
        <w:tab/>
      </w:r>
      <w:r>
        <w:rPr>
          <w:rFonts w:ascii="Times New Roman" w:hAnsi="Times New Roman" w:eastAsia="Times New Roman" w:cs="Times New Roman"/>
          <w:color w:val="000000"/>
          <w:sz w:val="24"/>
        </w:rPr>
        <w:tab/>
      </w:r>
      <w:r>
        <w:rPr>
          <w:rFonts w:ascii="Times New Roman" w:hAnsi="Times New Roman" w:eastAsia="Times New Roman" w:cs="Times New Roman"/>
          <w:b/>
          <w:color w:val="000000"/>
          <w:sz w:val="24"/>
        </w:rPr>
        <w:t xml:space="preserve">Tổng quan về huyện Thanh Oai cũ</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4" w:left="0"/>
        <w:jc w:val="both"/>
        <w:rPr/>
      </w:pPr>
      <w:r>
        <w:rPr>
          <w:rFonts w:ascii="Times New Roman" w:hAnsi="Times New Roman" w:eastAsia="Times New Roman" w:cs="Times New Roman"/>
          <w:color w:val="000000"/>
          <w:sz w:val="24"/>
        </w:rPr>
        <w:t xml:space="preserve">Huyện Thanh Oai, nằm ở phía nam ngoại thành Hà Nội, đóng một vai trò quan trọng trong sự phát triển kinh tế và xã hội của khu vực đô thị. Cách trung tâm thành phố khoảng 15km, vị trí địa lý của huyện này rất thuận lợi cho hoạt động giao thương và kết nối v</w:t>
      </w:r>
      <w:r>
        <w:rPr>
          <w:rFonts w:ascii="Times New Roman" w:hAnsi="Times New Roman" w:eastAsia="Times New Roman" w:cs="Times New Roman"/>
          <w:color w:val="000000"/>
          <w:sz w:val="24"/>
        </w:rPr>
        <w:t xml:space="preserve">ới các khu vực lân cận.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4" w:left="0"/>
        <w:jc w:val="both"/>
        <w:rPr/>
      </w:pPr>
      <w:r>
        <w:rPr>
          <w:rFonts w:ascii="Times New Roman" w:hAnsi="Times New Roman" w:eastAsia="Times New Roman" w:cs="Times New Roman"/>
          <w:color w:val="000000"/>
          <w:sz w:val="24"/>
        </w:rPr>
        <w:t xml:space="preserve">Thanh Oai giáp với nhiều huyện khác, tạo ra những cơ hội hợp tác phát triển đa dạng. Phía đông, huyện tiếp giáp với Thanh Trì và Thường Tín, mở ra hướng đi hợp tác và phát triển chung. Phía tây, huyện Chương Mỹ góp phần tạo nên sự liên kết vùng, thúc đẩy t</w:t>
      </w:r>
      <w:r>
        <w:rPr>
          <w:rFonts w:ascii="Times New Roman" w:hAnsi="Times New Roman" w:eastAsia="Times New Roman" w:cs="Times New Roman"/>
          <w:color w:val="000000"/>
          <w:sz w:val="24"/>
        </w:rPr>
        <w:t xml:space="preserve">iềm năng kinh tế phong phú. Ở phía nam, sự tiếp giáp với Ứng Hòa và Phú Xuyên không chỉ tạo cơ hội hợp tác mà còn giúp quản lý tài nguyên hiệu quả. Phía bắc, gần gũi với quận Hà Đông, huyện Thanh Oai thậm chí còn tạo ra mối liên kết mạnh mẽ hơn với trung t</w:t>
      </w:r>
      <w:r>
        <w:rPr>
          <w:rFonts w:ascii="Times New Roman" w:hAnsi="Times New Roman" w:eastAsia="Times New Roman" w:cs="Times New Roman"/>
          <w:color w:val="000000"/>
          <w:sz w:val="24"/>
        </w:rPr>
        <w:t xml:space="preserve">âm thủ đô.</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4" w:left="0"/>
        <w:jc w:val="both"/>
        <w:rPr/>
      </w:pPr>
      <w:r>
        <w:rPr>
          <w:rFonts w:ascii="Times New Roman" w:hAnsi="Times New Roman" w:eastAsia="Times New Roman" w:cs="Times New Roman"/>
          <w:color w:val="000000"/>
          <w:sz w:val="24"/>
        </w:rPr>
        <w:t xml:space="preserve">Với diện tích tự nhiên lên tới 142.31 km2, huyện Thanh Oai có không gian rộng lớn cho sự phát triển kinh tế, xã hội và hạ tầng. Sự kết hợp giữa vị trí địa lý thuận lợi và diện tích phong phú tạo điều kiện lý tưởng cho việc phát triển các ngành công nghiệp,</w:t>
      </w:r>
      <w:r>
        <w:rPr>
          <w:rFonts w:ascii="Times New Roman" w:hAnsi="Times New Roman" w:eastAsia="Times New Roman" w:cs="Times New Roman"/>
          <w:color w:val="000000"/>
          <w:sz w:val="24"/>
        </w:rPr>
        <w:t xml:space="preserve"> nông nghiệp và dịch vụ. Những yếu tố này không chỉ thu hút đầu tư mà còn nâng cao chất lượng sống của cư dân trong khu vực.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4" w:left="0"/>
        <w:jc w:val="both"/>
        <w:rPr/>
      </w:pPr>
      <w:r>
        <w:rPr>
          <w:rFonts w:ascii="Times New Roman" w:hAnsi="Times New Roman" w:eastAsia="Times New Roman" w:cs="Times New Roman"/>
          <w:b/>
          <w:color w:val="000000"/>
          <w:sz w:val="24"/>
        </w:rPr>
        <w:t xml:space="preserve">Thực trạng bất động sản huyện Thanh Oai hiện nay</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4" w:left="0"/>
        <w:jc w:val="both"/>
        <w:rPr/>
      </w:pPr>
      <w:r>
        <w:rPr>
          <w:rFonts w:ascii="Times New Roman" w:hAnsi="Times New Roman" w:eastAsia="Times New Roman" w:cs="Times New Roman"/>
          <w:color w:val="000000"/>
          <w:sz w:val="24"/>
        </w:rPr>
        <w:t xml:space="preserve">Trong những năm gần đây, huyện Thanh Oai không chỉ nổi bật với các làng nghề truyền thống sản xuất nông nghiệp mà còn ghi nhận sự xuất hiện của nhiều khu công nghiệp mới. Sự phát triển này đã thu hút một lượng lớn lao động từ các địa phương khác đến sinh s</w:t>
      </w:r>
      <w:r>
        <w:rPr>
          <w:rFonts w:ascii="Times New Roman" w:hAnsi="Times New Roman" w:eastAsia="Times New Roman" w:cs="Times New Roman"/>
          <w:color w:val="000000"/>
          <w:sz w:val="24"/>
        </w:rPr>
        <w:t xml:space="preserve">ống và làm việc, góp phần làm cho thị trường bất động sản tại đây ngày càng nhộn nhịp.</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4" w:left="0"/>
        <w:jc w:val="both"/>
        <w:rPr/>
      </w:pPr>
      <w:r>
        <w:rPr>
          <w:rFonts w:ascii="Times New Roman" w:hAnsi="Times New Roman" w:eastAsia="Times New Roman" w:cs="Times New Roman"/>
          <w:color w:val="000000"/>
          <w:sz w:val="24"/>
        </w:rPr>
        <w:t xml:space="preserve">Để khai thác tiềm năng phát triển bất động sản trong khu vực, nhiều nhà đầu tư đã chọn Thanh Oai làm địa điểm cho các dự án khu đô thị mới, nổi bật trong số đó là:</w:t>
      </w:r>
      <w:r/>
    </w:p>
    <w:p>
      <w:pPr>
        <w:numPr>
          <w:ilvl w:val="0"/>
          <w:numId w:val="39"/>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120" w:before="120" w:line="380" w:lineRule="atLeast"/>
        <w:ind/>
        <w:jc w:val="both"/>
        <w:rPr/>
      </w:pPr>
      <w:r>
        <w:rPr>
          <w:rFonts w:ascii="Times New Roman" w:hAnsi="Times New Roman" w:eastAsia="Times New Roman" w:cs="Times New Roman"/>
          <w:color w:val="000000"/>
          <w:sz w:val="24"/>
        </w:rPr>
        <w:t xml:space="preserve">Khu đô thị sinh thái Việt Hà</w:t>
      </w:r>
      <w:r/>
    </w:p>
    <w:p>
      <w:pPr>
        <w:numPr>
          <w:ilvl w:val="0"/>
          <w:numId w:val="39"/>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120" w:before="120" w:line="380" w:lineRule="atLeast"/>
        <w:ind/>
        <w:jc w:val="both"/>
        <w:rPr/>
      </w:pPr>
      <w:r>
        <w:rPr>
          <w:rFonts w:ascii="Times New Roman" w:hAnsi="Times New Roman" w:eastAsia="Times New Roman" w:cs="Times New Roman"/>
          <w:color w:val="000000"/>
          <w:sz w:val="24"/>
        </w:rPr>
        <w:t xml:space="preserve">Khu đô thị Mỹ Hưng Cienco 5 Thanh Oai</w:t>
      </w:r>
      <w:r/>
    </w:p>
    <w:p>
      <w:pPr>
        <w:numPr>
          <w:ilvl w:val="0"/>
          <w:numId w:val="39"/>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120" w:before="120" w:line="380" w:lineRule="atLeast"/>
        <w:ind/>
        <w:jc w:val="both"/>
        <w:rPr/>
      </w:pPr>
      <w:r>
        <w:rPr>
          <w:rFonts w:ascii="Times New Roman" w:hAnsi="Times New Roman" w:eastAsia="Times New Roman" w:cs="Times New Roman"/>
          <w:color w:val="000000"/>
          <w:sz w:val="24"/>
        </w:rPr>
        <w:t xml:space="preserve">Khu đô thị Thanh Hà</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4" w:left="0"/>
        <w:jc w:val="both"/>
        <w:rPr/>
      </w:pPr>
      <w:r>
        <w:rPr>
          <w:rFonts w:ascii="Times New Roman" w:hAnsi="Times New Roman" w:eastAsia="Times New Roman" w:cs="Times New Roman"/>
          <w:color w:val="000000"/>
          <w:sz w:val="24"/>
        </w:rPr>
        <w:t xml:space="preserve">Nhiều chuyên gia dự đoán rằng thị trường bất động sản huyện Thanh Oai sẽ sớm trở nên cạnh tranh hơn bao giờ hết. Do đó, các nhà đầu tư cần nhanh chóng tìm hiểu thị trường và nắm bắt thông tin quy hoạch để xây dựng chiến lược đầu tư hiệu quả.</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4" w:left="0"/>
        <w:jc w:val="both"/>
        <w:rPr/>
      </w:pPr>
      <w:r>
        <w:rPr>
          <w:rFonts w:ascii="Times New Roman" w:hAnsi="Times New Roman" w:eastAsia="Times New Roman" w:cs="Times New Roman"/>
          <w:b/>
          <w:color w:val="000000"/>
          <w:sz w:val="24"/>
        </w:rPr>
        <w:t xml:space="preserve">Tình hình mua bán bất động sản tại huyện Thanh Oai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4" w:left="0"/>
        <w:jc w:val="both"/>
        <w:rPr/>
      </w:pPr>
      <w:r>
        <w:rPr>
          <w:rFonts w:ascii="Times New Roman" w:hAnsi="Times New Roman" w:eastAsia="Times New Roman" w:cs="Times New Roman"/>
          <w:color w:val="000000"/>
          <w:sz w:val="24"/>
        </w:rPr>
        <w:t xml:space="preserve">Nhu cầu mua bán chung cư tại huyện Thanh Oai đang nổi lên như một xu hướng đáng chú ý trong thị trường bất động sản khu vực. Sự gia tăng dân số cùng với nhu cầu về chỗ ở đã thúc đẩy nhu cầu mua sắm căn hộ trong huyện. Với sự phát triển liên tục của các tiệ</w:t>
      </w:r>
      <w:r>
        <w:rPr>
          <w:rFonts w:ascii="Times New Roman" w:hAnsi="Times New Roman" w:eastAsia="Times New Roman" w:cs="Times New Roman"/>
          <w:color w:val="000000"/>
          <w:sz w:val="24"/>
        </w:rPr>
        <w:t xml:space="preserve">n ích như trường học, bệnh viện, khu thương mại, và hệ thống hạ tầng, Thanh Oai ngày càng trở thành một điểm đến lý tưởng cho các gia đình và cá nhân.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4" w:left="0"/>
        <w:jc w:val="both"/>
        <w:rPr/>
      </w:pPr>
      <w:r>
        <w:rPr>
          <w:rFonts w:ascii="Times New Roman" w:hAnsi="Times New Roman" w:eastAsia="Times New Roman" w:cs="Times New Roman"/>
          <w:color w:val="000000"/>
          <w:sz w:val="24"/>
        </w:rPr>
        <w:t xml:space="preserve">Đặc biệt, hàng loạt dự án chung cư hiện đại, tiện nghi đã được triển khai, đáp ứng đa dạng nhu cầu của người mua. Với các loại căn hộ từ 1 đến 3 phòng ngủ và diện tích dao động từ 45 đến 90m2, người mua dễ dàng tìm thấy lựa chọn phù hợp với nhu cầu và điều</w:t>
      </w:r>
      <w:r>
        <w:rPr>
          <w:rFonts w:ascii="Times New Roman" w:hAnsi="Times New Roman" w:eastAsia="Times New Roman" w:cs="Times New Roman"/>
          <w:color w:val="000000"/>
          <w:sz w:val="24"/>
        </w:rPr>
        <w:t xml:space="preserve"> kiện của gia đình mình.</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284" w:left="0"/>
        <w:jc w:val="both"/>
        <w:rPr/>
      </w:pPr>
      <w:r>
        <w:rPr>
          <w:rFonts w:ascii="Times New Roman" w:hAnsi="Times New Roman" w:eastAsia="Times New Roman" w:cs="Times New Roman"/>
          <w:color w:val="000000"/>
          <w:sz w:val="24"/>
        </w:rPr>
        <w:t xml:space="preserve">Sự phát triển bền vững của huyện, đi kèm với các khoản đầu tư vào hạ tầng và tiện ích, là những yếu tố then chốt thúc đẩy nhu cầu mua bán chung cư tại đây. Những tiềm năng về phát triển kinh tế, hạ tầng, và môi trường sống tạo ra cơ hội hấp dẫn cho những n</w:t>
      </w:r>
      <w:r>
        <w:rPr>
          <w:rFonts w:ascii="Times New Roman" w:hAnsi="Times New Roman" w:eastAsia="Times New Roman" w:cs="Times New Roman"/>
          <w:color w:val="000000"/>
          <w:sz w:val="24"/>
        </w:rPr>
        <w:t xml:space="preserve">hà đầu tư đang tìm kiếm cơ hội trong thị trường bất động sản chung cư tại huyện Thanh Oai.</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https://beta.onehousing.vn/blog/bat-dong-san-huyen-thanh-oai-tiem-nang-va-vi-tri-dep-n17t?utm_source=social_share&amp;utm_medium=copyurl&amp;utm_campaign=85100cc0-1ac9-4904-8e80-eb3a5f88b24a)</w:t>
      </w:r>
      <w:r>
        <w:rPr>
          <w:bCs/>
          <w:i/>
          <w:lang w:val="pt-BR"/>
        </w:rPr>
      </w:r>
      <w:r>
        <w:rPr>
          <w:bCs/>
          <w:i/>
          <w:lang w:val="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375, tờ bản đồ số: 11 có địa chỉ: Thôn Tân Dân 1, xã Phương Trung, huyện Thanh Oai, thành phố Hà Nội (nay là x</w:t>
            </w:r>
            <w:r>
              <w:rPr>
                <w:b/>
                <w:bCs/>
                <w:color w:val="000000"/>
              </w:rPr>
              <w:t xml:space="preserve">ã Thanh Oai, thành phố Hà Nội) theo Giấy chứng nhận Quyền sử dụng đất quyền sở hữu nhà ở và tài sản khác gắn liền với đất số: CH 141085, số vào sổ cấp GCN: CS-TO02142 do Sở Tài nguyên và Môi trường thành phố Hà Nội cấp ngày 04/05/2017 cho Ông Lê Trung Kiên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375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t xml:space="preserve">Thôn Tân Dân 1, xã Phương Trung, huyện Thanh Oai, thành phố Hà Nội </w:t>
            </w:r>
            <w:r>
              <w:rPr>
                <w:b w:val="0"/>
                <w:bCs w:val="0"/>
                <w:color w:val="000000"/>
              </w:rPr>
              <w:t xml:space="preserve">(nay là x</w:t>
            </w:r>
            <w:r>
              <w:rPr>
                <w:b w:val="0"/>
                <w:bCs w:val="0"/>
                <w:color w:val="000000"/>
              </w:rPr>
              <w:t xml:space="preserve">ã Thanh Oai,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248,0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Được tặng cho đất được công nhận QSDĐ như giao đất có thu tiền sử dụng đất</w:t>
            </w:r>
            <w:r>
              <w:rPr>
                <w:color w:val="000000"/>
              </w:rPr>
            </w:r>
            <w:r>
              <w:rPr>
                <w:color w:val="000000"/>
              </w:rPr>
            </w:r>
          </w:p>
        </w:tc>
      </w:tr>
      <w:tr>
        <w:trPr>
          <w:trHeight w:val="318"/>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2 mặt ngõ</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t xml:space="preserve">Tài sản cách QL21B khoảng 1,0km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Tây Nam: Tiếp giáp đường giao thông.</w:t>
              <w:br/>
              <w:t xml:space="preserve">Hướng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20.821555555556</w:t>
            </w:r>
            <w:r>
              <w:rPr>
                <w:color w:val="000000"/>
              </w:rPr>
              <w:t xml:space="preserve">, </w:t>
            </w:r>
            <w:r>
              <w:rPr>
                <w:color w:val="000000"/>
              </w:rPr>
              <w:t xml:space="preserve">105.76880555556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48997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48997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3.54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248,0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15,55 - 17,0</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17,0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 Nhà mái bằng cũ </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b w:val="0"/>
                <w:bCs w:val="0"/>
                <w:color w:val="000000"/>
              </w:rPr>
            </w:pPr>
            <w:r>
              <w:rPr>
                <w:b w:val="0"/>
                <w:bCs w:val="0"/>
                <w:color w:val="000000"/>
              </w:rPr>
            </w:r>
            <w:r>
              <w:rPr>
                <w:rFonts w:ascii="Times New Roman" w:hAnsi="Times New Roman" w:eastAsia="Times New Roman" w:cs="Times New Roman"/>
                <w:b w:val="0"/>
                <w:bCs w:val="0"/>
                <w:color w:val="000000"/>
                <w:sz w:val="24"/>
              </w:rPr>
              <w:t xml:space="preserve">Tại thời điểm khảo sát, tổ thẩm định nhận thấy trên đất có 01 nhà mái bằng cũ, kết cấu BTCT, tường gạch chịu lực, ngoại quan còn khá. Công trình được xây dựng đã lâu, diện tích sàn khoảng 100,0m</w:t>
            </w:r>
            <w:r>
              <w:rPr>
                <w:rFonts w:ascii="Times New Roman" w:hAnsi="Times New Roman" w:eastAsia="Times New Roman" w:cs="Times New Roman"/>
                <w:b w:val="0"/>
                <w:bCs w:val="0"/>
                <w:color w:val="000000"/>
                <w:sz w:val="20"/>
                <w:vertAlign w:val="superscript"/>
              </w:rPr>
              <w:t xml:space="preserve">2</w:t>
            </w:r>
            <w:r>
              <w:rPr>
                <w:rFonts w:ascii="Times New Roman" w:hAnsi="Times New Roman" w:eastAsia="Times New Roman" w:cs="Times New Roman"/>
                <w:b w:val="0"/>
                <w:bCs w:val="0"/>
                <w:color w:val="000000"/>
                <w:sz w:val="24"/>
              </w:rPr>
              <w:t xml:space="preserve">.  Hiện công trình chưa được chứng nhận trên GCN số</w:t>
            </w:r>
            <w:r>
              <w:rPr>
                <w:rFonts w:ascii="Times New Roman" w:hAnsi="Times New Roman" w:eastAsia="Times New Roman" w:cs="Times New Roman"/>
                <w:b w:val="0"/>
                <w:bCs w:val="0"/>
                <w:color w:val="000000"/>
                <w:spacing w:val="3"/>
                <w:sz w:val="24"/>
                <w:highlight w:val="white"/>
              </w:rPr>
              <w:t xml:space="preserve"> </w:t>
            </w:r>
            <w:r>
              <w:rPr>
                <w:b w:val="0"/>
                <w:bCs w:val="0"/>
                <w:color w:val="000000"/>
              </w:rPr>
              <w:t xml:space="preserve">CH 141085</w:t>
            </w:r>
            <w:r>
              <w:rPr>
                <w:rFonts w:ascii="Times New Roman" w:hAnsi="Times New Roman" w:eastAsia="Times New Roman" w:cs="Times New Roman"/>
                <w:b w:val="0"/>
                <w:bCs w:val="0"/>
                <w:color w:val="000000"/>
                <w:sz w:val="24"/>
              </w:rPr>
              <w:t xml:space="preserve">.</w:t>
            </w:r>
            <w:r>
              <w:rPr>
                <w:b w:val="0"/>
                <w:bCs w:val="0"/>
                <w:color w:val="000000"/>
              </w:rPr>
            </w:r>
            <w:r>
              <w:rPr>
                <w:b w:val="0"/>
                <w:bCs w:val="0"/>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b w:val="0"/>
          <w:bCs w:val="0"/>
          <w:color w:val="000000"/>
          <w:sz w:val="24"/>
        </w:rPr>
        <w:t xml:space="preserve">Tại thời điểm khảo sát, tổ thẩm định nhận thấy trên đất có 01 nhà mái bằng cũ, kết cấu BTCT, tường gạch chịu lực, ngoại quan còn khá. Công trình được xây dựng đã lâu, diện tích sàn khoảng </w:t>
      </w:r>
      <w:r>
        <w:rPr>
          <w:rFonts w:ascii="Times New Roman" w:hAnsi="Times New Roman" w:eastAsia="Times New Roman" w:cs="Times New Roman"/>
          <w:b w:val="0"/>
          <w:bCs w:val="0"/>
          <w:color w:val="000000"/>
          <w:sz w:val="24"/>
          <w:highlight w:val="white"/>
        </w:rPr>
        <w:t xml:space="preserve">100,0m</w:t>
      </w:r>
      <w:r>
        <w:rPr>
          <w:rFonts w:ascii="Times New Roman" w:hAnsi="Times New Roman" w:eastAsia="Times New Roman" w:cs="Times New Roman"/>
          <w:b w:val="0"/>
          <w:bCs w:val="0"/>
          <w:color w:val="000000"/>
          <w:sz w:val="20"/>
          <w:highlight w:val="white"/>
          <w:vertAlign w:val="superscript"/>
        </w:rPr>
        <w:t xml:space="preserve">2</w:t>
      </w:r>
      <w:r>
        <w:rPr>
          <w:rFonts w:ascii="Times New Roman" w:hAnsi="Times New Roman" w:eastAsia="Times New Roman" w:cs="Times New Roman"/>
          <w:b w:val="0"/>
          <w:bCs w:val="0"/>
          <w:color w:val="000000"/>
          <w:sz w:val="24"/>
          <w:highlight w:val="white"/>
        </w:rPr>
        <w:t xml:space="preserve">. </w:t>
      </w:r>
      <w:r>
        <w:rPr>
          <w:rFonts w:ascii="Times New Roman" w:hAnsi="Times New Roman" w:eastAsia="Times New Roman" w:cs="Times New Roman"/>
          <w:b w:val="0"/>
          <w:bCs w:val="0"/>
          <w:color w:val="000000"/>
          <w:sz w:val="24"/>
        </w:rPr>
        <w:t xml:space="preserve"> Hiện công trình chưa được chứng nhận trên GCN số</w:t>
      </w:r>
      <w:r>
        <w:rPr>
          <w:rFonts w:ascii="Times New Roman" w:hAnsi="Times New Roman" w:eastAsia="Times New Roman" w:cs="Times New Roman"/>
          <w:b w:val="0"/>
          <w:bCs w:val="0"/>
          <w:color w:val="000000"/>
          <w:spacing w:val="3"/>
          <w:sz w:val="24"/>
          <w:highlight w:val="white"/>
        </w:rPr>
        <w:t xml:space="preserve"> </w:t>
      </w:r>
      <w:r>
        <w:rPr>
          <w:b w:val="0"/>
          <w:bCs w:val="0"/>
          <w:color w:val="000000"/>
        </w:rPr>
        <w:t xml:space="preserve">CH 141085</w:t>
      </w:r>
      <w:r>
        <w:rPr>
          <w:rFonts w:ascii="Times New Roman" w:hAnsi="Times New Roman" w:eastAsia="Times New Roman" w:cs="Times New Roman"/>
          <w:b w:val="0"/>
          <w:bCs w:val="0"/>
          <w:color w:val="000000"/>
          <w:sz w:val="24"/>
        </w:rPr>
        <w:t xml:space="preserve">.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w:t>
      </w:r>
      <w:r>
        <w:rPr>
          <w:rFonts w:ascii="Times New Roman" w:hAnsi="Times New Roman" w:eastAsia="Times New Roman" w:cs="Times New Roman"/>
          <w:b w:val="0"/>
          <w:bCs w:val="0"/>
          <w:color w:val="000000"/>
          <w:sz w:val="24"/>
        </w:rPr>
        <w:t xml:space="preserve">ựng hiện có vào tổng giá trị nhưng vẫn coi công trình xây dựng là phần không thể tách rời của tài sản thẩm định. Kính đề nghị đơn vị sử dụng kết quả lưu ý</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66"/>
        <w:gridCol w:w="2113"/>
        <w:gridCol w:w="1736"/>
        <w:gridCol w:w="1736"/>
        <w:gridCol w:w="1736"/>
        <w:gridCol w:w="1736"/>
      </w:tblGrid>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STT</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top"/>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ĐẶC ĐIỂM BĐS</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TSTĐ</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TSSS1</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TSSS2</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TSSS3</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A</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top"/>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Thông tin về tài sản</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Địa chỉ</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Xã Phương Trung, Huyện Thanh Oai, Thành phố Hà Nội</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Xã Thanh Oai, Thành phố Hà Nội</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Xã Thanh Oai, Thành phố Hà Nội</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Xã Phương Trung, Huyện Thanh Oai, Thành phố Hà Nội</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Nguồn tham khảo</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hyperlink r:id="rId18" w:tooltip="https://batdongsan.com.vn/ban-dat-duong-21b-xa-phuong-trung-1/ban-lang-chuong-thanh-oai-ha-noi-pr44802731" w:history="1">
              <w:r>
                <w:rPr>
                  <w:rStyle w:val="1017"/>
                  <w:rFonts w:ascii="Times New Roman" w:hAnsi="Times New Roman" w:eastAsia="Times New Roman" w:cs="Times New Roman"/>
                  <w:color w:val="000000" w:themeColor="text1"/>
                  <w:sz w:val="22"/>
                  <w:szCs w:val="22"/>
                  <w:u w:val="none"/>
                </w:rPr>
                <w:t xml:space="preserve">https://batdongsan.com.vn/ban-dat-duong-21b-xa-phuong-trung-1/ban-lang-chuong-thanh-oai-ha-noi-pr44802731</w:t>
              </w:r>
            </w:hyperlink>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https://batdongsan.com.vn/ban-dat-xa-phuong-trung-1/chinh-chu-ban-lo-dep-tan-tien-pr44583164</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Liên hệ trực tiếp</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vMerge w:val="restart"/>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vMerge w:val="restart"/>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Thông tin liên lạc</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vMerge w:val="restart"/>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0368298496 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0342932222</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0961523137</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left w:val="single" w:color="000000" w:sz="4" w:space="0"/>
              <w:bottom w:val="single" w:color="000000" w:sz="6" w:space="0"/>
              <w:right w:val="single" w:color="000000" w:sz="6"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(Nguyễn Văn Nhàn)</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bottom w:val="single" w:color="000000" w:sz="6" w:space="0"/>
              <w:right w:val="single" w:color="000000" w:sz="6"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(Anh Trường)</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bottom w:val="single" w:color="000000" w:sz="6" w:space="0"/>
              <w:right w:val="single" w:color="000000" w:sz="6"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(Hằng Mario)</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3</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Tình trạng giao dịch</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Đang giao dịch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Đang giao dịch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Đang giao dịch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4</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Thời điểm thu thập thông tin</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Tháng 1/2026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Tháng 1/2026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Tháng 1/2026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5</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Tính chất giao dịch</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Giao dịch bình thường trên thị trường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Giao dịch bình thường trên thị trường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Giao dịch bình thường trên thị trường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Giao dịch bình thường trên thị trường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235"/>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6</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Pháp lý</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Có Giấy chứng nhận Quyền sử dụng đất</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Có Giấy chứng nhận Quyền sử dụng đất</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Có Giấy chứng nhận Quyền sử dụng đất</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Có Giấy chứng nhận Quyền sử dụng đất</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7</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Mục đích sử dụng</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Đất ở tại nông thôn</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Đất ở tại nông thôn</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Đất ở tại nông thôn</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Đất ở tại nông thôn</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8</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Thời hạn sử dụng đất</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Lâu dài</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Lâu dài</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Lâu dài</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Lâu dài</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9</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Vị trí</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Tài sản cách QL21B khoảng 1,0km</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Tài sản cách QL21B khoảng 1,0km</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Tài sản cách QL21B khoảng 1,0km</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Tài sản cách QL21B khoảng 200m</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10</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Giao thông</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1,5m-2,7m</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2,2</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3</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2,6</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11</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Diện tích đất</w:t>
              <w:br/>
              <w:t xml:space="preserve"> (m²)</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248</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266</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80</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151</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12</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Mặt tiền (m)</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15,55 - 17,0</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2,64</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5,3</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13,23</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13</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Số lượng mặt tiếp giáp</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Tiếp giáp 2 mặt ngõ</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Tiếp giáp 1 mặt tiền</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Tiếp giáp 1 mặt tiền</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Tiếp giáp 1 mặt tiền</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14</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Hình dáng thửa đất</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đối vuông vức</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Đa giác khác</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đối vuông vức</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đối vuông vức</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15</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Lợi thế kinh doanh</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Phù hợp để ở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Phù hợp để ở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Phù hợp để ở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Phù hợp để ở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16</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Yếu tố khác (Yếu tố phong thủy/Yếu tố tâm linh)</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Không</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Không</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Không</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Ngõ cụt</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17</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Điều kiện cơ sở hạ tầng kỹ thuật</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Hạ tầng khu dân cư thông thường: Hệ thống cấp điện, cấp thoát nước đầy đủ</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Hạ tầng khu dân cư thông thường: Hệ thống cấp điện, cấp thoát nước đầy đủ</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Hạ tầng khu dân cư thông thường: Hệ thống cấp điện, cấp thoát nước đầy đủ</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Hạ tầng khu dân cư thông thường: Hệ thống cấp điện, cấp thoát nước đầy đủ</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18</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Tài sản trên đất</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Đất trống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Đất trống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Nhà 3 tầng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bottom"/>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Số tầng</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3,0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bottom"/>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Diện tích sàn sử dụng (m²)</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bottom"/>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0,0</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0,0</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300,0</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19</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Giá rao (đồng)</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6.250.000.000</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2.660.000.000</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7.428.000.000</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20</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Giá thương lượng/bán (đồng)</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5.625.000.000</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2.394.000.000</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6.685.200.000</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B</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Chi tiết tính toán</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1</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Giá trị tài sản trên đất (đồng)</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2.231.607.000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Đơn giá xây dựng theo Quyết định 409/QĐ-BXD năm 2025 của Bộ Xây Dựng (đồng/m²)</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7.830.200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Tỷ lệ % CLCL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95%</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2</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Giá trị đất ở (đồng)</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5.625.000.000  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2.394.000.000  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4.453.593.000  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3</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Đơn giá QSDĐ (đồng/m²)</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21.146.617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29.925.000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29.493.993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C</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NHẬN XÉT</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Pháp lý</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Vị trí</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Kém lợi thế hơn</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3</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Giao thông</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Lợi thế hơn</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Lợi thế hơn</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Lợi thế hơn</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4</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Diện tích đất</w:t>
              <w:br/>
              <w:t xml:space="preserve"> (m²)</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Lợi thế hơn</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Lợi thế hơn</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5</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Mặt tiền (m)</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Lợi thế hơn</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Kém lợi thế hơn</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6</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Số lượng mặt tiếp giáp</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Kém lợi thế hơn</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Kém lợi thế hơn</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Kém lợi thế hơn</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7</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Hình dáng thửa đất</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Kém lợi thế hơn</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6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8</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13" w:type="dxa"/>
            <w:vAlign w:val="center"/>
            <w:textDirection w:val="lrTb"/>
            <w:noWrap w:val="false"/>
          </w:tcPr>
          <w:p>
            <w:pPr>
              <w:pBdr/>
              <w:spacing w:after="0" w:before="0" w:line="240" w:lineRule="auto"/>
              <w:ind w:right="0" w:firstLine="0" w:left="90"/>
              <w:jc w:val="lef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Yếu tố khác (Yếu tố phong thủy/Yếu tố tâm linh)</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36"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Kém lợi thế hơn</w:t>
            </w:r>
            <w:r>
              <w:rPr>
                <w:rFonts w:ascii="Times New Roman" w:hAnsi="Times New Roman" w:eastAsia="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43"/>
        <w:gridCol w:w="1677"/>
        <w:gridCol w:w="968"/>
        <w:gridCol w:w="1369"/>
        <w:gridCol w:w="1622"/>
        <w:gridCol w:w="1622"/>
        <w:gridCol w:w="1623"/>
      </w:tblGrid>
      <w:tr>
        <w:trPr>
          <w:trHeight w:val="0"/>
        </w:trPr>
        <w:tc>
          <w:tcPr>
            <w:shd w:val="clear" w:color="ffffff" w:fill="ffffff"/>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6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96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thẩm định</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1</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2</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6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3</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5.625.000.000 </w:t>
            </w:r>
            <w:r>
              <w:rPr>
                <w:color w:val="000000" w:themeColor="text1"/>
                <w:highlight w:val="white"/>
              </w:rPr>
            </w:r>
            <w:r>
              <w:rPr>
                <w:color w:val="000000" w:themeColor="text1"/>
                <w:highlight w:val="white"/>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2.394.000.000 </w:t>
            </w:r>
            <w:r>
              <w:rPr>
                <w:color w:val="000000" w:themeColor="text1"/>
                <w:highlight w:val="white"/>
              </w:rPr>
            </w:r>
            <w:r>
              <w:rPr>
                <w:color w:val="000000" w:themeColor="text1"/>
                <w:highlight w:val="white"/>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4.453.593.000 </w:t>
            </w:r>
            <w:r>
              <w:rPr>
                <w:color w:val="000000" w:themeColor="text1"/>
                <w:highlight w:val="white"/>
              </w:rPr>
            </w:r>
            <w:r>
              <w:rPr>
                <w:color w:val="000000" w:themeColor="text1"/>
                <w:highlight w:val="white"/>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21.146.617 </w:t>
            </w:r>
            <w:r>
              <w:rPr>
                <w:color w:val="000000" w:themeColor="text1"/>
                <w:highlight w:val="white"/>
              </w:rPr>
            </w:r>
            <w:r>
              <w:rPr>
                <w:color w:val="000000" w:themeColor="text1"/>
                <w:highlight w:val="white"/>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29.925.000 </w:t>
            </w:r>
            <w:r>
              <w:rPr>
                <w:color w:val="000000" w:themeColor="text1"/>
                <w:highlight w:val="white"/>
              </w:rPr>
            </w:r>
            <w:r>
              <w:rPr>
                <w:color w:val="000000" w:themeColor="text1"/>
                <w:highlight w:val="white"/>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29.493.993 </w:t>
            </w:r>
            <w:r>
              <w:rPr>
                <w:color w:val="000000" w:themeColor="text1"/>
                <w:highlight w:val="white"/>
              </w:rPr>
            </w:r>
            <w:r>
              <w:rPr>
                <w:color w:val="000000" w:themeColor="text1"/>
                <w:highlight w:val="white"/>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64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21.146.617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29.925.000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29.493.993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64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cách QL21B khoảng 1,0km</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cách QL21B khoảng 1,0km</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cách QL21B khoảng 1,0km</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cách QL21B khoảng 200m</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-1.474.700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21.146.617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29.925.000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28.019.294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64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1,5m-2,7m</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2,2</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2,6</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-1.057.331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-2.992.500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-1.474.700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20.089.286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26.932.500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26.544.594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64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Diện tích đất</w:t>
              <w:br/>
              <w:t xml:space="preserve"> (m²)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248,0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266,0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151,0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-4.488.750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-1.474.700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20.089.286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22.443.750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25.069.894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64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15,55 - 17,0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2,64</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5,3</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13,2</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2.114.662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1.496.250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22.203.947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23.940.000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25.069.894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64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2 mặt ngõ</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2.114.662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2.992.500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2.949.399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24.318.609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26.932.500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28.019.294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64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Đa giác khác</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2.114.662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26.433.271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26.932.500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28.019.294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64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Yếu tố khác (Yếu tố phong thủy/Yếu tố tâm linh)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Ngõ cụt</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884.820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26.433.271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26.932.500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28.904.114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486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27.423.295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-3,6%</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5,4%</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4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top w:val="single" w:color="000000" w:sz="6" w:space="0"/>
              <w:bottom w:val="single" w:color="000000" w:sz="6" w:space="0"/>
              <w:right w:val="single" w:color="000000" w:sz="4" w:space="0"/>
            </w:tcBorders>
            <w:tcMar>
              <w:left w:w="15" w:type="dxa"/>
              <w:top w:w="15" w:type="dxa"/>
              <w:right w:w="15" w:type="dxa"/>
              <w:bottom w:w="0" w:type="dxa"/>
            </w:tcMar>
            <w:tcW w:w="888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7.401.316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11.970.000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8.258.318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5-15%</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3-10%</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9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6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5.286.654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(2.992.500)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(589.880)</w:t>
            </w:r>
            <w:r>
              <w:rPr>
                <w:color w:val="000000" w:themeColor="text1"/>
              </w:rPr>
            </w:r>
            <w:r>
              <w:rPr>
                <w:color w:val="000000" w:themeColor="text1"/>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1,8% </w:t>
      </w:r>
      <w:r>
        <w:t xml:space="preserve">đến 5,4</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60"/>
        <w:gridCol w:w="2125"/>
        <w:gridCol w:w="2056"/>
        <w:gridCol w:w="2042"/>
        <w:gridCol w:w="2541"/>
      </w:tblGrid>
      <w:tr>
        <w:trPr>
          <w:trHeight w:val="910"/>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76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15" w:type="dxa"/>
              <w:top w:w="15" w:type="dxa"/>
              <w:right w:w="15" w:type="dxa"/>
              <w:bottom w:w="0" w:type="dxa"/>
            </w:tcMar>
            <w:tcW w:w="21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Tài sản</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15" w:type="dxa"/>
              <w:top w:w="15" w:type="dxa"/>
              <w:right w:w="15" w:type="dxa"/>
              <w:bottom w:w="0" w:type="dxa"/>
            </w:tcMar>
            <w:tcW w:w="205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Mức giá chỉ dẫn của các TSSS</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15" w:type="dxa"/>
              <w:top w:w="15" w:type="dxa"/>
              <w:right w:w="15"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Trọng số của các TSSS sau điều chỉnh</w:t>
            </w:r>
            <w:r>
              <w:rPr>
                <w:color w:val="000000" w:themeColor="text1"/>
              </w:rPr>
            </w:r>
            <w:r>
              <w:rPr>
                <w:color w:val="000000" w:themeColor="text1"/>
              </w:rPr>
            </w:r>
          </w:p>
        </w:tc>
        <w:tc>
          <w:tcPr>
            <w:tcBorders>
              <w:top w:val="single" w:color="000000" w:sz="6" w:space="0"/>
              <w:bottom w:val="single" w:color="000000" w:sz="6" w:space="0"/>
              <w:right w:val="single" w:color="000000" w:sz="6" w:space="0"/>
            </w:tcBorders>
            <w:tcMar>
              <w:left w:w="15" w:type="dxa"/>
              <w:top w:w="15" w:type="dxa"/>
              <w:right w:w="15" w:type="dxa"/>
              <w:bottom w:w="0" w:type="dxa"/>
            </w:tcMar>
            <w:tcW w:w="254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trung bình của mức giá chỉ dẫn sau điều chỉnh</w:t>
            </w:r>
            <w:r>
              <w:rPr>
                <w:color w:val="000000" w:themeColor="text1"/>
              </w:rPr>
            </w:r>
            <w:r>
              <w:rPr>
                <w:color w:val="000000" w:themeColor="text1"/>
              </w:rPr>
            </w:r>
          </w:p>
        </w:tc>
      </w:tr>
      <w:tr>
        <w:trPr>
          <w:trHeight w:val="320"/>
        </w:trPr>
        <w:tc>
          <w:tcPr>
            <w:tcBorders>
              <w:left w:val="single" w:color="000000" w:sz="6" w:space="0"/>
              <w:bottom w:val="single" w:color="000000" w:sz="6" w:space="0"/>
              <w:right w:val="single" w:color="000000" w:sz="6" w:space="0"/>
            </w:tcBorders>
            <w:tcMar>
              <w:left w:w="15" w:type="dxa"/>
              <w:top w:w="15" w:type="dxa"/>
              <w:right w:w="15" w:type="dxa"/>
              <w:bottom w:w="0" w:type="dxa"/>
            </w:tcMar>
            <w:tcW w:w="76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w:t>
            </w:r>
            <w:r>
              <w:rPr>
                <w:color w:val="000000" w:themeColor="text1"/>
              </w:rPr>
            </w:r>
            <w:r>
              <w:rPr>
                <w:color w:val="000000" w:themeColor="text1"/>
              </w:rPr>
            </w:r>
          </w:p>
        </w:tc>
        <w:tc>
          <w:tcPr>
            <w:tcBorders>
              <w:bottom w:val="single" w:color="000000" w:sz="6" w:space="0"/>
              <w:right w:val="single" w:color="000000" w:sz="6" w:space="0"/>
            </w:tcBorders>
            <w:tcMar>
              <w:left w:w="15" w:type="dxa"/>
              <w:top w:w="15" w:type="dxa"/>
              <w:right w:w="15" w:type="dxa"/>
              <w:bottom w:w="0" w:type="dxa"/>
            </w:tcMar>
            <w:tcW w:w="2125"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1</w:t>
            </w:r>
            <w:r>
              <w:rPr>
                <w:color w:val="000000" w:themeColor="text1"/>
              </w:rPr>
            </w:r>
            <w:r>
              <w:rPr>
                <w:color w:val="000000" w:themeColor="text1"/>
              </w:rPr>
            </w:r>
          </w:p>
        </w:tc>
        <w:tc>
          <w:tcPr>
            <w:tcBorders>
              <w:bottom w:val="single" w:color="000000" w:sz="6" w:space="0"/>
              <w:right w:val="single" w:color="000000" w:sz="6" w:space="0"/>
            </w:tcBorders>
            <w:tcMar>
              <w:left w:w="15" w:type="dxa"/>
              <w:top w:w="15" w:type="dxa"/>
              <w:right w:w="15" w:type="dxa"/>
              <w:bottom w:w="0" w:type="dxa"/>
            </w:tcMar>
            <w:tcW w:w="205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26.433.271 </w:t>
            </w:r>
            <w:r>
              <w:rPr>
                <w:color w:val="000000" w:themeColor="text1"/>
              </w:rPr>
            </w:r>
            <w:r>
              <w:rPr>
                <w:color w:val="000000" w:themeColor="text1"/>
              </w:rPr>
            </w:r>
          </w:p>
        </w:tc>
        <w:tc>
          <w:tcPr>
            <w:tcBorders>
              <w:bottom w:val="single" w:color="000000" w:sz="6" w:space="0"/>
              <w:right w:val="single" w:color="000000" w:sz="6" w:space="0"/>
            </w:tcBorders>
            <w:tcMar>
              <w:left w:w="15" w:type="dxa"/>
              <w:top w:w="15" w:type="dxa"/>
              <w:right w:w="15"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bottom w:val="single" w:color="000000" w:sz="6" w:space="0"/>
              <w:right w:val="single" w:color="000000" w:sz="6" w:space="0"/>
            </w:tcBorders>
            <w:tcMar>
              <w:left w:w="15" w:type="dxa"/>
              <w:top w:w="15" w:type="dxa"/>
              <w:right w:w="15" w:type="dxa"/>
              <w:bottom w:w="0" w:type="dxa"/>
            </w:tcMar>
            <w:tcW w:w="2541" w:type="dxa"/>
            <w:vAlign w:val="center"/>
            <w:textDirection w:val="lrTb"/>
            <w:noWrap w:val="false"/>
          </w:tcPr>
          <w:p>
            <w:pPr>
              <w:pBdr/>
              <w:spacing w:after="0" w:before="0" w:line="240" w:lineRule="auto"/>
              <w:ind/>
              <w:jc w:val="left"/>
              <w:rPr>
                <w:color w:val="000000" w:themeColor="text1"/>
              </w:rPr>
            </w:pPr>
            <w:r>
              <w:rPr>
                <w:rFonts w:ascii="Times New Roman" w:hAnsi="Times New Roman" w:eastAsia="Times New Roman" w:cs="Times New Roman"/>
                <w:color w:val="000000" w:themeColor="text1"/>
                <w:sz w:val="24"/>
              </w:rPr>
              <w:t xml:space="preserve">                8.810.209 </w:t>
            </w:r>
            <w:r>
              <w:rPr>
                <w:color w:val="000000" w:themeColor="text1"/>
              </w:rPr>
            </w:r>
            <w:r>
              <w:rPr>
                <w:color w:val="000000" w:themeColor="text1"/>
              </w:rPr>
            </w:r>
          </w:p>
        </w:tc>
      </w:tr>
      <w:tr>
        <w:trPr>
          <w:trHeight w:val="320"/>
        </w:trPr>
        <w:tc>
          <w:tcPr>
            <w:tcBorders>
              <w:left w:val="single" w:color="000000" w:sz="6" w:space="0"/>
              <w:bottom w:val="single" w:color="000000" w:sz="6" w:space="0"/>
              <w:right w:val="single" w:color="000000" w:sz="6" w:space="0"/>
            </w:tcBorders>
            <w:tcMar>
              <w:left w:w="15" w:type="dxa"/>
              <w:top w:w="15" w:type="dxa"/>
              <w:right w:w="15" w:type="dxa"/>
              <w:bottom w:w="0" w:type="dxa"/>
            </w:tcMar>
            <w:tcW w:w="76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w:t>
            </w:r>
            <w:r>
              <w:rPr>
                <w:color w:val="000000" w:themeColor="text1"/>
              </w:rPr>
            </w:r>
            <w:r>
              <w:rPr>
                <w:color w:val="000000" w:themeColor="text1"/>
              </w:rPr>
            </w:r>
          </w:p>
        </w:tc>
        <w:tc>
          <w:tcPr>
            <w:tcBorders>
              <w:bottom w:val="single" w:color="000000" w:sz="6" w:space="0"/>
              <w:right w:val="single" w:color="000000" w:sz="6" w:space="0"/>
            </w:tcBorders>
            <w:tcMar>
              <w:left w:w="15" w:type="dxa"/>
              <w:top w:w="15" w:type="dxa"/>
              <w:right w:w="15" w:type="dxa"/>
              <w:bottom w:w="0" w:type="dxa"/>
            </w:tcMar>
            <w:tcW w:w="2125"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2</w:t>
            </w:r>
            <w:r>
              <w:rPr>
                <w:color w:val="000000" w:themeColor="text1"/>
              </w:rPr>
            </w:r>
            <w:r>
              <w:rPr>
                <w:color w:val="000000" w:themeColor="text1"/>
              </w:rPr>
            </w:r>
          </w:p>
        </w:tc>
        <w:tc>
          <w:tcPr>
            <w:tcBorders>
              <w:bottom w:val="single" w:color="000000" w:sz="6" w:space="0"/>
              <w:right w:val="single" w:color="000000" w:sz="6" w:space="0"/>
            </w:tcBorders>
            <w:tcMar>
              <w:left w:w="15" w:type="dxa"/>
              <w:top w:w="15" w:type="dxa"/>
              <w:right w:w="15" w:type="dxa"/>
              <w:bottom w:w="0" w:type="dxa"/>
            </w:tcMar>
            <w:tcW w:w="205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26.932.500 </w:t>
            </w:r>
            <w:r>
              <w:rPr>
                <w:color w:val="000000" w:themeColor="text1"/>
              </w:rPr>
            </w:r>
            <w:r>
              <w:rPr>
                <w:color w:val="000000" w:themeColor="text1"/>
              </w:rPr>
            </w:r>
          </w:p>
        </w:tc>
        <w:tc>
          <w:tcPr>
            <w:tcBorders>
              <w:bottom w:val="single" w:color="000000" w:sz="6" w:space="0"/>
              <w:right w:val="single" w:color="000000" w:sz="6" w:space="0"/>
            </w:tcBorders>
            <w:tcMar>
              <w:left w:w="15" w:type="dxa"/>
              <w:top w:w="15" w:type="dxa"/>
              <w:right w:w="15"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bottom w:val="single" w:color="000000" w:sz="6" w:space="0"/>
              <w:right w:val="single" w:color="000000" w:sz="6" w:space="0"/>
            </w:tcBorders>
            <w:tcMar>
              <w:left w:w="15" w:type="dxa"/>
              <w:top w:w="15" w:type="dxa"/>
              <w:right w:w="15" w:type="dxa"/>
              <w:bottom w:w="0" w:type="dxa"/>
            </w:tcMar>
            <w:tcW w:w="2541" w:type="dxa"/>
            <w:vAlign w:val="center"/>
            <w:textDirection w:val="lrTb"/>
            <w:noWrap w:val="false"/>
          </w:tcPr>
          <w:p>
            <w:pPr>
              <w:pBdr/>
              <w:spacing w:after="0" w:before="0" w:line="240" w:lineRule="auto"/>
              <w:ind/>
              <w:jc w:val="left"/>
              <w:rPr>
                <w:color w:val="000000" w:themeColor="text1"/>
              </w:rPr>
            </w:pPr>
            <w:r>
              <w:rPr>
                <w:rFonts w:ascii="Times New Roman" w:hAnsi="Times New Roman" w:eastAsia="Times New Roman" w:cs="Times New Roman"/>
                <w:color w:val="000000" w:themeColor="text1"/>
                <w:sz w:val="24"/>
              </w:rPr>
              <w:t xml:space="preserve">                8.976.602 </w:t>
            </w:r>
            <w:r>
              <w:rPr>
                <w:color w:val="000000" w:themeColor="text1"/>
              </w:rPr>
            </w:r>
            <w:r>
              <w:rPr>
                <w:color w:val="000000" w:themeColor="text1"/>
              </w:rPr>
            </w:r>
          </w:p>
        </w:tc>
      </w:tr>
      <w:tr>
        <w:trPr>
          <w:trHeight w:val="320"/>
        </w:trPr>
        <w:tc>
          <w:tcPr>
            <w:tcBorders>
              <w:left w:val="single" w:color="000000" w:sz="6" w:space="0"/>
              <w:bottom w:val="single" w:color="000000" w:sz="6" w:space="0"/>
              <w:right w:val="single" w:color="000000" w:sz="6" w:space="0"/>
            </w:tcBorders>
            <w:tcMar>
              <w:left w:w="15" w:type="dxa"/>
              <w:top w:w="15" w:type="dxa"/>
              <w:right w:w="15" w:type="dxa"/>
              <w:bottom w:w="0" w:type="dxa"/>
            </w:tcMar>
            <w:tcW w:w="76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w:t>
            </w:r>
            <w:r>
              <w:rPr>
                <w:color w:val="000000" w:themeColor="text1"/>
              </w:rPr>
            </w:r>
            <w:r>
              <w:rPr>
                <w:color w:val="000000" w:themeColor="text1"/>
              </w:rPr>
            </w:r>
          </w:p>
        </w:tc>
        <w:tc>
          <w:tcPr>
            <w:tcBorders>
              <w:bottom w:val="single" w:color="000000" w:sz="6" w:space="0"/>
              <w:right w:val="single" w:color="000000" w:sz="6" w:space="0"/>
            </w:tcBorders>
            <w:tcMar>
              <w:left w:w="15" w:type="dxa"/>
              <w:top w:w="15" w:type="dxa"/>
              <w:right w:w="15" w:type="dxa"/>
              <w:bottom w:w="0" w:type="dxa"/>
            </w:tcMar>
            <w:tcW w:w="2125"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3</w:t>
            </w:r>
            <w:r>
              <w:rPr>
                <w:color w:val="000000" w:themeColor="text1"/>
              </w:rPr>
            </w:r>
            <w:r>
              <w:rPr>
                <w:color w:val="000000" w:themeColor="text1"/>
              </w:rPr>
            </w:r>
          </w:p>
        </w:tc>
        <w:tc>
          <w:tcPr>
            <w:tcBorders>
              <w:bottom w:val="single" w:color="000000" w:sz="6" w:space="0"/>
              <w:right w:val="single" w:color="000000" w:sz="6" w:space="0"/>
            </w:tcBorders>
            <w:tcMar>
              <w:left w:w="15" w:type="dxa"/>
              <w:top w:w="15" w:type="dxa"/>
              <w:right w:w="15" w:type="dxa"/>
              <w:bottom w:w="0" w:type="dxa"/>
            </w:tcMar>
            <w:tcW w:w="205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28.904.114 </w:t>
            </w:r>
            <w:r>
              <w:rPr>
                <w:color w:val="000000" w:themeColor="text1"/>
              </w:rPr>
            </w:r>
            <w:r>
              <w:rPr>
                <w:color w:val="000000" w:themeColor="text1"/>
              </w:rPr>
            </w:r>
          </w:p>
        </w:tc>
        <w:tc>
          <w:tcPr>
            <w:tcBorders>
              <w:bottom w:val="single" w:color="000000" w:sz="6" w:space="0"/>
              <w:right w:val="single" w:color="000000" w:sz="6" w:space="0"/>
            </w:tcBorders>
            <w:tcMar>
              <w:left w:w="15" w:type="dxa"/>
              <w:top w:w="15" w:type="dxa"/>
              <w:right w:w="15" w:type="dxa"/>
              <w:bottom w:w="0" w:type="dxa"/>
            </w:tcMar>
            <w:tcW w:w="20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bottom w:val="single" w:color="000000" w:sz="6" w:space="0"/>
              <w:right w:val="single" w:color="000000" w:sz="6" w:space="0"/>
            </w:tcBorders>
            <w:tcMar>
              <w:left w:w="15" w:type="dxa"/>
              <w:top w:w="15" w:type="dxa"/>
              <w:right w:w="15" w:type="dxa"/>
              <w:bottom w:w="0" w:type="dxa"/>
            </w:tcMar>
            <w:tcW w:w="2541" w:type="dxa"/>
            <w:vAlign w:val="center"/>
            <w:textDirection w:val="lrTb"/>
            <w:noWrap w:val="false"/>
          </w:tcPr>
          <w:p>
            <w:pPr>
              <w:pBdr/>
              <w:spacing w:after="0" w:before="0" w:line="240" w:lineRule="auto"/>
              <w:ind/>
              <w:jc w:val="left"/>
              <w:rPr>
                <w:color w:val="000000" w:themeColor="text1"/>
              </w:rPr>
            </w:pPr>
            <w:r>
              <w:rPr>
                <w:rFonts w:ascii="Times New Roman" w:hAnsi="Times New Roman" w:eastAsia="Times New Roman" w:cs="Times New Roman"/>
                <w:color w:val="000000" w:themeColor="text1"/>
                <w:sz w:val="24"/>
              </w:rPr>
              <w:t xml:space="preserve">                9.633.741 </w:t>
            </w:r>
            <w:r>
              <w:rPr>
                <w:color w:val="000000" w:themeColor="text1"/>
              </w:rPr>
            </w:r>
            <w:r>
              <w:rPr>
                <w:color w:val="000000" w:themeColor="text1"/>
              </w:rPr>
            </w:r>
          </w:p>
        </w:tc>
      </w:tr>
      <w:tr>
        <w:trPr>
          <w:trHeight w:val="310"/>
        </w:trPr>
        <w:tc>
          <w:tcPr>
            <w:gridSpan w:val="4"/>
            <w:tcBorders>
              <w:top w:val="single" w:color="000000" w:sz="6" w:space="0"/>
              <w:left w:val="single" w:color="000000" w:sz="6" w:space="0"/>
              <w:bottom w:val="single" w:color="000000" w:sz="6" w:space="0"/>
              <w:right w:val="single" w:color="000000" w:sz="8" w:space="0"/>
            </w:tcBorders>
            <w:tcMar>
              <w:left w:w="15" w:type="dxa"/>
              <w:top w:w="15" w:type="dxa"/>
              <w:right w:w="15" w:type="dxa"/>
              <w:bottom w:w="0" w:type="dxa"/>
            </w:tcMar>
            <w:tcW w:w="69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bình quân theo trọng số</w:t>
            </w:r>
            <w:r>
              <w:rPr>
                <w:color w:val="000000" w:themeColor="text1"/>
              </w:rPr>
            </w:r>
            <w:r>
              <w:rPr>
                <w:color w:val="000000" w:themeColor="text1"/>
              </w:rPr>
            </w:r>
          </w:p>
        </w:tc>
        <w:tc>
          <w:tcPr>
            <w:tcBorders>
              <w:bottom w:val="single" w:color="000000" w:sz="6" w:space="0"/>
              <w:right w:val="single" w:color="000000" w:sz="6" w:space="0"/>
            </w:tcBorders>
            <w:tcMar>
              <w:left w:w="15" w:type="dxa"/>
              <w:top w:w="15" w:type="dxa"/>
              <w:right w:w="15" w:type="dxa"/>
              <w:bottom w:w="0" w:type="dxa"/>
            </w:tcMar>
            <w:tcW w:w="2541" w:type="dxa"/>
            <w:vAlign w:val="center"/>
            <w:textDirection w:val="lrTb"/>
            <w:noWrap w:val="false"/>
          </w:tcPr>
          <w:p>
            <w:pPr>
              <w:pBdr/>
              <w:spacing w:after="0" w:before="0" w:line="240" w:lineRule="auto"/>
              <w:ind/>
              <w:jc w:val="left"/>
              <w:rPr>
                <w:color w:val="000000" w:themeColor="text1"/>
              </w:rPr>
            </w:pPr>
            <w:r>
              <w:rPr>
                <w:rFonts w:ascii="Times New Roman" w:hAnsi="Times New Roman" w:eastAsia="Times New Roman" w:cs="Times New Roman"/>
                <w:b/>
                <w:color w:val="000000" w:themeColor="text1"/>
                <w:sz w:val="24"/>
              </w:rPr>
              <w:t xml:space="preserve">              27.420.552 </w:t>
            </w:r>
            <w:r>
              <w:rPr>
                <w:color w:val="000000" w:themeColor="text1"/>
              </w:rPr>
            </w:r>
            <w:r>
              <w:rPr>
                <w:color w:val="000000" w:themeColor="text1"/>
              </w:rPr>
            </w:r>
          </w:p>
        </w:tc>
      </w:tr>
      <w:tr>
        <w:trPr>
          <w:trHeight w:val="310"/>
        </w:trPr>
        <w:tc>
          <w:tcPr>
            <w:gridSpan w:val="4"/>
            <w:tcBorders>
              <w:top w:val="single" w:color="000000" w:sz="6" w:space="0"/>
              <w:left w:val="single" w:color="000000" w:sz="6" w:space="0"/>
              <w:bottom w:val="single" w:color="000000" w:sz="6" w:space="0"/>
              <w:right w:val="single" w:color="000000" w:sz="8" w:space="0"/>
            </w:tcBorders>
            <w:tcMar>
              <w:left w:w="15" w:type="dxa"/>
              <w:top w:w="15" w:type="dxa"/>
              <w:right w:w="15" w:type="dxa"/>
              <w:bottom w:w="0" w:type="dxa"/>
            </w:tcMar>
            <w:tcW w:w="69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Làm tròn</w:t>
            </w:r>
            <w:r>
              <w:rPr>
                <w:color w:val="000000" w:themeColor="text1"/>
              </w:rPr>
            </w:r>
            <w:r>
              <w:rPr>
                <w:color w:val="000000" w:themeColor="text1"/>
              </w:rPr>
            </w:r>
          </w:p>
        </w:tc>
        <w:tc>
          <w:tcPr>
            <w:tcBorders>
              <w:bottom w:val="single" w:color="000000" w:sz="6" w:space="0"/>
              <w:right w:val="single" w:color="000000" w:sz="6" w:space="0"/>
            </w:tcBorders>
            <w:tcMar>
              <w:left w:w="15" w:type="dxa"/>
              <w:top w:w="15" w:type="dxa"/>
              <w:right w:w="15" w:type="dxa"/>
              <w:bottom w:w="0" w:type="dxa"/>
            </w:tcMar>
            <w:tcW w:w="2541" w:type="dxa"/>
            <w:vAlign w:val="center"/>
            <w:textDirection w:val="lrTb"/>
            <w:noWrap w:val="false"/>
          </w:tcPr>
          <w:p>
            <w:pPr>
              <w:pBdr/>
              <w:spacing w:after="0" w:before="0" w:line="240" w:lineRule="auto"/>
              <w:ind/>
              <w:jc w:val="left"/>
              <w:rPr>
                <w:color w:val="000000" w:themeColor="text1"/>
              </w:rPr>
            </w:pPr>
            <w:r>
              <w:rPr>
                <w:rFonts w:ascii="Times New Roman" w:hAnsi="Times New Roman" w:eastAsia="Times New Roman" w:cs="Times New Roman"/>
                <w:b/>
                <w:color w:val="000000" w:themeColor="text1"/>
                <w:sz w:val="24"/>
              </w:rPr>
              <w:t xml:space="preserve">              27.500.000 </w:t>
            </w:r>
            <w:r>
              <w:rPr>
                <w:color w:val="000000" w:themeColor="text1"/>
              </w:rPr>
            </w:r>
            <w:r>
              <w:rPr>
                <w:color w:val="000000" w:themeColor="text1"/>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27.500.000</w:t>
      </w:r>
      <w:r>
        <w:rPr>
          <w:b/>
          <w:bCs/>
          <w:color w:val="000000" w:themeColor="text1"/>
        </w:rPr>
        <w:t xml:space="preserve"> </w:t>
      </w:r>
      <w:r>
        <w:rPr>
          <w:b/>
          <w:bCs/>
        </w:rPr>
        <w:t xml:space="preserve">đồng</w:t>
      </w:r>
      <w:r>
        <w:rPr>
          <w:b/>
          <w:bCs/>
        </w:rPr>
        <w:t xml:space="preserve">/m².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596"/>
        <w:gridCol w:w="1362"/>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596"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36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375, tờ bản đồ số: 11 có địa chỉ: Thôn Tân Dân 1, xã Phương Trung, huyện Thanh Oai, thành phố Hà Nội (nay là x</w:t>
            </w:r>
            <w:r>
              <w:rPr>
                <w:color w:val="000000"/>
              </w:rPr>
              <w:t xml:space="preserve">ã Thanh Oai, thành phố Hà Nội) theo Giấy chứng nhận Quyền sử dụng đất quyền sở hữu nhà ở và tài sản khác gắn liền với đất số: CH 141085, số vào sổ cấp GCN: CS-TO02142 do Sở Tài nguyên và Môi trường thành phố Hà Nội cấp ngày 04/05/2017 cho Ông Lê Trung Kiên</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596" w:type="dxa"/>
            <w:vAlign w:val="center"/>
            <w:textDirection w:val="lrTb"/>
            <w:noWrap w:val="false"/>
          </w:tcPr>
          <w:p>
            <w:pPr>
              <w:pBdr/>
              <w:spacing w:after="40" w:before="40" w:line="288" w:lineRule="auto"/>
              <w:ind/>
              <w:rPr/>
            </w:pPr>
            <w:r>
              <w:rPr>
                <w:b/>
                <w:bCs/>
              </w:rPr>
              <w:t xml:space="preserve">Đất ở tại nông thôn</w:t>
            </w:r>
            <w:r/>
          </w:p>
        </w:tc>
        <w:tc>
          <w:tcPr>
            <w:tcBorders/>
            <w:tcW w:w="1362" w:type="dxa"/>
            <w:vAlign w:val="center"/>
            <w:textDirection w:val="lrTb"/>
            <w:noWrap/>
          </w:tcPr>
          <w:p>
            <w:pPr>
              <w:pBdr/>
              <w:spacing w:after="40" w:before="40" w:line="288" w:lineRule="auto"/>
              <w:ind/>
              <w:jc w:val="center"/>
              <w:rPr>
                <w:color w:val="000000"/>
              </w:rPr>
            </w:pPr>
            <w:r>
              <w:rPr>
                <w:color w:val="000000" w:themeColor="text1"/>
              </w:rPr>
              <w:t xml:space="preserve">248</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27.500.000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6.820.000.000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t xml:space="preserve">6.820.000.000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tỷ tám trăm hai mươi triệu</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Bdr/>
        <w:shd w:val="nil" w:color="auto"/>
        <w:spacing/>
        <w:ind/>
        <w:rPr>
          <w:lang w:val="vi-VN"/>
        </w:rPr>
      </w:pPr>
      <w:r>
        <w:rPr>
          <w:color w:val="000000" w:themeColor="text1"/>
          <w:highlight w:val="none"/>
          <w:lang w:val="vi-VN"/>
        </w:rPr>
        <w:br w:type="page" w:clear="all"/>
      </w:r>
      <w:r>
        <w:rPr>
          <w:color w:val="000000" w:themeColor="text1"/>
          <w:highlight w:val="none"/>
          <w:lang w:val="vi-VN"/>
        </w:rPr>
      </w:r>
      <w:r>
        <w:rPr>
          <w:lang w:val="vi-VN"/>
        </w:rPr>
      </w:r>
    </w:p>
    <w:p>
      <w:pPr>
        <w:pStyle w:val="1027"/>
        <w:pBdr/>
        <w:tabs>
          <w:tab w:val="left" w:leader="none" w:pos="993"/>
        </w:tabs>
        <w:spacing w:after="120" w:before="120" w:line="288" w:lineRule="auto"/>
        <w:ind w:left="0"/>
        <w:jc w:val="both"/>
        <w:rPr>
          <w:color w:val="000000" w:themeColor="text1"/>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275/2026/0241/VFI-CT.48.A</w:t>
      </w:r>
      <w:r>
        <w:rPr>
          <w:color w:val="ff0000"/>
          <w:lang w:val="vi-VN"/>
        </w:rPr>
        <w:t xml:space="preserve"> </w:t>
      </w:r>
      <w:r>
        <w:rPr>
          <w:color w:val="000000" w:themeColor="text1"/>
        </w:rPr>
        <w:t xml:space="preserve">ngày 2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r>
      <w:r>
        <w:rPr>
          <w:color w:val="000000" w:themeColor="text1"/>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275/2026/0241/VFI-BC.48.A</w:t>
      </w:r>
      <w:r>
        <w:rPr>
          <w:i/>
          <w:lang w:val="pt-BR"/>
        </w:rPr>
        <w:t xml:space="preserve"> </w:t>
      </w:r>
      <w:r>
        <w:rPr>
          <w:i/>
          <w:lang w:val="pt-BR"/>
        </w:rPr>
        <w:t xml:space="preserve">2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434353"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861193145" name="" descr=""/>
                              <pic:cNvPicPr/>
                              <pic:nvPr/>
                            </pic:nvPicPr>
                            <pic:blipFill rotWithShape="1">
                              <a:blip r:embed="rId19"/>
                              <a:stretch/>
                            </pic:blipFill>
                            <pic:spPr bwMode="auto">
                              <a:xfrm>
                                <a:off x="0" y="0"/>
                                <a:ext cx="1434352"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94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99.22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9.22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9.22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9.22pt;height:150.0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2530078"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2146098054" name="" descr=""/>
                              <pic:cNvPicPr/>
                              <pic:nvPr/>
                            </pic:nvPicPr>
                            <pic:blipFill rotWithShape="1">
                              <a:blip r:embed="rId24"/>
                              <a:stretch/>
                            </pic:blipFill>
                            <pic:spPr bwMode="auto">
                              <a:xfrm>
                                <a:off x="0" y="0"/>
                                <a:ext cx="2530077"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9.22pt;height:150.00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275/2026/0241/VFI-BC.48.A</w:t>
      </w:r>
      <w:r>
        <w:rPr>
          <w:i/>
          <w:lang w:val="pt-BR"/>
        </w:rPr>
        <w:t xml:space="preserve"> </w:t>
      </w:r>
      <w:r>
        <w:rPr>
          <w:i/>
          <w:lang w:val="pt-BR"/>
        </w:rPr>
        <w:t xml:space="preserve">2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bCs/>
          <w:i/>
          <w:highlight w:val="none"/>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bCs/>
          <w:i/>
          <w:highlight w:val="none"/>
          <w:lang w:val="pt-BR"/>
        </w:rPr>
      </w:r>
    </w:p>
    <w:p>
      <w:pPr>
        <w:pBdr/>
        <w:spacing w:after="120"/>
        <w:ind/>
        <w:jc w:val="center"/>
        <w:rPr>
          <w:bCs/>
          <w:i/>
          <w:lang w:val="pt-BR"/>
        </w:rPr>
      </w:pPr>
      <w:r>
        <w:rPr>
          <w:i/>
          <w:highlight w:val="none"/>
          <w:lang w:val="pt-BR" w:bidi="pt-BR"/>
        </w:rPr>
      </w:r>
      <w:r>
        <mc:AlternateContent>
          <mc:Choice Requires="wpg">
            <w:drawing>
              <wp:inline xmlns:wp="http://schemas.openxmlformats.org/drawingml/2006/wordprocessingDrawing" distT="0" distB="0" distL="0" distR="0">
                <wp:extent cx="6048375" cy="657309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746512" name=""/>
                        <pic:cNvPicPr>
                          <a:picLocks noChangeAspect="1"/>
                        </pic:cNvPicPr>
                        <pic:nvPr/>
                      </pic:nvPicPr>
                      <pic:blipFill rotWithShape="1">
                        <a:blip r:embed="rId25"/>
                        <a:stretch/>
                      </pic:blipFill>
                      <pic:spPr bwMode="auto">
                        <a:xfrm>
                          <a:off x="0" y="0"/>
                          <a:ext cx="6048374" cy="65730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517.57pt;mso-wrap-distance-left:0.00pt;mso-wrap-distance-top:0.00pt;mso-wrap-distance-right:0.00pt;mso-wrap-distance-bottom:0.00pt;z-index:1;" stroked="false">
                <v:imagedata r:id="rId25" o:title=""/>
                <o:lock v:ext="edit" rotation="t"/>
              </v:shape>
            </w:pict>
          </mc:Fallback>
        </mc:AlternateContent>
      </w:r>
      <w:r>
        <w:rPr>
          <w:i/>
          <w:highlight w:val="none"/>
          <w:lang w:val="pt-BR"/>
        </w:rPr>
      </w:r>
      <w:r>
        <w:rPr>
          <w:bCs/>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b/>
          <w:bCs/>
          <w:lang w:val="pt-BR"/>
        </w:rPr>
      </w:pPr>
      <w:r>
        <w:rPr>
          <w:b/>
          <w:bCs/>
          <w:iCs/>
          <w:lang w:val="pt-BR"/>
        </w:rPr>
      </w:r>
      <w:r>
        <w:rPr>
          <w:b/>
          <w:bCs/>
          <w:iCs/>
          <w:lang w:val="pt-BR"/>
        </w:rPr>
      </w:r>
      <w:r>
        <w:rPr>
          <w:b/>
          <w:bCs/>
          <w:lang w:val="pt-BR"/>
        </w:rPr>
      </w:r>
    </w:p>
    <w:p>
      <w:pPr>
        <w:pBdr/>
        <w:spacing w:after="200" w:line="276" w:lineRule="auto"/>
        <w:ind/>
        <w:rPr>
          <w:b/>
          <w:bCs/>
          <w:iCs/>
          <w:lang w:val="pt-BR"/>
        </w:rPr>
      </w:pPr>
      <w:r>
        <w:rPr>
          <w:b/>
          <w:bCs/>
          <w:iCs/>
          <w:lang w:val="pt-BR"/>
        </w:rPr>
      </w:r>
      <w:r>
        <mc:AlternateContent>
          <mc:Choice Requires="wpg">
            <w:drawing>
              <wp:inline xmlns:wp="http://schemas.openxmlformats.org/drawingml/2006/wordprocessingDrawing" distT="0" distB="0" distL="0" distR="0">
                <wp:extent cx="6048375" cy="5595737"/>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782780" name=""/>
                        <pic:cNvPicPr>
                          <a:picLocks noChangeAspect="1"/>
                        </pic:cNvPicPr>
                        <pic:nvPr/>
                      </pic:nvPicPr>
                      <pic:blipFill rotWithShape="1">
                        <a:blip r:embed="rId26"/>
                        <a:stretch/>
                      </pic:blipFill>
                      <pic:spPr bwMode="auto">
                        <a:xfrm>
                          <a:off x="0" y="0"/>
                          <a:ext cx="6048374" cy="55957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440.61pt;mso-wrap-distance-left:0.00pt;mso-wrap-distance-top:0.00pt;mso-wrap-distance-right:0.00pt;mso-wrap-distance-bottom:0.00pt;z-index:1;" stroked="false">
                <v:imagedata r:id="rId26" o:title=""/>
                <o:lock v:ext="edit" rotation="t"/>
              </v:shape>
            </w:pict>
          </mc:Fallback>
        </mc:AlternateContent>
      </w:r>
      <w:r>
        <w:rPr>
          <w:b/>
          <w:bCs/>
          <w:iCs/>
          <w:lang w:val="pt-BR"/>
        </w:rPr>
      </w:r>
      <w:r>
        <w:rPr>
          <w:b/>
          <w:bCs/>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Phạm Thị Dung</w:t>
            </w:r>
            <w:r>
              <w:rPr>
                <w:b/>
                <w:bCs/>
              </w:rPr>
            </w:r>
            <w:r>
              <w:rPr>
                <w:b/>
                <w:bCs/>
              </w:rP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664246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980250" name=""/>
                        <pic:cNvPicPr>
                          <a:picLocks noChangeAspect="1"/>
                        </pic:cNvPicPr>
                        <pic:nvPr/>
                      </pic:nvPicPr>
                      <pic:blipFill rotWithShape="1">
                        <a:blip r:embed="rId27"/>
                        <a:stretch/>
                      </pic:blipFill>
                      <pic:spPr bwMode="auto">
                        <a:xfrm>
                          <a:off x="0" y="0"/>
                          <a:ext cx="6048374" cy="66424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523.03pt;mso-wrap-distance-left:0.00pt;mso-wrap-distance-top:0.00pt;mso-wrap-distance-right:0.00pt;mso-wrap-distance-bottom:0.00pt;z-index:1;" stroked="false">
                <v:imagedata r:id="rId27"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Phạm Thị Dung</w:t>
            </w:r>
            <w:r>
              <w:rPr>
                <w:b/>
                <w:bCs/>
              </w:rPr>
            </w:r>
            <w:r>
              <w:rPr>
                <w:b/>
                <w:bCs/>
              </w:rPr>
            </w:r>
          </w:p>
        </w:tc>
      </w:tr>
    </w:tbl>
    <w:p>
      <w:pPr>
        <w:pBdr/>
        <w:shd w:val="nil" w:color="auto"/>
        <w:spacing/>
        <w:ind/>
        <w:rPr>
          <w:lang w:val="pt-BR"/>
        </w:rPr>
      </w:pPr>
      <w:r>
        <w:rPr>
          <w:iCs/>
          <w:lang w:val="pt-BR"/>
        </w:rPr>
        <w:br w:type="page" w:clear="all"/>
      </w:r>
      <w:r>
        <w:rPr>
          <w:iCs/>
          <w:lang w:val="pt-BR"/>
        </w:rPr>
      </w:r>
      <w:r>
        <w:rPr>
          <w:lang w:val="pt-BR"/>
        </w:rPr>
      </w:r>
    </w:p>
    <w:p>
      <w:pPr>
        <w:pBdr/>
        <w:spacing w:after="200" w:line="276" w:lineRule="auto"/>
        <w:ind/>
        <w:jc w:val="center"/>
        <w:rPr>
          <w:b/>
          <w:bCs/>
          <w:iCs/>
          <w:highlight w:val="none"/>
          <w:lang w:val="pt-BR"/>
        </w:rPr>
      </w:pPr>
      <w:r>
        <w:rPr>
          <w:b/>
          <w:bCs/>
          <w:iCs/>
          <w:lang w:val="pt-BR"/>
        </w:rPr>
        <w:t xml:space="preserve">GIẤY CHỨNG NHẬN QSDĐ</w:t>
      </w:r>
      <w:r>
        <w:rPr>
          <w:b/>
          <w:bCs/>
          <w:iCs/>
        </w:rPr>
      </w:r>
      <w:r>
        <w:rPr>
          <w:b/>
          <w:bCs/>
          <w:iCs/>
          <w:highlight w:val="none"/>
          <w:lang w:val="pt-BR"/>
        </w:rPr>
      </w:r>
    </w:p>
    <w:p>
      <w:pPr>
        <w:pBdr/>
        <w:spacing w:after="200" w:line="276" w:lineRule="auto"/>
        <w:ind/>
        <w:jc w:val="center"/>
        <w:rPr>
          <w:b/>
          <w:bCs/>
          <w:highlight w:val="none"/>
          <w:lang w:val="pt-BR"/>
        </w:rPr>
      </w:pPr>
      <w:r>
        <w:rPr>
          <w:b/>
          <w:bCs/>
          <w:iCs/>
          <w:highlight w:val="none"/>
          <w:lang w:val="pt-BR"/>
        </w:rPr>
      </w:r>
      <w:r>
        <w:rPr>
          <w:b/>
          <w:bCs/>
          <w:iCs/>
          <w:highlight w:val="none"/>
          <w:lang w:val="pt-BR"/>
        </w:rPr>
        <mc:AlternateContent>
          <mc:Choice Requires="wpg">
            <w:drawing>
              <wp:inline xmlns:wp="http://schemas.openxmlformats.org/drawingml/2006/wordprocessingDrawing" distT="0" distB="0" distL="0" distR="0">
                <wp:extent cx="4456432" cy="594191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743477" name=""/>
                        <pic:cNvPicPr>
                          <a:picLocks noChangeAspect="1"/>
                        </pic:cNvPicPr>
                        <pic:nvPr/>
                      </pic:nvPicPr>
                      <pic:blipFill rotWithShape="1">
                        <a:blip r:embed="rId28"/>
                        <a:stretch/>
                      </pic:blipFill>
                      <pic:spPr bwMode="auto">
                        <a:xfrm rot="5399977" flipH="0" flipV="0">
                          <a:off x="0" y="0"/>
                          <a:ext cx="4456432" cy="59419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50.90pt;height:467.87pt;mso-wrap-distance-left:0.00pt;mso-wrap-distance-top:0.00pt;mso-wrap-distance-right:0.00pt;mso-wrap-distance-bottom:0.00pt;rotation:89;z-index:1;" stroked="false">
                <v:imagedata r:id="rId28" o:title=""/>
                <o:lock v:ext="edit" rotation="t"/>
              </v:shape>
            </w:pict>
          </mc:Fallback>
        </mc:AlternateContent>
      </w:r>
      <w:r>
        <w:rPr>
          <w:b/>
          <w:bCs/>
        </w:rPr>
      </w:r>
      <w:r>
        <w:rPr>
          <w:b/>
          <w:bCs/>
          <w:highlight w:val="none"/>
          <w:lang w:val="pt-BR"/>
        </w:rPr>
      </w:r>
    </w:p>
    <w:p>
      <w:pPr>
        <w:pBdr/>
        <w:spacing w:after="200" w:line="276" w:lineRule="auto"/>
        <w:ind/>
        <w:jc w:val="center"/>
        <w:rPr>
          <w:b/>
          <w:bCs/>
        </w:rPr>
      </w:pPr>
      <w:r>
        <w:rPr>
          <w:b/>
          <w:bCs/>
        </w:rPr>
      </w:r>
      <w:r>
        <w:rPr>
          <w:b/>
          <w:bCs/>
          <w:iCs/>
          <w:highlight w:val="none"/>
          <w:lang w:val="pt-BR"/>
        </w:rPr>
        <mc:AlternateContent>
          <mc:Choice Requires="wpg">
            <w:drawing>
              <wp:inline xmlns:wp="http://schemas.openxmlformats.org/drawingml/2006/wordprocessingDrawing" distT="0" distB="0" distL="0" distR="0">
                <wp:extent cx="6048375" cy="424153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103613" name=""/>
                        <pic:cNvPicPr>
                          <a:picLocks noChangeAspect="1"/>
                        </pic:cNvPicPr>
                        <pic:nvPr/>
                      </pic:nvPicPr>
                      <pic:blipFill rotWithShape="1">
                        <a:blip r:embed="rId29"/>
                        <a:srcRect l="0" t="0" r="0" b="6497"/>
                        <a:stretch/>
                      </pic:blipFill>
                      <pic:spPr bwMode="auto">
                        <a:xfrm flipH="0" flipV="0">
                          <a:off x="0" y="0"/>
                          <a:ext cx="6048374" cy="42415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333.98pt;mso-wrap-distance-left:0.00pt;mso-wrap-distance-top:0.00pt;mso-wrap-distance-right:0.00pt;mso-wrap-distance-bottom:0.00pt;z-index:1;" stroked="false">
                <v:imagedata r:id="rId29" o:title="" croptop="0f" cropleft="0f" cropbottom="4258f" cropright="0f"/>
                <o:lock v:ext="edit" rotation="t"/>
              </v:shape>
            </w:pict>
          </mc:Fallback>
        </mc:AlternateContent>
      </w:r>
      <w:r>
        <w:rPr>
          <w:b/>
          <w:bCs/>
        </w:rPr>
      </w:r>
      <w:r>
        <w:rPr>
          <w:b/>
          <w:bCs/>
        </w:rPr>
      </w:r>
    </w:p>
    <w:p>
      <w:pPr>
        <w:pBdr/>
        <w:spacing w:after="200" w:line="276" w:lineRule="auto"/>
        <w:ind/>
        <w:jc w:val="center"/>
        <w:rPr>
          <w:b/>
          <w:bCs/>
        </w:rPr>
      </w:pPr>
      <w:r>
        <w:rPr>
          <w:b/>
          <w:bCs/>
        </w:rPr>
      </w:r>
      <w:r>
        <w:rPr>
          <w:b/>
          <w:bCs/>
        </w:rPr>
        <w:t xml:space="preserve">BIÊN BẢN KHẢO SÁT</w:t>
      </w:r>
      <w:r>
        <w:rPr>
          <w:b/>
          <w:bCs/>
        </w:rPr>
      </w:r>
      <w:r>
        <w:rPr>
          <w:b/>
          <w:bCs/>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5971013" cy="8119603"/>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681190" name=""/>
                        <pic:cNvPicPr>
                          <a:picLocks noChangeAspect="1"/>
                        </pic:cNvPicPr>
                        <pic:nvPr/>
                      </pic:nvPicPr>
                      <pic:blipFill rotWithShape="1">
                        <a:blip r:embed="rId30"/>
                        <a:srcRect l="0" t="7406" r="0" b="16367"/>
                        <a:stretch/>
                      </pic:blipFill>
                      <pic:spPr bwMode="auto">
                        <a:xfrm flipH="0" flipV="0">
                          <a:off x="0" y="0"/>
                          <a:ext cx="5971013" cy="81196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0.16pt;height:639.34pt;mso-wrap-distance-left:0.00pt;mso-wrap-distance-top:0.00pt;mso-wrap-distance-right:0.00pt;mso-wrap-distance-bottom:0.00pt;z-index:1;" stroked="false">
                <v:imagedata r:id="rId30" o:title="" croptop="4854f" cropleft="0f" cropbottom="10726f" cropright="0f"/>
                <o:lock v:ext="edit" rotation="t"/>
              </v:shape>
            </w:pict>
          </mc:Fallback>
        </mc:AlternateContent>
      </w:r>
      <w:r>
        <w:rPr>
          <w:b/>
          <w:bCs/>
          <w:iCs/>
          <w:highlight w:val="none"/>
          <w:lang w:val="pt-BR"/>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68541E2"/>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
      <w:numFmt w:val="bullet"/>
      <w:pPr>
        <w:pBdr/>
        <w:spacing/>
        <w:ind w:hanging="360" w:left="1440"/>
      </w:pPr>
      <w:rPr>
        <w:rFonts w:hint="default" w:ascii="Symbol" w:hAnsi="Symbol" w:eastAsia="Symbol" w:cs="Symbol"/>
      </w:rPr>
      <w:start w:val="1"/>
      <w:suff w:val="tab"/>
    </w:lvl>
    <w:lvl w:ilvl="2">
      <w:isLgl w:val="false"/>
      <w:lvlJc w:val="left"/>
      <w:lvlText w:val=""/>
      <w:numFmt w:val="bullet"/>
      <w:pPr>
        <w:pBdr/>
        <w:spacing/>
        <w:ind w:hanging="360" w:left="2160"/>
      </w:pPr>
      <w:rPr>
        <w:rFonts w:hint="default" w:ascii="Symbol" w:hAnsi="Symbol" w:eastAsia="Symbol" w:cs="Symbol"/>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
      <w:numFmt w:val="bullet"/>
      <w:pPr>
        <w:pBdr/>
        <w:spacing/>
        <w:ind w:hanging="360" w:left="3600"/>
      </w:pPr>
      <w:rPr>
        <w:rFonts w:hint="default" w:ascii="Symbol" w:hAnsi="Symbol" w:eastAsia="Symbol" w:cs="Symbol"/>
      </w:rPr>
      <w:start w:val="1"/>
      <w:suff w:val="tab"/>
    </w:lvl>
    <w:lvl w:ilvl="5">
      <w:isLgl w:val="false"/>
      <w:lvlJc w:val="left"/>
      <w:lvlText w:val=""/>
      <w:numFmt w:val="bullet"/>
      <w:pPr>
        <w:pBdr/>
        <w:spacing/>
        <w:ind w:hanging="360" w:left="4320"/>
      </w:pPr>
      <w:rPr>
        <w:rFonts w:hint="default" w:ascii="Symbol" w:hAnsi="Symbol" w:eastAsia="Symbol" w:cs="Symbol"/>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
      <w:numFmt w:val="bullet"/>
      <w:pPr>
        <w:pBdr/>
        <w:spacing/>
        <w:ind w:hanging="360" w:left="5760"/>
      </w:pPr>
      <w:rPr>
        <w:rFonts w:hint="default" w:ascii="Symbol" w:hAnsi="Symbol" w:eastAsia="Symbol" w:cs="Symbol"/>
      </w:rPr>
      <w:start w:val="1"/>
      <w:suff w:val="tab"/>
    </w:lvl>
    <w:lvl w:ilvl="8">
      <w:isLgl w:val="false"/>
      <w:lvlJc w:val="left"/>
      <w:lvlText w:val=""/>
      <w:numFmt w:val="bullet"/>
      <w:pPr>
        <w:pBdr/>
        <w:spacing/>
        <w:ind w:hanging="360" w:left="6480"/>
      </w:pPr>
      <w:rPr>
        <w:rFonts w:hint="default" w:ascii="Symbol" w:hAnsi="Symbol" w:eastAsia="Symbol" w:cs="Symbol"/>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hyperlink" Target="https://batdongsan.com.vn/ban-dat-duong-21b-xa-phuong-trung-1/ban-lang-chuong-thanh-oai-ha-noi-pr44802731" TargetMode="External"/><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jpg"/><Relationship Id="rId29" Type="http://schemas.openxmlformats.org/officeDocument/2006/relationships/image" Target="media/image14.jpg"/><Relationship Id="rId30" Type="http://schemas.openxmlformats.org/officeDocument/2006/relationships/image" Target="media/image1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274</cp:revision>
  <dcterms:created xsi:type="dcterms:W3CDTF">2025-09-15T09:58:00Z</dcterms:created>
  <dcterms:modified xsi:type="dcterms:W3CDTF">2026-02-02T09:05:02Z</dcterms:modified>
</cp:coreProperties>
</file>