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132760</wp:posOffset>
                </wp:positionH>
                <wp:positionV relativeFrom="paragraph">
                  <wp:posOffset>1279158</wp:posOffset>
                </wp:positionV>
                <wp:extent cx="5467350" cy="349567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95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275/2026/0241/VFI-CT.24.A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Phương Thảo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trên đất tại thửa đất số:149, tờ bản đồ số: 5; có địa chỉ: Số 48 (Số cũ: 89), ngõ Hòa Bình, phố Khâm Thiên, phường Văn Miếu - Quốc Tử Giám, thành phố Hà Nội theo Giấy chứng </w:t>
                            </w:r>
                            <w:r>
                              <w:rPr>
                                <w:color w:val="000000"/>
                              </w:rPr>
                              <w:t xml:space="preserve">nhận quyền sử dụng đất, quyền sở hữu tài sản gắn liền với đất số AA05678453, số vào sổ cấp GCN CN6149 do Chi nhánh văn phòng đăng ký đất đai Hà Nội khu vực Ba Đình – Hoàn Kiếm – Đống Đa cấp ngày 14/01/2026 cho ông Hoàng Anh Tú và bà Nguyễn Thị Phương Thảo.</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0.45pt;mso-position-horizontal:absolute;mso-position-vertical-relative:text;margin-top:100.72pt;mso-position-vertical:absolute;width:430.50pt;height:275.2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275/2026/0241/VFI-CT.24.A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Phương Thảo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trên đất tại thửa đất số:149, tờ bản đồ số: 5; có địa chỉ: Số 48 (Số cũ: 89), ngõ Hòa Bình, phố Khâm Thiên, phường Văn Miếu - Quốc Tử Giám, thành phố Hà Nội theo Giấy chứng </w:t>
                      </w:r>
                      <w:r>
                        <w:rPr>
                          <w:color w:val="000000"/>
                        </w:rPr>
                        <w:t xml:space="preserve">nhận quyền sử dụng đất, quyền sở hữu tài sản gắn liền với đất số AA05678453, số vào sổ cấp GCN CN6149 do Chi nhánh văn phòng đăng ký đất đai Hà Nội khu vực Ba Đình – Hoàn Kiếm – Đống Đa cấp ngày 14/01/2026 cho ông Hoàng Anh Tú và bà Nguyễn Thị Phương Thảo.</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18" w:type="dxa"/>
        <w:tblBorders/>
        <w:tblLayout w:type="fixed"/>
        <w:tblLook w:val="04A0" w:firstRow="1" w:lastRow="0" w:firstColumn="1" w:lastColumn="0" w:noHBand="0" w:noVBand="1"/>
      </w:tblPr>
      <w:tblGrid>
        <w:gridCol w:w="29"/>
        <w:gridCol w:w="1789"/>
        <w:gridCol w:w="1470"/>
        <w:gridCol w:w="6630"/>
      </w:tblGrid>
      <w:tr>
        <w:trPr>
          <w:trHeight w:val="1152"/>
        </w:trPr>
        <w:tc>
          <w:tcPr>
            <w:gridSpan w:val="2"/>
            <w:tcBorders/>
            <w:tcW w:w="181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260"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275/2026/0241/VFI-CT.24.A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630"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02 tháng 02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Phương Thảo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275/2026/0241/VFI-HĐTĐ.24.A</w:t>
      </w:r>
      <w:r>
        <w:rPr>
          <w:spacing w:val="-4"/>
          <w:lang w:val="vi-VN"/>
        </w:rPr>
        <w:t xml:space="preserve"> ký ngày </w:t>
      </w:r>
      <w:r>
        <w:rPr>
          <w:color w:val="000000" w:themeColor="text1"/>
          <w:spacing w:val="-4"/>
        </w:rPr>
        <w:t xml:space="preserve">02 tháng 02 năm 2026</w:t>
      </w:r>
      <w:r>
        <w:rPr>
          <w:spacing w:val="-4"/>
          <w:lang w:val="vi-VN"/>
        </w:rPr>
        <w:t xml:space="preserve"> </w:t>
      </w:r>
      <w:r>
        <w:rPr>
          <w:spacing w:val="-4"/>
          <w:lang w:val="vi-VN"/>
        </w:rPr>
        <w:t xml:space="preserve">giữa </w:t>
      </w:r>
      <w:r>
        <w:rPr>
          <w:color w:val="000000" w:themeColor="text1"/>
          <w:spacing w:val="-4"/>
        </w:rPr>
        <w:t xml:space="preserve">Bà Nguyễn Thị Phương Thảo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275/2026/0241/VFI-BC.24.A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02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Nguyễn Thị Phương Thảo</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030183015443</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P302q Tt Du Lịch 809 Giải Phóng, Giáp Bát, Hoàng Mai,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ayout w:type="fixed"/>
        <w:tblLook w:val="04A0" w:firstRow="1" w:lastRow="0" w:firstColumn="1" w:lastColumn="0" w:noHBand="0" w:noVBand="1"/>
      </w:tblPr>
      <w:tblGrid>
        <w:gridCol w:w="1830"/>
        <w:gridCol w:w="216"/>
        <w:gridCol w:w="7627"/>
      </w:tblGrid>
      <w:tr>
        <w:trPr>
          <w:trHeight w:val="20"/>
        </w:trPr>
        <w:tc>
          <w:tcPr>
            <w:tcBorders/>
            <w:tcW w:w="1830"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830"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830"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27"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830"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830"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830"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7"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830"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7"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830"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7" w:type="dxa"/>
            <w:vAlign w:val="center"/>
            <w:textDirection w:val="lrTb"/>
            <w:noWrap w:val="false"/>
          </w:tcPr>
          <w:p>
            <w:pPr>
              <w:pBdr/>
              <w:spacing w:after="40" w:before="40" w:line="276" w:lineRule="auto"/>
              <w:ind/>
              <w:jc w:val="both"/>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công trình xây dựng trên đất tại thửa đất số:149, tờ bản đồ số: 5; có địa chỉ: Số 48 (Số cũ: 89), ngõ Hòa Bình, phố Khâm Thiên, phường Văn Miếu - Quốc Tử Giám, thành phố Hà Nội theo Giấy chứng </w:t>
      </w:r>
      <w:r>
        <w:rPr>
          <w:color w:val="000000" w:themeColor="text1"/>
        </w:rPr>
        <w:t xml:space="preserve">nhận quyền sử dụng đất, quyền sở hữu tài sản gắn liền với đất số AA05678453, số vào sổ cấp GCN CN6149 do Chi nhánh văn phòng đăng ký đất đai Hà Nội khu vực Ba Đình – Hoàn Kiếm – Đống Đa cấp ngày 14/01/2026 cho ông Hoàng Anh Tú và bà Nguyễn Thị Phương Thảo.</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2"/>
        <w:gridCol w:w="3237"/>
        <w:gridCol w:w="1536"/>
        <w:gridCol w:w="1416"/>
        <w:gridCol w:w="883"/>
        <w:gridCol w:w="1716"/>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228"/>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I</w:t>
            </w:r>
            <w:r/>
          </w:p>
        </w:tc>
        <w:tc>
          <w:tcPr>
            <w:gridSpan w:val="4"/>
            <w:tcBorders>
              <w:bottom w:val="single" w:color="000000" w:sz="8" w:space="0"/>
              <w:right w:val="single" w:color="000000" w:sz="8" w:space="0"/>
            </w:tcBorders>
            <w:tcMar>
              <w:left w:w="108" w:type="dxa"/>
              <w:top w:w="0" w:type="dxa"/>
              <w:right w:w="108" w:type="dxa"/>
              <w:bottom w:w="0" w:type="dxa"/>
            </w:tcMar>
            <w:tcW w:w="70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Quyền sử dụng đất và công trình xây dựng trên đất tại thửa đất số:149, tờ bản đồ số: 5; có địa chỉ: Số 48 (Số cũ: 89), ngõ Hòa Bình, phố Khâm Thiên, phường Văn Miếu - Quốc Tử Giám, thành phố Hà Nội theo Giấy chứng nhận quyền sử dụng đất, quyền sở hữu tài s</w:t>
            </w:r>
            <w:r>
              <w:rPr>
                <w:rFonts w:ascii="Times New Roman" w:hAnsi="Times New Roman" w:eastAsia="Times New Roman" w:cs="Times New Roman"/>
                <w:b/>
                <w:color w:val="000000"/>
                <w:sz w:val="24"/>
              </w:rPr>
              <w:t xml:space="preserve">ản gắn liền với đất số AA05678453, số vào sổ cấp GCN CN6149 do Chi nhánh văn phòng đăng ký đất đai Hà Nội khu vực Ba Đình – Hoàn Kiếm – Đống Đa cấp ngày 14/01/2026 cho ông Hoàng Anh Tú và bà Nguyễn Thị Phương Thảo</w:t>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4"/>
              </w:rPr>
              <w:t xml:space="preserve">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53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188.000.000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9.794.800.000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Nhà 5 tầng + tum</w:t>
            </w:r>
            <w:r/>
          </w:p>
        </w:tc>
        <w:tc>
          <w:tcPr>
            <w:tcBorders>
              <w:bottom w:val="single" w:color="000000" w:sz="8" w:space="0"/>
              <w:right w:val="single" w:color="000000" w:sz="8" w:space="0"/>
            </w:tcBorders>
            <w:tcMar>
              <w:left w:w="108" w:type="dxa"/>
              <w:top w:w="0" w:type="dxa"/>
              <w:right w:w="108" w:type="dxa"/>
              <w:bottom w:w="0" w:type="dxa"/>
            </w:tcMar>
            <w:tcW w:w="153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306,50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7.226.545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2.104.189.240</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3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4"/>
              </w:rPr>
              <w:t xml:space="preserve">11.898.989.240</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3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4"/>
              </w:rPr>
              <w:t xml:space="preserve">11.899.000.000</w:t>
            </w:r>
            <w:r/>
          </w:p>
        </w:tc>
      </w:tr>
      <w:tr>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3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i/>
                <w:color w:val="000000"/>
                <w:sz w:val="24"/>
              </w:rPr>
              <w:t xml:space="preserve">(Bằng chữ: Mười một tỷ, tám trăm chín mươi chín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969" w:type="pct"/>
        <w:tblBorders/>
        <w:tblLayout w:type="fixed"/>
        <w:tblLook w:val="01E0" w:firstRow="1" w:lastRow="1" w:firstColumn="1" w:lastColumn="1" w:noHBand="0" w:noVBand="0"/>
      </w:tblPr>
      <w:tblGrid>
        <w:gridCol w:w="4422"/>
        <w:gridCol w:w="5043"/>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043"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82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43"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043"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729"/>
        <w:gridCol w:w="2268"/>
        <w:gridCol w:w="5953"/>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99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275/2026/0241/VFI-CT.24.A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02 tháng 02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275/2026/0241/VFI-CT.24.A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02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1905"/>
        <w:gridCol w:w="283"/>
        <w:gridCol w:w="7593"/>
      </w:tblGrid>
      <w:tr>
        <w:trPr>
          <w:trHeight w:val="20"/>
        </w:trPr>
        <w:tc>
          <w:tcPr>
            <w:tcBorders/>
            <w:tcW w:w="1905"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left"/>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93"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93"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93" w:type="dxa"/>
            <w:vAlign w:val="center"/>
            <w:textDirection w:val="lrTb"/>
            <w:noWrap w:val="false"/>
          </w:tcPr>
          <w:p>
            <w:pPr>
              <w:pBdr/>
              <w:spacing w:after="60" w:before="60" w:line="276" w:lineRule="auto"/>
              <w:ind/>
              <w:jc w:val="both"/>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Nguyễn Thị Phương Thảo</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030183015443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P302q Tt Du Lịch 809 Giải Phóng, Giáp Bát, Hoàng Mai,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color w:val="000000" w:themeColor="text1"/>
                <w:lang w:val="vi-VN"/>
              </w:rPr>
              <w:t xml:space="preserve">275/2026/0241/VFI-HĐTĐ.24.A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trên đất tại thửa đất số:149, tờ bản đồ số: 5; có địa chỉ: Số 48 (Số cũ: 89), ngõ Hòa Bình, phố Khâm Thiên, phường Văn Miếu - Quốc Tử Giám, thành phố Hà Nội theo Giấy chứng </w:t>
            </w:r>
            <w:r>
              <w:rPr>
                <w:bCs/>
                <w:color w:val="000000" w:themeColor="text1"/>
                <w:lang w:val="pt-BR"/>
              </w:rPr>
              <w:t xml:space="preserve">nhận quyền sử dụng đất, quyền sở hữu tài sản gắn liền với đất số AA05678453, số vào sổ cấp GCN CN6149 do Chi nhánh văn phòng đăng ký đất đai Hà Nội khu vực Ba Đình – Hoàn Kiếm – Đống Đa cấp ngày 14/01/2026 cho ông Hoàng Anh Tú và bà Nguyễn Thị Phương Thảo.</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48 (Số cũ: 89), ngõ Hòa Bình, phố Khâm Thiên, phường Văn Miếu - Quốc Tử Giám,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21.020174, 105.835363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pPr>
      <w:r>
        <w:rPr>
          <w:bCs/>
          <w:color w:val="000000" w:themeColor="text1"/>
          <w:lang w:val="pt-BR"/>
        </w:rPr>
      </w:r>
      <w:r>
        <w:rPr>
          <w:bCs/>
          <w:color w:val="000000" w:themeColor="text1"/>
          <w:lang w:val="pt-BR"/>
        </w:rPr>
        <w:t xml:space="preserve">Giấy chứng nhận quyền sử dụng đất, quyền sở hữu tài sả</w:t>
      </w:r>
      <w:r>
        <w:rPr>
          <w:bCs/>
          <w:color w:val="000000" w:themeColor="text1"/>
          <w:lang w:val="pt-BR"/>
        </w:rPr>
        <w:t xml:space="preserve">n gắn liền với đất số AA05678453, số vào sổ cấp GCN CN6149 </w:t>
      </w:r>
      <w:r>
        <w:rPr>
          <w:bCs/>
          <w:color w:val="000000" w:themeColor="text1"/>
          <w:lang w:val="pt-BR"/>
        </w:rPr>
        <w:t xml:space="preserve">tại thửa đất số:149, tờ bản đồ số: 5; có địa chỉ: Số 48 (Số cũ: 89), ngõ Hòa Bình, phố Khâm Thiên, phường Văn Miếu - Quốc Tử Giám, thành phố Hà Nội </w:t>
      </w:r>
      <w:r>
        <w:rPr>
          <w:bCs/>
          <w:color w:val="000000" w:themeColor="text1"/>
          <w:lang w:val="pt-BR"/>
        </w:rPr>
        <w:t xml:space="preserve">do Chi nhánh văn phòng đăng ký đất đai Hà Nội khu vực Ba Đình – Hoàn Kiếm – Đống Đa cấp ngày 14/01/2026 cho ông Hoàng Anh Tú và bà Nguyễn Thị Phương Thảo.</w:t>
      </w:r>
      <w:r>
        <w:rPr>
          <w:bCs/>
          <w:color w:val="000000" w:themeColor="text1"/>
          <w:lang w:val="pt-BR"/>
        </w:rPr>
      </w: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phép xây dựng số 240394/GPXD ngày 12/6/2024 do UBND quận Đống Đa cấp cho ông Nguyễn Mạnh Hùng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thẩm định giá số 275/2026/0241/VFI-BC.24.A ngày 02/02/2026 giữa Nguyễn Thị Phương Thảo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w:t>
      </w:r>
      <w:r>
        <w:rPr>
          <w:rFonts w:ascii="Times New Roman" w:hAnsi="Times New Roman" w:eastAsia="Times New Roman" w:cs="Times New Roman"/>
          <w:color w:val="000000"/>
          <w:sz w:val="24"/>
        </w:rPr>
        <w:t xml:space="preserve">Con số này giảm 14% so với cùng kỳ năm 2024. 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w:t>
      </w:r>
      <w:r>
        <w:rPr>
          <w:rFonts w:ascii="Times New Roman" w:hAnsi="Times New Roman" w:eastAsia="Times New Roman" w:cs="Times New Roman"/>
          <w:color w:val="000000"/>
          <w:sz w:val="24"/>
        </w:rPr>
        <w:t xml:space="preserve"> vẫn đang tiếp diễn. Bên cạnh đó, giá bất động sản Hà Nội đặc biệt là phân khúc chung cư tăng mạnh trong thời gian dài cũng khiến người mua nhà gặp nhiều khó khăn hơn khi muốn tiếp cận sản phẩm.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w:t>
      </w:r>
      <w:r>
        <w:rPr>
          <w:rFonts w:ascii="Times New Roman" w:hAnsi="Times New Roman" w:eastAsia="Times New Roman" w:cs="Times New Roman"/>
          <w:color w:val="000000"/>
          <w:sz w:val="24"/>
        </w:rPr>
        <w:t xml:space="preserve">0%.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 Các dự án mới tập trung ở một số dự án lớn t</w:t>
      </w:r>
      <w:r>
        <w:rPr>
          <w:rFonts w:ascii="Times New Roman" w:hAnsi="Times New Roman" w:eastAsia="Times New Roman" w:cs="Times New Roman"/>
          <w:color w:val="000000"/>
          <w:sz w:val="24"/>
        </w:rPr>
        <w:t xml:space="preserve">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w:t>
      </w:r>
      <w:r>
        <w:rPr>
          <w:rFonts w:ascii="Times New Roman" w:hAnsi="Times New Roman" w:eastAsia="Times New Roman" w:cs="Times New Roman"/>
          <w:color w:val="000000"/>
          <w:sz w:val="24"/>
        </w:rPr>
        <w:t xml:space="preserve">ở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w:t>
      </w:r>
      <w:r>
        <w:rPr>
          <w:rFonts w:ascii="Times New Roman" w:hAnsi="Times New Roman" w:eastAsia="Times New Roman" w:cs="Times New Roman"/>
          <w:color w:val="000000"/>
          <w:sz w:val="24"/>
        </w:rPr>
        <w:t xml:space="preserve">ang tăng lên, nhất là ở nhóm khách hàng mua để ở, thay vì đầu cơ. Đây là chỉ dấu tích cực cho thấy thị trường đang trở lại nền tảng thực – thay vì các cơn “sốt ảo” như giai đoạn 2020–2021. Giá nhà đất, đặc biệt là căn hộ tăng cao trong khi nguồn cung khan </w:t>
      </w:r>
      <w:r>
        <w:rPr>
          <w:rFonts w:ascii="Times New Roman" w:hAnsi="Times New Roman" w:eastAsia="Times New Roman" w:cs="Times New Roman"/>
          <w:color w:val="000000"/>
          <w:sz w:val="24"/>
        </w:rPr>
        <w:t xml:space="preserve">hiếm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w:t>
      </w:r>
      <w:r>
        <w:rPr>
          <w:rFonts w:ascii="Times New Roman" w:hAnsi="Times New Roman" w:eastAsia="Times New Roman" w:cs="Times New Roman"/>
          <w:color w:val="000000"/>
          <w:sz w:val="24"/>
        </w:rPr>
        <w:t xml:space="preserve">lọc – tích lũy, với thanh khoản tập trung tại các phân khúc có giá hợp lý và pháp lý rõ ràng. Tâm lý người mua cải thiện, nhưng vẫn chọn lọc và thận trọng trước khi xuống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thanh lọc đầu tư, các chuyên gia cho rằng năm 2025 sẽ là “bản lề” quan trọng cho chu kỳ phục hồi của BĐS Hà Nội.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w:t>
      </w:r>
      <w:r>
        <w:rPr>
          <w:rFonts w:ascii="Times New Roman" w:hAnsi="Times New Roman" w:eastAsia="Times New Roman" w:cs="Times New Roman"/>
          <w:color w:val="000000"/>
          <w:sz w:val="24"/>
        </w:rPr>
        <w:t xml:space="preserve">hực vẫn đang chiếm tỷ trọng lớn. Người mua hiện nay không còn chạy theo ‘sóng ngắn’ mà có xu hướng lựa chọn sản phẩm rõ pháp lý, chủ đầu tư uy tín và vị trí kết nối tốt,” – ông Troy Griffiths, Phó Tổng giám đốc Savills Việt Nam nhận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Mặc dù thị trường chưa xuất hiện làn sóng đầu tư ồ ạt, nhưng nhà đầu tư F0 và F1 bắt đầu quay trở lại, đặc biệt ở các phân khúc như đất nền ven đô, căn hộ trung cấp có hỗ trợ tài chính. Tuy nhiên, so với giai đoạn 2021–2022, dòng tiền hiện nay tập trung h</w:t>
      </w:r>
      <w:r>
        <w:rPr>
          <w:rFonts w:ascii="Times New Roman" w:hAnsi="Times New Roman" w:eastAsia="Times New Roman" w:cs="Times New Roman"/>
          <w:color w:val="000000"/>
          <w:sz w:val="24"/>
        </w:rPr>
        <w:t xml:space="preserve">ơn, chọn lọc hơn và hướng tới mức sinh lời ổn định thay vì kỳ vọng siêu lợi nhuận.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Chính 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w:t>
      </w:r>
      <w:r>
        <w:rPr>
          <w:rFonts w:ascii="Times New Roman" w:hAnsi="Times New Roman" w:eastAsia="Times New Roman" w:cs="Times New Roman"/>
          <w:color w:val="000000"/>
          <w:sz w:val="24"/>
        </w:rPr>
        <w:t xml:space="preserve">ầu cơ cao. Đồng thời, Luật Đất đai 2024 (có hiệu lực từ 1/1/2025) cũng tạo kỳ vọng giúp tháo gỡ các vướng mắc pháp lý, đẩy nhanh quá trình phê duyệt dự án và cải thiện nguồn cung trong trung hạn.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nhóm chuyên gia tại Hội Môi giới Bất động sản Việt Nam (VARS), thị trường Hà Nội có thể diễn biến theo ba kịch bản chính: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nhất là thị trường ổn định – phục hồi chậm: Nếu chính sách tiếp tục thận trọng, thị trường sẽ tăng trưởng nhẹ và bền vững trong 2–3 năm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hai là thị trường phục hồi mạnh: Trong trường hợp tín dụng được nới lỏng, pháp lý được tháo gỡ triệt để, thị trường có thể phục hồi rõ nét từ 2026.</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w:t>
      </w:r>
      <w:r>
        <w:rPr>
          <w:rFonts w:ascii="Times New Roman" w:hAnsi="Times New Roman" w:eastAsia="Times New Roman" w:cs="Times New Roman"/>
          <w:color w:val="000000"/>
          <w:sz w:val="24"/>
        </w:rPr>
        <w:t xml:space="preserve">và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w:t>
      </w:r>
      <w:r>
        <w:rPr>
          <w:rFonts w:ascii="Times New Roman" w:hAnsi="Times New Roman" w:eastAsia="Times New Roman" w:cs="Times New Roman"/>
          <w:color w:val="000000"/>
          <w:sz w:val="24"/>
        </w:rPr>
        <w:t xml:space="preserve">sự trở lại của nhà đầu tư cá nhân, cùng với các chính sách tháo gỡ pháp lý và tín dụng đang dần tạo dựng nền tảng cho một chu kỳ tăng trưởng bền vững hơn.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https://batdongsan.com.vn/tin-tuc/thi-truong-bat-dong-san-ha-noi-836237)</w:t>
      </w: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trên đất tại thửa đất số:149, tờ bản đồ số: 5; có địa chỉ: Số 48 (Số cũ: 89), ngõ Hòa Bình, phố Khâm Thiên, phường Văn Miếu - Quốc Tử Giám, thành phố Hà Nội theo Giấy chứng </w:t>
            </w:r>
            <w:r>
              <w:rPr>
                <w:b/>
                <w:bCs/>
                <w:color w:val="000000"/>
              </w:rPr>
              <w:t xml:space="preserve">nhận quyền sử dụng đất, quyền sở hữu tài sản gắn liền với đất số AA05678453, số vào sổ cấp GCN CN6149 do Chi nhánh văn phòng đăng ký đất đai Hà Nội khu vực Ba Đình – Hoàn Kiếm – Đống Đa cấp ngày 14/01/2026 cho ông Hoàng Anh Tú và bà Nguyễn Thị Phương Thảo.</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48 (Số cũ: 89), ngõ Hòa Bình, phố Khâm Thiên, phường Văn Miếu - Quốc Tử Giám,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52,1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không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Ngõ Hoà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 Cách đường Khâm Thiên khoảng 120m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 Hướng Tây giáp ngõ Hoà Bình</w:t>
            </w:r>
            <w:r>
              <w:rPr>
                <w:highlight w:val="none"/>
              </w:rPr>
            </w:r>
            <w:r>
              <w:rPr>
                <w:highlight w:val="none"/>
              </w:rPr>
            </w:r>
          </w:p>
          <w:p>
            <w:pPr>
              <w:pBdr/>
              <w:spacing/>
              <w:ind/>
              <w:rPr>
                <w:color w:val="000000" w:themeColor="text1"/>
              </w:rPr>
            </w:pPr>
            <w:r>
              <w:rPr>
                <w:highlight w:val="none"/>
              </w:rPr>
              <w:t xml:space="preserve">- Các hướng còn lại tiếp giáp BĐS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21.020174</w:t>
            </w:r>
            <w:r>
              <w:rPr>
                <w:color w:val="000000"/>
              </w:rPr>
              <w:t xml:space="preserve">, </w:t>
            </w:r>
            <w:r>
              <w:rPr>
                <w:color w:val="000000"/>
              </w:rPr>
              <w:t xml:space="preserve">105.835363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37845" cy="2689528"/>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37845" cy="26895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11.7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6,35</w:t>
            </w:r>
            <w:r>
              <w:rPr>
                <w:color w:val="000000"/>
              </w:rPr>
            </w:r>
            <w:r>
              <w:rPr>
                <w:color w:val="000000"/>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t xml:space="preserve">Công trình xây dựng có thay đổi so với nội dung trong Giấy chứng nhận. CTXD được chứng nhận trên GCN là nhà riêng lẻ có diện tích sử dụng 40m2; C</w:t>
            </w:r>
            <w:r>
              <w:rPr>
                <w:color w:val="000000"/>
              </w:rPr>
              <w:t xml:space="preserve">TXD hiện tại đang là nhà 05 tầng + 01 lửng + tum thang có diện tích xây dựng là 50m2; diện tích sàn xây dựng là 306,m2 theo Giấy phép xây dựng số 240394/GPXD. Do đó, theo yêu cầu của khách hàng tổ thẩm định xác định giá trị công trình xây dựng căn cứ theo </w:t>
            </w:r>
            <w:r>
              <w:rPr>
                <w:color w:val="000000"/>
              </w:rPr>
              <w:t xml:space="preserve">Giấy phép xây dựng số 240394/GPXD</w:t>
            </w:r>
            <w:r>
              <w:rPr>
                <w:color w:val="000000"/>
              </w:rPr>
              <w:t xml:space="preserve">.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ayout w:type="fixed"/>
        <w:tblLook w:val="04A0" w:firstRow="1" w:lastRow="0" w:firstColumn="1" w:lastColumn="0" w:noHBand="0" w:noVBand="1"/>
      </w:tblPr>
      <w:tblGrid>
        <w:gridCol w:w="1167"/>
        <w:gridCol w:w="1663"/>
        <w:gridCol w:w="1854"/>
        <w:gridCol w:w="1824"/>
        <w:gridCol w:w="1371"/>
        <w:gridCol w:w="1818"/>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854"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824"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818"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854" w:type="dxa"/>
            <w:vAlign w:val="center"/>
            <w:textDirection w:val="lrTb"/>
            <w:noWrap w:val="false"/>
          </w:tcPr>
          <w:p>
            <w:pPr>
              <w:pBdr/>
              <w:spacing/>
              <w:ind/>
              <w:jc w:val="center"/>
              <w:rPr/>
            </w:pPr>
            <w:r>
              <w:t xml:space="preserve">Số 48 (Số cũ: 89), ngõ Hòa Bình, phố Khâm Thiên, phường Văn Miếu - Quốc Tử Giám, thành phố Hà Nội. ✔</w:t>
            </w:r>
            <w:r/>
          </w:p>
        </w:tc>
        <w:tc>
          <w:tcPr>
            <w:tcBorders/>
            <w:tcW w:w="1824" w:type="dxa"/>
            <w:vAlign w:val="center"/>
            <w:textDirection w:val="lrTb"/>
            <w:noWrap w:val="false"/>
          </w:tcPr>
          <w:p>
            <w:pPr>
              <w:pBdr/>
              <w:spacing/>
              <w:ind/>
              <w:jc w:val="center"/>
              <w:rPr/>
            </w:pPr>
            <w:r>
              <w:t xml:space="preserve">Số 48 (Số cũ: 89), ngõ Hòa Bình, phố Khâm Thiên, phường Văn Miếu - Quốc Tử Giám, thành phố Hà Nội.</w:t>
            </w:r>
            <w:r>
              <w:t xml:space="preserve">✔</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854" w:type="dxa"/>
            <w:vAlign w:val="center"/>
            <w:textDirection w:val="lrTb"/>
            <w:noWrap w:val="false"/>
          </w:tcPr>
          <w:p>
            <w:pPr>
              <w:pBdr/>
              <w:spacing/>
              <w:ind/>
              <w:jc w:val="center"/>
              <w:rPr/>
            </w:pPr>
            <w:r>
              <w:t xml:space="preserve">Phường Văn Miếu – Quốc Tử Giám, Thành phố Hà Nội</w:t>
            </w:r>
            <w:r/>
          </w:p>
        </w:tc>
        <w:tc>
          <w:tcPr>
            <w:tcBorders/>
            <w:tcW w:w="1824" w:type="dxa"/>
            <w:vAlign w:val="center"/>
            <w:textDirection w:val="lrTb"/>
            <w:noWrap w:val="false"/>
          </w:tcPr>
          <w:p>
            <w:pPr>
              <w:pBdr/>
              <w:spacing/>
              <w:ind/>
              <w:jc w:val="center"/>
              <w:rPr/>
            </w:pPr>
            <w:r>
              <w:t xml:space="preserve">Phường Văn Miếu – Quốc Tử Giám, Thành phố Hà Nội </w:t>
            </w:r>
            <w:r>
              <w:t xml:space="preserve">✔</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854" w:type="dxa"/>
            <w:vAlign w:val="center"/>
            <w:textDirection w:val="lrTb"/>
            <w:noWrap w:val="false"/>
          </w:tcPr>
          <w:p>
            <w:pPr>
              <w:pBdr/>
              <w:spacing/>
              <w:ind/>
              <w:jc w:val="center"/>
              <w:rPr/>
            </w:pPr>
            <w:r>
              <w:t xml:space="preserve">Giấy chứng nhận quyền sử dụng đất, quyền sở hữu tài sản gắn liền với đất</w:t>
            </w:r>
            <w:r>
              <w:t xml:space="preserve">✔</w:t>
            </w:r>
            <w:r/>
          </w:p>
        </w:tc>
        <w:tc>
          <w:tcPr>
            <w:tcBorders/>
            <w:tcW w:w="1824" w:type="dxa"/>
            <w:vAlign w:val="center"/>
            <w:textDirection w:val="lrTb"/>
            <w:noWrap w:val="false"/>
          </w:tcPr>
          <w:p>
            <w:pPr>
              <w:pBdr/>
              <w:spacing/>
              <w:ind/>
              <w:jc w:val="center"/>
              <w:rPr/>
            </w:pPr>
            <w:r>
              <w:t xml:space="preserve">Giấy chứng nhận quyền sử dụng đất, quyền sở hữu tài sản gắn liền với đất</w:t>
            </w:r>
            <w:r>
              <w:t xml:space="preserve">✔</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854" w:type="dxa"/>
            <w:vAlign w:val="center"/>
            <w:textDirection w:val="lrTb"/>
            <w:noWrap w:val="false"/>
          </w:tcPr>
          <w:p>
            <w:pPr>
              <w:pBdr/>
              <w:spacing/>
              <w:ind/>
              <w:jc w:val="center"/>
              <w:rPr/>
            </w:pPr>
            <w:r>
              <w:t xml:space="preserve">Đất ở tại đô thị</w:t>
            </w:r>
            <w:r/>
          </w:p>
        </w:tc>
        <w:tc>
          <w:tcPr>
            <w:tcBorders/>
            <w:tcW w:w="1824"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854" w:type="dxa"/>
            <w:vAlign w:val="center"/>
            <w:textDirection w:val="lrTb"/>
            <w:noWrap w:val="false"/>
          </w:tcPr>
          <w:p>
            <w:pPr>
              <w:pBdr/>
              <w:spacing/>
              <w:ind/>
              <w:jc w:val="center"/>
              <w:rPr/>
            </w:pPr>
            <w:r>
              <w:t xml:space="preserve">Lâu dài</w:t>
            </w:r>
            <w:r/>
          </w:p>
        </w:tc>
        <w:tc>
          <w:tcPr>
            <w:tcBorders/>
            <w:tcW w:w="1824"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854" w:type="dxa"/>
            <w:vAlign w:val="center"/>
            <w:textDirection w:val="lrTb"/>
            <w:noWrap w:val="false"/>
          </w:tcPr>
          <w:p>
            <w:pPr>
              <w:pBdr/>
              <w:spacing/>
              <w:ind/>
              <w:jc w:val="center"/>
              <w:rPr/>
            </w:pPr>
            <w:r>
              <w:t xml:space="preserve">VT3</w:t>
            </w:r>
            <w:r/>
          </w:p>
        </w:tc>
        <w:tc>
          <w:tcPr>
            <w:tcBorders/>
            <w:tcW w:w="1824"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854" w:type="dxa"/>
            <w:vAlign w:val="center"/>
            <w:textDirection w:val="lrTb"/>
            <w:noWrap w:val="false"/>
          </w:tcPr>
          <w:p>
            <w:pPr>
              <w:pBdr/>
              <w:spacing/>
              <w:ind/>
              <w:jc w:val="center"/>
              <w:rPr/>
            </w:pPr>
            <w:r>
              <w:t xml:space="preserve">Đường bê tông ✔</w:t>
            </w:r>
            <w:r/>
          </w:p>
        </w:tc>
        <w:tc>
          <w:tcPr>
            <w:tcBorders/>
            <w:tcW w:w="1824" w:type="dxa"/>
            <w:vAlign w:val="center"/>
            <w:textDirection w:val="lrTb"/>
            <w:noWrap w:val="false"/>
          </w:tcPr>
          <w:p>
            <w:pPr>
              <w:pBdr/>
              <w:spacing/>
              <w:ind/>
              <w:jc w:val="center"/>
              <w:rPr/>
            </w:pPr>
            <w:r>
              <w:t xml:space="preserve">Đường bê tông</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854" w:type="dxa"/>
            <w:vAlign w:val="center"/>
            <w:textDirection w:val="lrTb"/>
            <w:noWrap w:val="false"/>
          </w:tcPr>
          <w:p>
            <w:pPr>
              <w:pBdr/>
              <w:spacing/>
              <w:ind/>
              <w:jc w:val="center"/>
              <w:rPr/>
            </w:pPr>
            <w:r>
              <w:t xml:space="preserve">3m</w:t>
            </w:r>
            <w:r/>
          </w:p>
        </w:tc>
        <w:tc>
          <w:tcPr>
            <w:tcBorders/>
            <w:tcW w:w="1824" w:type="dxa"/>
            <w:vAlign w:val="center"/>
            <w:textDirection w:val="lrTb"/>
            <w:noWrap w:val="false"/>
          </w:tcPr>
          <w:p>
            <w:pPr>
              <w:pBdr/>
              <w:spacing/>
              <w:ind/>
              <w:jc w:val="center"/>
              <w:rPr/>
            </w:pPr>
            <w:r>
              <w:t xml:space="preserve">3m ✔</w:t>
            </w:r>
            <w:r/>
          </w:p>
        </w:tc>
        <w:tc>
          <w:tcPr>
            <w:tcBorders/>
            <w:tcW w:w="1371" w:type="dxa"/>
            <w:vAlign w:val="center"/>
            <w:textDirection w:val="lrTb"/>
            <w:noWrap w:val="false"/>
          </w:tcPr>
          <w:p>
            <w:pPr>
              <w:pBdr/>
              <w:spacing/>
              <w:ind/>
              <w:jc w:val="center"/>
              <w:rPr/>
            </w:pPr>
            <w:r>
              <w:t xml:space="preserve">0</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854" w:type="dxa"/>
            <w:vAlign w:val="center"/>
            <w:textDirection w:val="lrTb"/>
            <w:noWrap w:val="false"/>
          </w:tcPr>
          <w:p>
            <w:pPr>
              <w:pBdr/>
              <w:spacing/>
              <w:ind/>
              <w:jc w:val="center"/>
              <w:rPr/>
            </w:pPr>
            <w:r>
              <w:t xml:space="preserve">Hạ tầng khu dân cư thông thường</w:t>
            </w:r>
            <w:r/>
          </w:p>
        </w:tc>
        <w:tc>
          <w:tcPr>
            <w:tcBorders/>
            <w:tcW w:w="1824"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854" w:type="dxa"/>
            <w:vAlign w:val="center"/>
            <w:textDirection w:val="lrTb"/>
            <w:noWrap w:val="false"/>
          </w:tcPr>
          <w:p>
            <w:pPr>
              <w:pBdr/>
              <w:spacing/>
              <w:ind/>
              <w:jc w:val="center"/>
              <w:rPr/>
            </w:pPr>
            <w:r>
              <w:t xml:space="preserve">Tốt</w:t>
            </w:r>
            <w:r/>
          </w:p>
        </w:tc>
        <w:tc>
          <w:tcPr>
            <w:tcBorders/>
            <w:tcW w:w="1824"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854" w:type="dxa"/>
            <w:vAlign w:val="center"/>
            <w:textDirection w:val="lrTb"/>
            <w:noWrap w:val="false"/>
          </w:tcPr>
          <w:p>
            <w:pPr>
              <w:pBdr/>
              <w:spacing/>
              <w:ind/>
              <w:jc w:val="center"/>
              <w:rPr/>
            </w:pPr>
            <w:r>
              <w:t xml:space="preserve">52,1</w:t>
            </w:r>
            <w:r/>
          </w:p>
        </w:tc>
        <w:tc>
          <w:tcPr>
            <w:tcBorders/>
            <w:tcW w:w="1824" w:type="dxa"/>
            <w:vAlign w:val="center"/>
            <w:textDirection w:val="lrTb"/>
            <w:noWrap w:val="false"/>
          </w:tcPr>
          <w:p>
            <w:pPr>
              <w:pBdr/>
              <w:spacing/>
              <w:ind/>
              <w:jc w:val="center"/>
              <w:rPr/>
            </w:pPr>
            <w:r>
              <w:t xml:space="preserve">52,1 ✔</w:t>
            </w:r>
            <w:r/>
          </w:p>
        </w:tc>
        <w:tc>
          <w:tcPr>
            <w:tcBorders/>
            <w:tcW w:w="1371" w:type="dxa"/>
            <w:vAlign w:val="center"/>
            <w:textDirection w:val="lrTb"/>
            <w:noWrap w:val="false"/>
          </w:tcPr>
          <w:p>
            <w:pPr>
              <w:pBdr/>
              <w:spacing/>
              <w:ind/>
              <w:jc w:val="center"/>
              <w:rPr/>
            </w:pPr>
            <w:r>
              <w:t xml:space="preserve">0</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854" w:type="dxa"/>
            <w:vAlign w:val="center"/>
            <w:textDirection w:val="lrTb"/>
            <w:noWrap w:val="false"/>
          </w:tcPr>
          <w:p>
            <w:pPr>
              <w:pBdr/>
              <w:spacing/>
              <w:ind/>
              <w:jc w:val="center"/>
              <w:rPr/>
            </w:pPr>
            <w:r>
              <w:t xml:space="preserve">6,35 ✔</w:t>
            </w:r>
            <w:r/>
          </w:p>
        </w:tc>
        <w:tc>
          <w:tcPr>
            <w:tcBorders/>
            <w:tcW w:w="1824" w:type="dxa"/>
            <w:vAlign w:val="center"/>
            <w:textDirection w:val="lrTb"/>
            <w:noWrap w:val="false"/>
          </w:tcPr>
          <w:p>
            <w:pPr>
              <w:pBdr/>
              <w:spacing/>
              <w:ind/>
              <w:jc w:val="center"/>
              <w:rPr/>
            </w:pPr>
            <w:r>
              <w:t xml:space="preserve">6,35 </w:t>
            </w:r>
            <w:r>
              <w:t xml:space="preserve">✔</w:t>
            </w:r>
            <w:r/>
          </w:p>
        </w:tc>
        <w:tc>
          <w:tcPr>
            <w:tcBorders/>
            <w:tcW w:w="1371" w:type="dxa"/>
            <w:vAlign w:val="center"/>
            <w:textDirection w:val="lrTb"/>
            <w:noWrap w:val="false"/>
          </w:tcPr>
          <w:p>
            <w:pPr>
              <w:pBdr/>
              <w:spacing/>
              <w:ind/>
              <w:jc w:val="center"/>
              <w:rPr/>
            </w:pPr>
            <w:r>
              <w:t xml:space="preserve">0</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Mặt tiếp giáp</w:t>
            </w:r>
            <w:r/>
          </w:p>
        </w:tc>
        <w:tc>
          <w:tcPr>
            <w:tcBorders/>
            <w:tcW w:w="1854" w:type="dxa"/>
            <w:vAlign w:val="center"/>
            <w:textDirection w:val="lrTb"/>
            <w:noWrap w:val="false"/>
          </w:tcPr>
          <w:p>
            <w:pPr>
              <w:pBdr/>
              <w:spacing/>
              <w:ind/>
              <w:jc w:val="center"/>
              <w:rPr/>
            </w:pPr>
            <w:r>
              <w:t xml:space="preserve">Tiếp giáp 1 mặt tiền</w:t>
            </w:r>
            <w:r/>
          </w:p>
        </w:tc>
        <w:tc>
          <w:tcPr>
            <w:tcBorders/>
            <w:tcW w:w="1824"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Hình dạng thửa đất</w:t>
            </w:r>
            <w:r/>
          </w:p>
        </w:tc>
        <w:tc>
          <w:tcPr>
            <w:tcBorders/>
            <w:tcW w:w="1854" w:type="dxa"/>
            <w:vAlign w:val="center"/>
            <w:textDirection w:val="lrTb"/>
            <w:noWrap w:val="false"/>
          </w:tcPr>
          <w:p>
            <w:pPr>
              <w:pBdr/>
              <w:spacing/>
              <w:ind/>
              <w:jc w:val="center"/>
              <w:rPr/>
            </w:pPr>
            <w:r>
              <w:t xml:space="preserve">Thóp hậu ✔</w:t>
            </w:r>
            <w:r/>
          </w:p>
        </w:tc>
        <w:tc>
          <w:tcPr>
            <w:tcBorders/>
            <w:tcW w:w="1824" w:type="dxa"/>
            <w:vAlign w:val="center"/>
            <w:textDirection w:val="lrTb"/>
            <w:noWrap w:val="false"/>
          </w:tcPr>
          <w:p>
            <w:pPr>
              <w:pBdr/>
              <w:spacing/>
              <w:ind/>
              <w:jc w:val="center"/>
              <w:rPr/>
            </w:pPr>
            <w:r>
              <w:t xml:space="preserve">Thóp hậu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Hướng</w:t>
            </w:r>
            <w:r/>
          </w:p>
        </w:tc>
        <w:tc>
          <w:tcPr>
            <w:tcBorders/>
            <w:tcW w:w="1854" w:type="dxa"/>
            <w:vAlign w:val="center"/>
            <w:textDirection w:val="lrTb"/>
            <w:noWrap w:val="false"/>
          </w:tcPr>
          <w:p>
            <w:pPr>
              <w:pBdr/>
              <w:spacing/>
              <w:ind/>
              <w:jc w:val="center"/>
              <w:rPr/>
            </w:pPr>
            <w:r>
              <w:t xml:space="preserve">Tây ✔</w:t>
            </w:r>
            <w:r/>
          </w:p>
        </w:tc>
        <w:tc>
          <w:tcPr>
            <w:tcBorders/>
            <w:tcW w:w="1824"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Cảnh quan</w:t>
            </w:r>
            <w:r/>
          </w:p>
        </w:tc>
        <w:tc>
          <w:tcPr>
            <w:tcBorders/>
            <w:tcW w:w="1854" w:type="dxa"/>
            <w:vAlign w:val="center"/>
            <w:textDirection w:val="lrTb"/>
            <w:noWrap w:val="false"/>
          </w:tcPr>
          <w:p>
            <w:pPr>
              <w:pBdr/>
              <w:spacing/>
              <w:ind/>
              <w:jc w:val="center"/>
              <w:rPr/>
            </w:pPr>
            <w:r>
              <w:t xml:space="preserve">View khu dân cư ✔</w:t>
            </w:r>
            <w:r/>
          </w:p>
        </w:tc>
        <w:tc>
          <w:tcPr>
            <w:tcBorders/>
            <w:tcW w:w="1824"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Lợi thế kinh doanh</w:t>
            </w:r>
            <w:r/>
          </w:p>
        </w:tc>
        <w:tc>
          <w:tcPr>
            <w:tcBorders/>
            <w:tcW w:w="1854" w:type="dxa"/>
            <w:vAlign w:val="center"/>
            <w:textDirection w:val="lrTb"/>
            <w:noWrap w:val="false"/>
          </w:tcPr>
          <w:p>
            <w:pPr>
              <w:pBdr/>
              <w:spacing/>
              <w:ind/>
              <w:jc w:val="center"/>
              <w:rPr/>
            </w:pPr>
            <w:r>
              <w:t xml:space="preserve">Trung bình ✔</w:t>
            </w:r>
            <w:r/>
          </w:p>
        </w:tc>
        <w:tc>
          <w:tcPr>
            <w:tcBorders/>
            <w:tcW w:w="1824"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Bất lợi thương mại</w:t>
            </w:r>
            <w:r/>
          </w:p>
        </w:tc>
        <w:tc>
          <w:tcPr>
            <w:tcBorders/>
            <w:tcW w:w="1854" w:type="dxa"/>
            <w:vAlign w:val="center"/>
            <w:textDirection w:val="lrTb"/>
            <w:noWrap w:val="false"/>
          </w:tcPr>
          <w:p>
            <w:pPr>
              <w:pBdr/>
              <w:spacing/>
              <w:ind/>
              <w:jc w:val="center"/>
              <w:rPr/>
            </w:pPr>
            <w:r>
              <w:t xml:space="preserve">Không có bất lợi thương mại ✔</w:t>
            </w:r>
            <w:r/>
          </w:p>
        </w:tc>
        <w:tc>
          <w:tcPr>
            <w:tcBorders/>
            <w:tcW w:w="1824"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Khả năng chuyển nhượng</w:t>
            </w:r>
            <w:r/>
          </w:p>
        </w:tc>
        <w:tc>
          <w:tcPr>
            <w:tcBorders/>
            <w:tcW w:w="1854" w:type="dxa"/>
            <w:vAlign w:val="center"/>
            <w:textDirection w:val="lrTb"/>
            <w:noWrap w:val="false"/>
          </w:tcPr>
          <w:p>
            <w:pPr>
              <w:pBdr/>
              <w:spacing/>
              <w:ind/>
              <w:jc w:val="center"/>
              <w:rPr/>
            </w:pPr>
            <w:r>
              <w:t xml:space="preserve">Tốt ✔</w:t>
            </w:r>
            <w:r/>
          </w:p>
        </w:tc>
        <w:tc>
          <w:tcPr>
            <w:tcBorders/>
            <w:tcW w:w="1824"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818"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rPr>
      </w:pPr>
      <w:r>
        <w:rPr>
          <w:rFonts w:ascii="Times New Roman" w:hAnsi="Times New Roman" w:eastAsia="Times New Roman" w:cs="Times New Roman"/>
          <w:color w:val="000000"/>
          <w:sz w:val="24"/>
        </w:rPr>
        <w:t xml:space="preserve">Theo khảo sát thực tế, </w:t>
      </w:r>
      <w:r>
        <w:rPr>
          <w:color w:val="000000"/>
        </w:rPr>
        <w:t xml:space="preserve">Công trình xây dựng có thay đổi so với nội dung trong Giấy chứng nhận. CTXD được chứng </w:t>
      </w:r>
      <w:r>
        <w:rPr>
          <w:rFonts w:ascii="Times New Roman" w:hAnsi="Times New Roman" w:eastAsia="Times New Roman" w:cs="Times New Roman"/>
          <w:color w:val="000000"/>
          <w:sz w:val="24"/>
          <w:szCs w:val="24"/>
        </w:rPr>
        <w:t xml:space="preserve">nhận </w:t>
      </w:r>
      <w:r>
        <w:rPr>
          <w:color w:val="000000"/>
        </w:rPr>
        <w:t xml:space="preserve">trên GCN là nhà riêng lẻ có diện tích sử dụng 40m2; C</w:t>
      </w:r>
      <w:r>
        <w:rPr>
          <w:color w:val="000000"/>
        </w:rPr>
        <w:t xml:space="preserve">TXD hiện tại đang là nhà 05 tầng + 01 lửng + tum thang có diện tích xây dựng là 50m2; diện tích sàn xây dựng là 306,m2 theo Giấy phép xây dựng số 240394/GPXD. Do đó, theo yêu cầu của khách hàng tổ thẩm định xác định giá trị công trình xây dựng căn cứ theo </w:t>
      </w:r>
      <w:r>
        <w:rPr>
          <w:color w:val="000000"/>
        </w:rPr>
        <w:t xml:space="preserve">Giấy phép xây dựng số 240394/GPXD</w:t>
      </w:r>
      <w:r>
        <w:rPr>
          <w:color w:val="000000"/>
        </w:rPr>
        <w:t xml:space="preserve">. </w:t>
      </w:r>
      <w:r>
        <w:rPr>
          <w:rFonts w:ascii="Times New Roman" w:hAnsi="Times New Roman" w:eastAsia="Times New Roman" w:cs="Times New Roman"/>
          <w:color w:val="000000"/>
          <w:sz w:val="24"/>
        </w:rPr>
        <w:t xml:space="preserve">Việc ảnh hưởng của giá trị này (nếu có) do sau thời điểm phát hành chứng thư này do công trình xây</w:t>
      </w:r>
      <w:r>
        <w:rPr>
          <w:rFonts w:ascii="Times New Roman" w:hAnsi="Times New Roman" w:eastAsia="Times New Roman" w:cs="Times New Roman"/>
          <w:color w:val="000000"/>
          <w:sz w:val="24"/>
        </w:rPr>
        <w:t xml:space="preserve"> dựng thay đổi so với </w:t>
      </w:r>
      <w:r>
        <w:rPr>
          <w:color w:val="000000"/>
        </w:rPr>
        <w:t xml:space="preserve">Giấy phép xây dựng số 240394/GPXD</w:t>
      </w:r>
      <w:r>
        <w:rPr>
          <w:rFonts w:ascii="Times New Roman" w:hAnsi="Times New Roman" w:eastAsia="Times New Roman" w:cs="Times New Roman"/>
          <w:color w:val="000000"/>
          <w:sz w:val="24"/>
        </w:rPr>
        <w:t xml:space="preserve"> nằm ngoài phạm vi trách nhiệm của chúng tôi. Khách hàng hoặc bên thứ ba khi sử dụng chứng thư, báo cáo này cần lưu ý, cân nhắc thận trọng và chịu trách nhiệm hoàn toàn trước khi đưa </w:t>
      </w:r>
      <w:r>
        <w:rPr>
          <w:rFonts w:ascii="Times New Roman" w:hAnsi="Times New Roman" w:eastAsia="Times New Roman" w:cs="Times New Roman"/>
          <w:color w:val="000000"/>
          <w:sz w:val="24"/>
        </w:rPr>
        <w:t xml:space="preserve">ra quyết định cuối cùng.</w:t>
      </w:r>
      <w:r>
        <w:rPr>
          <w:color w:val="000000"/>
        </w:rPr>
      </w:r>
      <w:r>
        <w:rPr>
          <w:color w:val="000000"/>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Văn Miếu,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Văn Miếu,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Văn Miếu,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Văn Miếu, Quận Đống Đa, Thành phố Hà Nội</w:t>
            </w:r>
            <w:r>
              <w:rPr>
                <w:sz w:val="22"/>
                <w:szCs w:val="22"/>
              </w:rPr>
            </w:r>
            <w:r>
              <w:rPr>
                <w:sz w:val="22"/>
                <w:szCs w:val="22"/>
              </w:rPr>
            </w:r>
          </w:p>
        </w:tc>
      </w:tr>
      <w:tr>
        <w:trPr>
          <w:trHeight w:val="44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0325.706.336</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0325.706.336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0989924594</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122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ngõ bê tông, cách đường Khâm Thiên khoảng 120m.</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ngõ bê tông, cách đường Khâm Thiên khoảng 120m.</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ngõ bê tông, cách đường Khâm Thiên khoảng 120m.</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ngõ bê tông, cách đường Khâm Thiên khoảng 300m.</w:t>
            </w:r>
            <w:r>
              <w:rPr>
                <w:b w:val="0"/>
                <w:bCs w:val="0"/>
              </w:rPr>
            </w:r>
            <w:r>
              <w:rPr>
                <w:b w:val="0"/>
                <w:bCs w:val="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Đường bê tông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Đường bê tông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Đường bê tông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Đường bê tông</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52,1</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23</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33</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41,1</w:t>
            </w:r>
            <w:r>
              <w:rPr>
                <w:b w:val="0"/>
                <w:bCs w:val="0"/>
              </w:rPr>
            </w:r>
            <w:r>
              <w:rPr>
                <w:b w:val="0"/>
                <w:bCs w:val="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6,35</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3,2</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3,2</w:t>
            </w:r>
            <w:r>
              <w:rPr>
                <w:b w:val="0"/>
                <w:bCs w:val="0"/>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4,36</w:t>
            </w:r>
            <w:r>
              <w:rPr>
                <w:b w:val="0"/>
                <w:bCs w:val="0"/>
              </w:rPr>
            </w:r>
            <w:r>
              <w:rPr>
                <w:b w:val="0"/>
                <w:bCs w:val="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Bị che khuất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7.830.000.000</w:t>
            </w:r>
            <w:r>
              <w:rPr>
                <w:color w:val="000000"/>
                <w:sz w:val="22"/>
                <w:szCs w:val="22"/>
              </w:rPr>
            </w:r>
            <w:r>
              <w:rPr>
                <w:color w:val="000000"/>
                <w:sz w:val="22"/>
                <w:szCs w:val="22"/>
              </w:rPr>
            </w:r>
          </w:p>
        </w:tc>
      </w:tr>
      <w:tr>
        <w:trPr>
          <w:trHeight w:val="12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164,4</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713.889.180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819.420.624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892.982.248</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7.759.665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7.759.665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7.759.665</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4.551.110.820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6.605.579.376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6.937.017.752</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197.874.383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200.169.072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168.783.887</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4.551.110.820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6.605.579.376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6.937.017.752</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197.874.383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200.169.072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168.783.887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197.874.383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200.169.072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168.783.887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197.874.383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200.169.072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168.783.887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197.874.383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200.169.072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168.783.887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ngõ bê tông, cách đường Khâm Thiên khoảng 120m.</w:t>
            </w:r>
            <w:r>
              <w:rPr>
                <w:b w:val="0"/>
                <w:bCs w:val="0"/>
              </w:rPr>
            </w:r>
            <w:r>
              <w:rPr>
                <w:b w:val="0"/>
                <w:bCs w:val="0"/>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ngõ bê tông, cách đường Khâm Thiên khoảng 120m.</w:t>
            </w:r>
            <w:r>
              <w:rPr>
                <w:b w:val="0"/>
                <w:bCs w:val="0"/>
              </w:rPr>
            </w:r>
            <w:r>
              <w:rPr>
                <w:b w:val="0"/>
                <w:bCs w:val="0"/>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ngõ bê tông, cách đường Khâm Thiên khoảng 120m.</w:t>
            </w:r>
            <w:r>
              <w:rPr>
                <w:b w:val="0"/>
                <w:bCs w:val="0"/>
              </w:rPr>
            </w:r>
            <w:r>
              <w:rPr>
                <w:b w:val="0"/>
                <w:bCs w:val="0"/>
              </w:rPr>
            </w:r>
          </w:p>
        </w:tc>
        <w:tc>
          <w:tcPr>
            <w:shd w:val="clear" w:color="000000" w:fill="ffffff"/>
            <w:tcBorders/>
            <w:tcW w:w="1522"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Tiếp giáp ngõ bê tông, cách đường Khâm Thiên khoảng 300m.</w:t>
            </w:r>
            <w:r>
              <w:rPr>
                <w:b w:val="0"/>
                <w:bCs w:val="0"/>
              </w:rPr>
            </w:r>
            <w:r>
              <w:rPr>
                <w:b w:val="0"/>
                <w:bCs w:val="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197.874.383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200.169.072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168.783.887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197.874.383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200.169.072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168.783.887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16.878.389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197.874.383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200.169.072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185.662.276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2</w:t>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-5.936.231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-10.008.454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8.439.194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191.938.152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190.160.618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194.101.470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191.938.152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190.160.618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194.101.470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-11.872.463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-8.006.763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-5.063.517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180.065.689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182.153.855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189.037.953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11.872.463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12.010.144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6.751.355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191.938.152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194.163.999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195.789.308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191.938.152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194.163.999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195.789.308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Bị che khuất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-9.893.719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-10.008.454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3.375.678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182.044.433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184.155.545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199.164.986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182.044.433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184.155.545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199.164.986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188.454.988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39.574.876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40.033.815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40.508.133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15.829.950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16.013.527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30.381.099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-3,4</w:t>
      </w:r>
      <w:r>
        <w:t xml:space="preserve">% </w:t>
      </w:r>
      <w:r>
        <w:t xml:space="preserve">đến</w:t>
      </w:r>
      <w:r>
        <w:t xml:space="preserve"> </w:t>
      </w:r>
      <w:r>
        <w:t xml:space="preserve"> </w:t>
      </w:r>
      <w:r>
        <w:t xml:space="preserve">5,68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182.044.433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63.715.552</w:t>
            </w:r>
            <w:r>
              <w:rPr>
                <w:color w:val="000000"/>
              </w:rPr>
            </w:r>
            <w:r>
              <w:rPr>
                <w:color w:val="000000"/>
              </w:rPr>
            </w:r>
          </w:p>
        </w:tc>
      </w:tr>
      <w:tr>
        <w:trPr>
          <w:trHeight w:val="359"/>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184.155.545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64.454.441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199.164.986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59.749.496</w:t>
            </w:r>
            <w:r>
              <w:rPr>
                <w:color w:val="000000"/>
              </w:rPr>
            </w:r>
            <w:r>
              <w:rPr>
                <w:color w:val="000000"/>
              </w:rPr>
            </w:r>
          </w:p>
        </w:tc>
      </w:tr>
      <w:tr>
        <w:trPr>
          <w:trHeight w:val="377"/>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187.919.489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188.000.000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188.000.000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right="0" w:hanging="360" w:left="360"/>
        <w:jc w:val="both"/>
        <w:rPr/>
      </w:pPr>
      <w:r>
        <w:rPr>
          <w:rFonts w:ascii="Times New Roman" w:hAnsi="Times New Roman" w:eastAsia="Times New Roman" w:cs="Times New Roman"/>
          <w:b/>
          <w:i/>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cân nhắc và xem xét với mức độ hoàn thiện của công trình xây dựng hiện có, tổ thẩm định nhận thấy đơn giá vận dụng theo Quyết định số 409/QĐ-BXD của Bộ Xây dựng về</w:t>
      </w:r>
      <w:r>
        <w:rPr>
          <w:rFonts w:ascii="Times New Roman" w:hAnsi="Times New Roman" w:eastAsia="Times New Roman" w:cs="Times New Roman"/>
          <w:color w:val="000000"/>
          <w:sz w:val="24"/>
        </w:rPr>
        <w:t xml:space="preserve"> việc công bố suất vốn đầu tư xây dựng và giá xây dựng tổng hợp bộ phận kết cấu công trình năm 2024 là khá phù hợp với thị trường, theo đó: </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rFonts w:ascii="Times New Roman" w:hAnsi="Times New Roman" w:eastAsia="Times New Roman" w:cs="Times New Roman"/>
          <w:sz w:val="24"/>
        </w:rPr>
      </w:pPr>
      <w:r>
        <w:rPr>
          <w:rFonts w:ascii="Times New Roman" w:hAnsi="Times New Roman" w:eastAsia="Times New Roman" w:cs="Times New Roman"/>
          <w:i/>
          <w:color w:val="000000"/>
          <w:sz w:val="24"/>
        </w:rPr>
        <w:t xml:space="preserve">Mã</w:t>
      </w:r>
      <w:r>
        <w:rPr>
          <w:rFonts w:ascii="Times New Roman" w:hAnsi="Times New Roman" w:eastAsia="Times New Roman" w:cs="Times New Roman"/>
          <w:i/>
          <w:iCs/>
          <w:color w:val="000000"/>
          <w:sz w:val="24"/>
          <w:szCs w:val="24"/>
        </w:rPr>
        <w:t xml:space="preserve"> số </w:t>
      </w:r>
      <w:r>
        <w:rPr>
          <w:rFonts w:ascii="Times New Roman" w:hAnsi="Times New Roman" w:eastAsia="Times New Roman" w:cs="Times New Roman"/>
          <w:i/>
          <w:iCs/>
          <w:color w:val="000000"/>
          <w:sz w:val="24"/>
          <w:szCs w:val="24"/>
        </w:rPr>
        <w:t xml:space="preserve">11120.05:</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color w:val="000000"/>
          <w:sz w:val="24"/>
        </w:rPr>
        <w:t xml:space="preserve">Suất vốn xây dựng Nhà từ 4 đến 5 tầng, kết cấu khung chịu lực BTCT; tường bao xây gạch; sàn, mái BTCT đổ tại chỗ, không có tầng hầm - Diện tích xây dựng từ 50 - dưới 70m²</w:t>
      </w:r>
      <w:r>
        <w:rPr>
          <w:rFonts w:ascii="Times New Roman" w:hAnsi="Times New Roman" w:eastAsia="Times New Roman" w:cs="Times New Roman"/>
          <w:i/>
          <w:color w:val="000000"/>
          <w:sz w:val="24"/>
        </w:rPr>
        <w:t xml:space="preserve"> là 8.350.000 đồng/m² (bao gồm VAT); hệ số điều chỉnh Vùng 7 – Hà Nội: 0,952”</w:t>
      </w: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Do đó, Tổ thẩm định ước tính đơn giá xây dựng mới của công trình nhà 4 tầng + tum  hoàn thiện là: </w:t>
      </w:r>
      <w:r>
        <w:rPr>
          <w:rFonts w:ascii="Times New Roman" w:hAnsi="Times New Roman" w:eastAsia="Times New Roman" w:cs="Times New Roman"/>
          <w:b/>
          <w:color w:val="000000"/>
          <w:sz w:val="24"/>
        </w:rPr>
        <w:t xml:space="preserve">8.350.000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color w:val="000000"/>
          <w:sz w:val="24"/>
        </w:rPr>
        <w:t xml:space="preserve">x 0,952/1,1 = 7.226.545 đồng/m².</w:t>
      </w:r>
      <w:r>
        <w:rPr>
          <w:rFonts w:ascii="Times New Roman" w:hAnsi="Times New Roman" w:eastAsia="Times New Roman" w:cs="Times New Roman"/>
          <w:sz w:val="24"/>
        </w:rP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Xác định giá trị hao mòn theo kỹ thuật tuổi đời:</w:t>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color w:val="000000"/>
          <w:spacing w:val="2"/>
          <w:sz w:val="24"/>
        </w:rPr>
        <w:t xml:space="preserve">                   Tỷ lệ CLCL = 1 – Tỷ lệ hao mòn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Vận dụng thời gian trích khấu hao TSCĐ tại Thông tư 45/2013/TT-BTC ngày 25/4/2013của Bộ Tài Chính về việc hướng dẫn chế độ quản lý, sử dụng và trích khấu hao tài sản cố định, kết hợp với khảo sát thông tin thị trường và quan sát hiện trạng thực tế công trì</w:t>
      </w:r>
      <w:r>
        <w:rPr>
          <w:rFonts w:ascii="Times New Roman" w:hAnsi="Times New Roman" w:eastAsia="Times New Roman" w:cs="Times New Roman"/>
          <w:color w:val="000000"/>
          <w:sz w:val="24"/>
        </w:rPr>
        <w:t xml:space="preserve">nh, tổ thẩm định xác định tuổi đời kinh tế của tài sản thẩm định là 40 năm. </w:t>
      </w:r>
      <w:r/>
    </w:p>
    <w:tbl>
      <w:tblPr>
        <w:tblStyle w:val="1039"/>
        <w:tblInd w:w="-5" w:type="dxa"/>
        <w:tblW w:w="48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592"/>
        <w:gridCol w:w="1558"/>
        <w:gridCol w:w="1465"/>
        <w:gridCol w:w="1618"/>
        <w:gridCol w:w="1619"/>
        <w:gridCol w:w="1388"/>
      </w:tblGrid>
      <w:tr>
        <w:trPr>
          <w:trHeight w:val="1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1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rPr/>
            </w:pPr>
            <w:r>
              <w:rPr>
                <w:rFonts w:ascii="Times New Roman" w:hAnsi="Times New Roman" w:eastAsia="Times New Roman" w:cs="Times New Roman"/>
                <w:color w:val="000000"/>
                <w:sz w:val="24"/>
              </w:rPr>
              <w:t xml:space="preserve">Nhà 5 tầng + 01 lửng + tum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2024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5%</w:t>
            </w:r>
            <w:r/>
          </w:p>
        </w:tc>
      </w:tr>
    </w:tbl>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12"/>
        </w:rPr>
        <w:t xml:space="preserve"> </w:t>
      </w:r>
      <w:r/>
    </w:p>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5</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95%.</w:t>
      </w:r>
      <w:r>
        <w:rPr>
          <w:rFonts w:ascii="Times New Roman" w:hAnsi="Times New Roman" w:eastAsia="Times New Roman" w:cs="Times New Roman"/>
          <w:color w:val="000000"/>
          <w:sz w:val="22"/>
        </w:rPr>
        <w:t xml:space="preserve">   </w:t>
      </w: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giá trị của công trình xây dựng trên đất:</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38"/>
        <w:gridCol w:w="1271"/>
        <w:gridCol w:w="1564"/>
        <w:gridCol w:w="1380"/>
        <w:gridCol w:w="1559"/>
        <w:gridCol w:w="1380"/>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 Đơn giá XD mới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80"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5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380"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(3)=1x(2)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b/>
                <w:color w:val="000000"/>
                <w:sz w:val="24"/>
              </w:rPr>
              <w:t xml:space="preserve">(5)=(3)-(4)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38"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CTXD</w:t>
            </w:r>
            <w:r/>
          </w:p>
        </w:tc>
        <w:tc>
          <w:tcPr>
            <w:tcBorders>
              <w:bottom w:val="single" w:color="000000" w:sz="8" w:space="0"/>
              <w:right w:val="single" w:color="000000" w:sz="8" w:space="0"/>
            </w:tcBorders>
            <w:tcMar>
              <w:left w:w="108" w:type="dxa"/>
              <w:top w:w="0" w:type="dxa"/>
              <w:right w:w="108" w:type="dxa"/>
              <w:bottom w:w="0" w:type="dxa"/>
            </w:tcMar>
            <w:tcW w:w="1271" w:type="dxa"/>
            <w:vAlign w:val="top"/>
            <w:textDirection w:val="lrTb"/>
            <w:noWrap/>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 306,5 </w:t>
            </w:r>
            <w:r/>
          </w:p>
        </w:tc>
        <w:tc>
          <w:tcPr>
            <w:tcBorders>
              <w:bottom w:val="single" w:color="000000" w:sz="8" w:space="0"/>
              <w:right w:val="single" w:color="000000" w:sz="8" w:space="0"/>
            </w:tcBorders>
            <w:tcMar>
              <w:left w:w="108" w:type="dxa"/>
              <w:top w:w="0" w:type="dxa"/>
              <w:right w:w="108" w:type="dxa"/>
              <w:bottom w:w="0" w:type="dxa"/>
            </w:tcMar>
            <w:tcW w:w="1564" w:type="dxa"/>
            <w:vAlign w:val="top"/>
            <w:textDirection w:val="lrTb"/>
            <w:noWrap/>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 7.226.545 </w:t>
            </w:r>
            <w:r/>
          </w:p>
        </w:tc>
        <w:tc>
          <w:tcPr>
            <w:tcBorders>
              <w:bottom w:val="single" w:color="000000" w:sz="8" w:space="0"/>
              <w:right w:val="single" w:color="000000" w:sz="8" w:space="0"/>
            </w:tcBorders>
            <w:tcMar>
              <w:left w:w="108" w:type="dxa"/>
              <w:top w:w="0" w:type="dxa"/>
              <w:right w:w="108" w:type="dxa"/>
              <w:bottom w:w="0" w:type="dxa"/>
            </w:tcMar>
            <w:tcW w:w="1380"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2.214.936.043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110.746.802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380"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2.104.189.240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r>
    </w:tbl>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2"/>
        <w:gridCol w:w="3237"/>
        <w:gridCol w:w="1536"/>
        <w:gridCol w:w="1416"/>
        <w:gridCol w:w="883"/>
        <w:gridCol w:w="1716"/>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228"/>
        </w:trPr>
        <w:tc>
          <w:tcPr>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88" w:lineRule="auto"/>
              <w:ind w:right="0" w:firstLine="0" w:left="0"/>
              <w:jc w:val="center"/>
              <w:rPr/>
            </w:pPr>
            <w:r>
              <w:rPr>
                <w:rFonts w:ascii="Times New Roman" w:hAnsi="Times New Roman" w:eastAsia="Times New Roman" w:cs="Times New Roman"/>
                <w:b/>
                <w:color w:val="000000"/>
                <w:sz w:val="24"/>
              </w:rPr>
              <w:t xml:space="preserve">I</w:t>
            </w:r>
            <w:r/>
          </w:p>
        </w:tc>
        <w:tc>
          <w:tcPr>
            <w:gridSpan w:val="4"/>
            <w:tcBorders>
              <w:bottom w:val="single" w:color="000000" w:sz="8" w:space="0"/>
              <w:right w:val="single" w:color="000000" w:sz="8" w:space="0"/>
            </w:tcBorders>
            <w:tcMar>
              <w:left w:w="108" w:type="dxa"/>
              <w:top w:w="0" w:type="dxa"/>
              <w:right w:w="108" w:type="dxa"/>
              <w:bottom w:w="0" w:type="dxa"/>
            </w:tcMar>
            <w:tcW w:w="70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88" w:lineRule="auto"/>
              <w:ind w:right="0" w:firstLine="0" w:left="0"/>
              <w:jc w:val="both"/>
              <w:rPr/>
            </w:pPr>
            <w:r>
              <w:rPr>
                <w:rFonts w:ascii="Times New Roman" w:hAnsi="Times New Roman" w:eastAsia="Times New Roman" w:cs="Times New Roman"/>
                <w:b/>
                <w:color w:val="000000"/>
                <w:sz w:val="24"/>
              </w:rPr>
              <w:t xml:space="preserve">Quyền sử dụng đất và công trình xây dựng trên đất tại thửa đất số:149, tờ bản đồ số: 5; có địa chỉ: Số 48 (Số cũ: 89), ngõ Hòa Bình, phố Khâm Thiên, phường Văn Miếu - Quốc Tử Giám, thành phố Hà Nội theo Giấy chứng nhận quyền sử dụng đất, quyền sở hữu tài s</w:t>
            </w:r>
            <w:r>
              <w:rPr>
                <w:rFonts w:ascii="Times New Roman" w:hAnsi="Times New Roman" w:eastAsia="Times New Roman" w:cs="Times New Roman"/>
                <w:b/>
                <w:color w:val="000000"/>
                <w:sz w:val="24"/>
              </w:rPr>
              <w:t xml:space="preserve">ản gắn liền với đất số AA05678453, số vào sổ cấp GCN CN6149 do Chi nhánh văn phòng đăng ký đất đai Hà Nội khu vực Ba Đình – Hoàn Kiếm – Đống Đa cấp ngày 14/01/2026 cho ông Hoàng Anh Tú và bà Nguyễn Thị Phương Thảo</w:t>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88" w:lineRule="auto"/>
              <w:ind w:right="0" w:firstLine="0" w:left="0"/>
              <w:jc w:val="right"/>
              <w:rPr/>
            </w:pPr>
            <w:r>
              <w:rPr>
                <w:rFonts w:ascii="Times New Roman" w:hAnsi="Times New Roman" w:eastAsia="Times New Roman" w:cs="Times New Roman"/>
                <w:b/>
                <w:color w:val="000000"/>
                <w:sz w:val="24"/>
              </w:rPr>
              <w:t xml:space="preserve">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536" w:type="dxa"/>
            <w:vAlign w:val="center"/>
            <w:textDirection w:val="lrTb"/>
            <w:noWrap/>
          </w:tcPr>
          <w:p>
            <w:pPr>
              <w:pBdr>
                <w:top w:val="none" w:color="000000" w:sz="4" w:space="0"/>
                <w:left w:val="none" w:color="000000" w:sz="4" w:space="0"/>
                <w:bottom w:val="none" w:color="000000" w:sz="4" w:space="0"/>
                <w:right w:val="none" w:color="000000" w:sz="4" w:space="0"/>
              </w:pBdr>
              <w:spacing w:after="0" w:line="288" w:lineRule="auto"/>
              <w:ind w:right="0" w:firstLine="0" w:left="0"/>
              <w:jc w:val="center"/>
              <w:rPr/>
            </w:pPr>
            <w:r>
              <w:rPr>
                <w:rFonts w:ascii="Times New Roman" w:hAnsi="Times New Roman" w:eastAsia="Times New Roman" w:cs="Times New Roman"/>
                <w:color w:val="000000"/>
                <w:sz w:val="24"/>
              </w:rPr>
              <w:t xml:space="preserve">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color w:val="000000"/>
                <w:sz w:val="24"/>
              </w:rPr>
              <w:t xml:space="preserve">188.000.000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color w:val="000000"/>
                <w:sz w:val="24"/>
              </w:rPr>
              <w:t xml:space="preserve">9.794.800.000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rPr/>
            </w:pPr>
            <w:r>
              <w:rPr>
                <w:rFonts w:ascii="Times New Roman" w:hAnsi="Times New Roman" w:eastAsia="Times New Roman" w:cs="Times New Roman"/>
                <w:color w:val="000000"/>
                <w:sz w:val="24"/>
              </w:rPr>
              <w:t xml:space="preserve">Nhà 5 tầng + tum</w:t>
            </w:r>
            <w:r/>
          </w:p>
        </w:tc>
        <w:tc>
          <w:tcPr>
            <w:tcBorders>
              <w:bottom w:val="single" w:color="000000" w:sz="8" w:space="0"/>
              <w:right w:val="single" w:color="000000" w:sz="8" w:space="0"/>
            </w:tcBorders>
            <w:tcMar>
              <w:left w:w="108" w:type="dxa"/>
              <w:top w:w="0" w:type="dxa"/>
              <w:right w:w="108" w:type="dxa"/>
              <w:bottom w:w="0" w:type="dxa"/>
            </w:tcMar>
            <w:tcW w:w="1536" w:type="dxa"/>
            <w:vAlign w:val="center"/>
            <w:textDirection w:val="lrTb"/>
            <w:noWrap/>
          </w:tcPr>
          <w:p>
            <w:pPr>
              <w:pBdr>
                <w:top w:val="none" w:color="000000" w:sz="4" w:space="0"/>
                <w:left w:val="none" w:color="000000" w:sz="4" w:space="0"/>
                <w:bottom w:val="none" w:color="000000" w:sz="4" w:space="0"/>
                <w:right w:val="none" w:color="000000" w:sz="4" w:space="0"/>
              </w:pBdr>
              <w:spacing w:after="0" w:line="288" w:lineRule="auto"/>
              <w:ind w:right="0" w:firstLine="0" w:left="0"/>
              <w:jc w:val="center"/>
              <w:rPr/>
            </w:pPr>
            <w:r>
              <w:rPr>
                <w:rFonts w:ascii="Times New Roman" w:hAnsi="Times New Roman" w:eastAsia="Times New Roman" w:cs="Times New Roman"/>
                <w:color w:val="000000"/>
                <w:sz w:val="24"/>
              </w:rPr>
              <w:t xml:space="preserve">306,50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color w:val="000000"/>
                <w:sz w:val="24"/>
              </w:rPr>
              <w:t xml:space="preserve">7.226.545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color w:val="000000"/>
                <w:sz w:val="24"/>
              </w:rPr>
              <w:t xml:space="preserve">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88" w:lineRule="auto"/>
              <w:ind w:right="0" w:firstLine="0" w:left="0"/>
              <w:jc w:val="center"/>
              <w:rPr/>
            </w:pPr>
            <w:r>
              <w:rPr>
                <w:rFonts w:ascii="Times New Roman" w:hAnsi="Times New Roman" w:eastAsia="Times New Roman" w:cs="Times New Roman"/>
                <w:color w:val="000000"/>
                <w:sz w:val="24"/>
              </w:rPr>
              <w:t xml:space="preserve">2.104.189.240</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34" w:type="dxa"/>
            <w:vAlign w:val="center"/>
            <w:textDirection w:val="lrTb"/>
            <w:noWrap/>
          </w:tcPr>
          <w:p>
            <w:pPr>
              <w:pBdr>
                <w:top w:val="none" w:color="000000" w:sz="4" w:space="0"/>
                <w:left w:val="none" w:color="000000" w:sz="4" w:space="0"/>
                <w:bottom w:val="none" w:color="000000" w:sz="4" w:space="0"/>
                <w:right w:val="none" w:color="000000" w:sz="4" w:space="0"/>
              </w:pBdr>
              <w:spacing w:after="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tcPr>
          <w:p>
            <w:pPr>
              <w:pBdr>
                <w:top w:val="none" w:color="000000" w:sz="4" w:space="0"/>
                <w:left w:val="none" w:color="000000" w:sz="4" w:space="0"/>
                <w:bottom w:val="none" w:color="000000" w:sz="4" w:space="0"/>
                <w:right w:val="none" w:color="000000" w:sz="4" w:space="0"/>
              </w:pBdr>
              <w:spacing w:after="0" w:line="288" w:lineRule="auto"/>
              <w:ind w:right="0" w:firstLine="0" w:left="0"/>
              <w:jc w:val="right"/>
              <w:rPr/>
            </w:pPr>
            <w:r>
              <w:rPr>
                <w:rFonts w:ascii="Times New Roman" w:hAnsi="Times New Roman" w:eastAsia="Times New Roman" w:cs="Times New Roman"/>
                <w:b/>
                <w:color w:val="000000"/>
                <w:sz w:val="24"/>
              </w:rPr>
              <w:t xml:space="preserve">11.898.989.240</w:t>
            </w:r>
            <w:r/>
          </w:p>
        </w:tc>
      </w:tr>
      <w:tr>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34" w:type="dxa"/>
            <w:vAlign w:val="center"/>
            <w:textDirection w:val="lrTb"/>
            <w:noWrap/>
          </w:tcPr>
          <w:p>
            <w:pPr>
              <w:pBdr>
                <w:top w:val="none" w:color="000000" w:sz="4" w:space="0"/>
                <w:left w:val="none" w:color="000000" w:sz="4" w:space="0"/>
                <w:bottom w:val="none" w:color="000000" w:sz="4" w:space="0"/>
                <w:right w:val="none" w:color="000000" w:sz="4" w:space="0"/>
              </w:pBdr>
              <w:spacing w:after="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16" w:type="dxa"/>
            <w:vAlign w:val="center"/>
            <w:textDirection w:val="lrTb"/>
            <w:noWrap/>
          </w:tcPr>
          <w:p>
            <w:pPr>
              <w:pBdr>
                <w:top w:val="none" w:color="000000" w:sz="4" w:space="0"/>
                <w:left w:val="none" w:color="000000" w:sz="4" w:space="0"/>
                <w:bottom w:val="none" w:color="000000" w:sz="4" w:space="0"/>
                <w:right w:val="none" w:color="000000" w:sz="4" w:space="0"/>
              </w:pBdr>
              <w:spacing w:after="0" w:line="288" w:lineRule="auto"/>
              <w:ind w:right="0" w:firstLine="0" w:left="0"/>
              <w:jc w:val="right"/>
              <w:rPr/>
            </w:pPr>
            <w:r>
              <w:rPr>
                <w:rFonts w:ascii="Times New Roman" w:hAnsi="Times New Roman" w:eastAsia="Times New Roman" w:cs="Times New Roman"/>
                <w:b/>
                <w:color w:val="000000"/>
                <w:sz w:val="24"/>
              </w:rPr>
              <w:t xml:space="preserve">11.899.000.000</w:t>
            </w:r>
            <w:r/>
          </w:p>
        </w:tc>
      </w:tr>
      <w:tr>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3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88" w:lineRule="auto"/>
              <w:ind w:right="0" w:firstLine="0" w:left="0"/>
              <w:jc w:val="center"/>
              <w:rPr/>
            </w:pPr>
            <w:r>
              <w:rPr>
                <w:rFonts w:ascii="Times New Roman" w:hAnsi="Times New Roman" w:eastAsia="Times New Roman" w:cs="Times New Roman"/>
                <w:b/>
                <w:i/>
                <w:color w:val="000000"/>
                <w:sz w:val="24"/>
              </w:rPr>
              <w:t xml:space="preserve">(Bằng chữ: Mười một tỷ, tám trăm chín mươi chín triệu đồng chẵn ./.)</w:t>
            </w: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rPr>
      </w:pPr>
      <w:r>
        <w:rPr>
          <w:rFonts w:ascii="Times New Roman" w:hAnsi="Times New Roman" w:eastAsia="Times New Roman" w:cs="Times New Roman"/>
          <w:color w:val="000000"/>
          <w:sz w:val="24"/>
        </w:rPr>
        <w:t xml:space="preserve">Theo khảo sát thực tế, </w:t>
      </w:r>
      <w:r>
        <w:rPr>
          <w:color w:val="000000"/>
        </w:rPr>
        <w:t xml:space="preserve">Công trình xây dựng có thay đổi so với nội dung trong Giấy chứng nhận. CTXD được chứng </w:t>
      </w:r>
      <w:r>
        <w:rPr>
          <w:rFonts w:ascii="Times New Roman" w:hAnsi="Times New Roman" w:eastAsia="Times New Roman" w:cs="Times New Roman"/>
          <w:color w:val="000000"/>
          <w:sz w:val="24"/>
          <w:szCs w:val="24"/>
        </w:rPr>
        <w:t xml:space="preserve">nhận </w:t>
      </w:r>
      <w:r>
        <w:rPr>
          <w:color w:val="000000"/>
        </w:rPr>
        <w:t xml:space="preserve">trên GCN là nhà riêng lẻ có diện tích sử dụng 40m2; C</w:t>
      </w:r>
      <w:r>
        <w:rPr>
          <w:color w:val="000000"/>
        </w:rPr>
        <w:t xml:space="preserve">TXD hiện tại đang là nhà 05 tầng + 01 lửng + tum thang có diện tích xây dựng là 50m2; diện tích sàn xây dựng là 306,m2 theo Giấy phép xây dựng số 240394/GPXD. Do đó, theo yêu cầu của khách hàng tổ thẩm định xác định giá trị công trình xây dựng căn cứ theo </w:t>
      </w:r>
      <w:r>
        <w:rPr>
          <w:color w:val="000000"/>
        </w:rPr>
        <w:t xml:space="preserve">Giấy phép xây dựng số 240394/GPXD</w:t>
      </w:r>
      <w:r>
        <w:rPr>
          <w:color w:val="000000"/>
        </w:rPr>
        <w:t xml:space="preserve">. </w:t>
      </w:r>
      <w:r>
        <w:rPr>
          <w:rFonts w:ascii="Times New Roman" w:hAnsi="Times New Roman" w:eastAsia="Times New Roman" w:cs="Times New Roman"/>
          <w:color w:val="000000"/>
          <w:sz w:val="24"/>
        </w:rPr>
        <w:t xml:space="preserve">Việc ảnh hưởng của giá trị này (nếu có) do sau thời điểm phát hành chứng thư này do công trình xây</w:t>
      </w:r>
      <w:r>
        <w:rPr>
          <w:rFonts w:ascii="Times New Roman" w:hAnsi="Times New Roman" w:eastAsia="Times New Roman" w:cs="Times New Roman"/>
          <w:color w:val="000000"/>
          <w:sz w:val="24"/>
        </w:rPr>
        <w:t xml:space="preserve"> dựng thay đổi so với </w:t>
      </w:r>
      <w:r>
        <w:rPr>
          <w:color w:val="000000"/>
        </w:rPr>
        <w:t xml:space="preserve">Giấy phép xây dựng số 240394/GPXD</w:t>
      </w:r>
      <w:r>
        <w:rPr>
          <w:rFonts w:ascii="Times New Roman" w:hAnsi="Times New Roman" w:eastAsia="Times New Roman" w:cs="Times New Roman"/>
          <w:color w:val="000000"/>
          <w:sz w:val="24"/>
        </w:rPr>
        <w:t xml:space="preserve"> nằm ngoài phạm vi trách nhiệm của chúng tôi. Khách hàng hoặc bên thứ ba khi sử dụng chứng thư, báo cáo này cần lưu ý, cân nhắc thận trọng và chịu trách nhiệm hoàn toàn trước khi đưa </w:t>
      </w:r>
      <w:r>
        <w:rPr>
          <w:rFonts w:ascii="Times New Roman" w:hAnsi="Times New Roman" w:eastAsia="Times New Roman" w:cs="Times New Roman"/>
          <w:color w:val="000000"/>
          <w:sz w:val="24"/>
        </w:rPr>
        <w:t xml:space="preserve">ra quyết định cuối cùng.</w:t>
      </w:r>
      <w:r>
        <w:rPr>
          <w:color w:val="000000"/>
        </w:rPr>
      </w:r>
      <w:r>
        <w:rPr>
          <w:color w:val="000000"/>
        </w:rPr>
      </w:r>
    </w:p>
    <w:p>
      <w:pPr>
        <w:pStyle w:val="1035"/>
        <w:numPr>
          <w:ilvl w:val="0"/>
          <w:numId w:val="5"/>
        </w:numPr>
        <w:pBdr/>
        <w:spacing w:after="120" w:before="120" w:line="288" w:lineRule="auto"/>
        <w:ind/>
        <w:jc w:val="both"/>
        <w:rPr>
          <w:lang w:val="vi-VN"/>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rPr>
          <w:highlight w:val="none"/>
          <w:lang w:val="vi-VN"/>
        </w:rPr>
      </w:r>
      <w:r>
        <w:rPr>
          <w:lang w:val="vi-VN"/>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275/2026/0241/VFI-CT.24.A</w:t>
      </w:r>
      <w:r>
        <w:rPr>
          <w:color w:val="ff0000"/>
          <w:lang w:val="vi-VN"/>
        </w:rPr>
        <w:t xml:space="preserve"> </w:t>
      </w:r>
      <w:r>
        <w:rPr>
          <w:color w:val="000000" w:themeColor="text1"/>
        </w:rPr>
        <w:t xml:space="preserve">ngày 02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tbl>
      <w:tblPr>
        <w:tblW w:w="4969" w:type="pct"/>
        <w:tblBorders/>
        <w:tblLayout w:type="fixed"/>
        <w:tblLook w:val="01E0" w:firstRow="1" w:lastRow="1" w:firstColumn="1" w:lastColumn="1" w:noHBand="0" w:noVBand="0"/>
      </w:tblPr>
      <w:tblGrid>
        <w:gridCol w:w="4422"/>
        <w:gridCol w:w="5043"/>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043"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43"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043"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976" w:type="pct"/>
        <w:tblBorders/>
        <w:tblLayout w:type="fixed"/>
        <w:tblLook w:val="01E0" w:firstRow="1" w:lastRow="1" w:firstColumn="1" w:lastColumn="1" w:noHBand="0" w:noVBand="0"/>
      </w:tblPr>
      <w:tblGrid>
        <w:gridCol w:w="4422"/>
        <w:gridCol w:w="5058"/>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5058"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05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5058"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275/2026/0241/VFI-BC.24.A</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62344" cy="37743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2337" name=""/>
                              <pic:cNvPicPr>
                                <a:picLocks noChangeAspect="1"/>
                              </pic:cNvPicPr>
                              <pic:nvPr/>
                            </pic:nvPicPr>
                            <pic:blipFill rotWithShape="1">
                              <a:blip r:embed="rId18"/>
                              <a:stretch/>
                            </pic:blipFill>
                            <pic:spPr bwMode="auto">
                              <a:xfrm flipH="0" flipV="0">
                                <a:off x="0" y="0"/>
                                <a:ext cx="2262344" cy="37743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8.14pt;height:297.1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393821" cy="319176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40416" name=""/>
                              <pic:cNvPicPr>
                                <a:picLocks noChangeAspect="1"/>
                              </pic:cNvPicPr>
                              <pic:nvPr/>
                            </pic:nvPicPr>
                            <pic:blipFill rotWithShape="1">
                              <a:blip r:embed="rId19"/>
                              <a:stretch/>
                            </pic:blipFill>
                            <pic:spPr bwMode="auto">
                              <a:xfrm rot="10799989" flipH="1" flipV="1">
                                <a:off x="0" y="0"/>
                                <a:ext cx="2393820" cy="31917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8.49pt;height:251.32pt;mso-wrap-distance-left:0.00pt;mso-wrap-distance-top:0.00pt;mso-wrap-distance-right:0.00pt;mso-wrap-distance-bottom:0.00pt;rotation:179;flip:xy;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3008317" cy="225623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02283" name=""/>
                              <pic:cNvPicPr>
                                <a:picLocks noChangeAspect="1"/>
                              </pic:cNvPicPr>
                              <pic:nvPr/>
                            </pic:nvPicPr>
                            <pic:blipFill rotWithShape="1">
                              <a:blip r:embed="rId20"/>
                              <a:stretch/>
                            </pic:blipFill>
                            <pic:spPr bwMode="auto">
                              <a:xfrm flipH="0" flipV="0">
                                <a:off x="0" y="0"/>
                                <a:ext cx="3008316" cy="22562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6.88pt;height:177.6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944753" cy="220856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48055" name=""/>
                              <pic:cNvPicPr>
                                <a:picLocks noChangeAspect="1"/>
                              </pic:cNvPicPr>
                              <pic:nvPr/>
                            </pic:nvPicPr>
                            <pic:blipFill rotWithShape="1">
                              <a:blip r:embed="rId21"/>
                              <a:stretch/>
                            </pic:blipFill>
                            <pic:spPr bwMode="auto">
                              <a:xfrm flipH="1" flipV="0">
                                <a:off x="0" y="0"/>
                                <a:ext cx="2944752" cy="22085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87pt;height:173.90pt;mso-wrap-distance-left:0.00pt;mso-wrap-distance-top:0.00pt;mso-wrap-distance-right:0.00pt;mso-wrap-distance-bottom:0.00pt;flip:x;z-index:1;" stroked="false">
                      <v:imagedata r:id="rId21" o:title=""/>
                      <o:lock v:ext="edit" rotation="t"/>
                    </v:shape>
                  </w:pict>
                </mc:Fallback>
              </mc:AlternateContent>
            </w:r>
            <w:r>
              <w:rPr>
                <w:i/>
                <w:lang w:val="pt-BR"/>
              </w:rPr>
            </w:r>
            <w:r>
              <w:rPr>
                <w:i/>
                <w:lang w:val="pt-BR"/>
              </w:rPr>
            </w:r>
          </w:p>
        </w:tc>
      </w:tr>
    </w:tbl>
    <w:p>
      <w:pPr>
        <w:pBdr/>
        <w:spacing/>
        <w:ind/>
        <w:rPr/>
      </w:pPr>
      <w:r>
        <w:br w:type="page" w:clear="all"/>
      </w:r>
      <w:r/>
    </w:p>
    <w:tbl>
      <w:tblPr>
        <w:tblStyle w:val="103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964259" cy="222319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63533" name=""/>
                              <pic:cNvPicPr>
                                <a:picLocks noChangeAspect="1"/>
                              </pic:cNvPicPr>
                              <pic:nvPr/>
                            </pic:nvPicPr>
                            <pic:blipFill rotWithShape="1">
                              <a:blip r:embed="rId22"/>
                              <a:stretch/>
                            </pic:blipFill>
                            <pic:spPr bwMode="auto">
                              <a:xfrm flipH="0" flipV="0">
                                <a:off x="0" y="0"/>
                                <a:ext cx="2964259" cy="22231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3.41pt;height:175.0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325611" cy="310081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324798" name=""/>
                              <pic:cNvPicPr>
                                <a:picLocks noChangeAspect="1"/>
                              </pic:cNvPicPr>
                              <pic:nvPr/>
                            </pic:nvPicPr>
                            <pic:blipFill rotWithShape="1">
                              <a:blip r:embed="rId23"/>
                              <a:stretch/>
                            </pic:blipFill>
                            <pic:spPr bwMode="auto">
                              <a:xfrm flipH="0" flipV="0">
                                <a:off x="0" y="0"/>
                                <a:ext cx="2325611" cy="31008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3.12pt;height:244.1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206247" cy="294166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56802" name=""/>
                              <pic:cNvPicPr>
                                <a:picLocks noChangeAspect="1"/>
                              </pic:cNvPicPr>
                              <pic:nvPr/>
                            </pic:nvPicPr>
                            <pic:blipFill rotWithShape="1">
                              <a:blip r:embed="rId24"/>
                              <a:stretch/>
                            </pic:blipFill>
                            <pic:spPr bwMode="auto">
                              <a:xfrm flipH="0" flipV="0">
                                <a:off x="0" y="0"/>
                                <a:ext cx="2206247" cy="29416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3.72pt;height:231.63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101617" cy="280215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1380" name=""/>
                              <pic:cNvPicPr>
                                <a:picLocks noChangeAspect="1"/>
                              </pic:cNvPicPr>
                              <pic:nvPr/>
                            </pic:nvPicPr>
                            <pic:blipFill rotWithShape="1">
                              <a:blip r:embed="rId25"/>
                              <a:stretch/>
                            </pic:blipFill>
                            <pic:spPr bwMode="auto">
                              <a:xfrm flipH="1" flipV="0">
                                <a:off x="0" y="0"/>
                                <a:ext cx="2101617" cy="2802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5.48pt;height:220.64pt;mso-wrap-distance-left:0.00pt;mso-wrap-distance-top:0.00pt;mso-wrap-distance-right:0.00pt;mso-wrap-distance-bottom:0.00pt;flip:x;z-index:1;" stroked="false">
                      <v:imagedata r:id="rId25"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275/2026/0241/VFI-BC.24.A</w:t>
      </w:r>
      <w:r>
        <w:rPr>
          <w:i/>
          <w:lang w:val="pt-BR"/>
        </w:rPr>
        <w:t xml:space="preserve"> ngày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0325.706.336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Văn Miếu</w:t>
            </w:r>
            <w:r>
              <w:rPr>
                <w:color w:val="000000" w:themeColor="text1"/>
                <w:sz w:val="22"/>
                <w:szCs w:val="22"/>
              </w:rPr>
              <w:t xml:space="preserve">, Quận Đống Đa, Thành phố Hà Nội, khoảng cách ra đường chính Cách đườn Khâm Thiên khoảng 120m, độ rộng đường trước mặt tài sản 2.3m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942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1942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8.9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9043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1904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08.7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0325.706.336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Văn Miếu, Q</w:t>
            </w:r>
            <w:r>
              <w:rPr>
                <w:color w:val="000000" w:themeColor="text1"/>
                <w:sz w:val="22"/>
                <w:szCs w:val="22"/>
              </w:rPr>
              <w:t xml:space="preserve">uận Đống Đa, Thành phố Hà Nội, khoảng cách ra đường chính Cách đường Khâm Thiên khoảng 120m, độ rộng đường trước mặt tài sản 2.51m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45415" cy="2326735"/>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045414" cy="23267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7.28pt;height:183.2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35915" cy="29649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235914" cy="2964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2.28pt;height:233.4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12974"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9129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86.8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0989924594</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(41.1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Văn Miếu, Quận Đống Đa, Thành phố Hà Nội, độ rộng đường trước mặt tài sản 1.381m, Cách phố Khâm Thiên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Bị che khuất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1780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01780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95.1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2407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9240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87.7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821295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821295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6216875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0821295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273</cp:revision>
  <dcterms:created xsi:type="dcterms:W3CDTF">2025-09-15T09:58:00Z</dcterms:created>
  <dcterms:modified xsi:type="dcterms:W3CDTF">2026-02-03T04:19:50Z</dcterms:modified>
</cp:coreProperties>
</file>