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77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77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275/2026/0193/VFI-CT.27.A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HOÀNG VĂN NGỌC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w:t>
                            </w:r>
                            <w:r>
                              <w:rPr>
                                <w:color w:val="000000"/>
                              </w:rPr>
                              <w:t xml:space="preserve">tại thửa đất số: 285-4, tờ bản đồ số: 11 có địa chỉ: Thôn Tân Phú, xã Sơn Đông, thị xã Sơn Tây, thành phố Hà Nội (nay là xã Đ</w:t>
                            </w:r>
                            <w:r>
                              <w:rPr>
                                <w:color w:val="000000"/>
                              </w:rPr>
                              <w:t xml:space="preserve">oài Phương, thành phố Hà Nội) theo Giấy chứng nhận quyền sử dụng đất quyền sở hữu nhà ở và tài sản khác gắn liền với đất số: BY 636785, số vào sổ cấp GCN: CS-ST 00131 do Sở Tài nguyên và Môi trường thành phố Hà Nội cấp ngày </w:t>
                            </w:r>
                            <w:r>
                              <w:rPr>
                                <w:color w:val="000000"/>
                                <w:highlight w:val="none"/>
                              </w:rPr>
                              <w:t xml:space="preserve">14/7/2015</w:t>
                            </w:r>
                            <w:r>
                              <w:rPr>
                                <w:color w:val="000000"/>
                                <w:highlight w:val="none"/>
                              </w:rPr>
                              <w:t xml:space="preserve"> c</w:t>
                            </w:r>
                            <w:r>
                              <w:rPr>
                                <w:color w:val="000000"/>
                              </w:rPr>
                              <w:t xml:space="preserve">ho ông Hoàng Văn Ngọc</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275/2026/0193/VFI-CT.27.A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HOÀNG VĂN NGỌC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w:t>
                      </w:r>
                      <w:r>
                        <w:rPr>
                          <w:color w:val="000000"/>
                        </w:rPr>
                        <w:t xml:space="preserve">tại thửa đất số: 285-4, tờ bản đồ số: 11 có địa chỉ: Thôn Tân Phú, xã Sơn Đông, thị xã Sơn Tây, thành phố Hà Nội (nay là xã Đ</w:t>
                      </w:r>
                      <w:r>
                        <w:rPr>
                          <w:color w:val="000000"/>
                        </w:rPr>
                        <w:t xml:space="preserve">oài Phương, thành phố Hà Nội) theo Giấy chứng nhận quyền sử dụng đất quyền sở hữu nhà ở và tài sản khác gắn liền với đất số: BY 636785, số vào sổ cấp GCN: CS-ST 00131 do Sở Tài nguyên và Môi trường thành phố Hà Nội cấp ngày </w:t>
                      </w:r>
                      <w:r>
                        <w:rPr>
                          <w:color w:val="000000"/>
                          <w:highlight w:val="none"/>
                        </w:rPr>
                        <w:t xml:space="preserve">14/7/2015</w:t>
                      </w:r>
                      <w:r>
                        <w:rPr>
                          <w:color w:val="000000"/>
                          <w:highlight w:val="none"/>
                        </w:rPr>
                        <w:t xml:space="preserve"> c</w:t>
                      </w:r>
                      <w:r>
                        <w:rPr>
                          <w:color w:val="000000"/>
                        </w:rPr>
                        <w:t xml:space="preserve">ho ông Hoàng Văn Ngọc</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76" w:type="dxa"/>
        <w:tblBorders/>
        <w:tblLayout w:type="fixed"/>
        <w:tblLook w:val="04A0" w:firstRow="1" w:lastRow="0" w:firstColumn="1" w:lastColumn="0" w:noHBand="0" w:noVBand="1"/>
      </w:tblPr>
      <w:tblGrid>
        <w:gridCol w:w="29"/>
        <w:gridCol w:w="1961"/>
        <w:gridCol w:w="1818"/>
        <w:gridCol w:w="6369"/>
      </w:tblGrid>
      <w:tr>
        <w:trPr>
          <w:trHeight w:val="1152"/>
        </w:trPr>
        <w:tc>
          <w:tcPr>
            <w:gridSpan w:val="2"/>
            <w:tcBorders/>
            <w:tcW w:w="199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8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779"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highlight w:val="none"/>
                <w:shd w:val="clear" w:color="ffffff" w:themeColor="background1" w:fill="ffffff" w:themeFill="background1"/>
                <w:lang w:val="pt-BR"/>
              </w:rPr>
              <w:t xml:space="preserve">275/2026/0193/VFI-CT.27.A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69"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24 tháng 1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VĂN NGỌC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275/2026/0193/VFI-HĐTĐ.27.A</w:t>
      </w:r>
      <w:r>
        <w:rPr>
          <w:spacing w:val="-4"/>
          <w:lang w:val="vi-VN"/>
        </w:rPr>
        <w:t xml:space="preserve"> ký ngày </w:t>
      </w:r>
      <w:r>
        <w:rPr>
          <w:color w:val="000000" w:themeColor="text1"/>
          <w:spacing w:val="-4"/>
        </w:rPr>
        <w:t xml:space="preserve">20 tháng 1 năm 2026</w:t>
      </w:r>
      <w:r>
        <w:rPr>
          <w:spacing w:val="-4"/>
          <w:lang w:val="vi-VN"/>
        </w:rPr>
        <w:t xml:space="preserve"> </w:t>
      </w:r>
      <w:r>
        <w:rPr>
          <w:spacing w:val="-4"/>
          <w:lang w:val="vi-VN"/>
        </w:rPr>
        <w:t xml:space="preserve">giữa </w:t>
      </w:r>
      <w:r>
        <w:rPr>
          <w:color w:val="000000" w:themeColor="text1"/>
          <w:spacing w:val="-4"/>
        </w:rPr>
        <w:t xml:space="preserve">ông Hoàng Văn Ngọc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275/2026/0193/VFI-BC.27.A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ÔNG HOÀNG VĂN NGỌC</w:t>
            </w:r>
            <w:r>
              <w:rPr>
                <w:b/>
                <w:bCs/>
              </w:rPr>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Năm sinh</w:t>
            </w:r>
            <w:r>
              <w:rPr>
                <w:color w:val="000000" w:themeColor="text1"/>
              </w:rPr>
            </w:r>
            <w:r>
              <w:rPr>
                <w:color w:val="000000" w:themeColor="text1"/>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1989</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highlight w:val="none"/>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t xml:space="preserve">CCCD</w:t>
            </w:r>
            <w:r>
              <w:rPr>
                <w:color w:val="000000" w:themeColor="text1"/>
                <w:highlight w:val="none"/>
              </w:rPr>
            </w:r>
            <w:r>
              <w:rPr>
                <w:color w:val="000000" w:themeColor="text1"/>
                <w:highlight w:val="none"/>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highlight w:val="none"/>
              </w:rPr>
            </w:pPr>
            <w:r>
              <w:rPr>
                <w:rFonts w:ascii="Times New Roman" w:hAnsi="Times New Roman" w:eastAsia="Times New Roman" w:cs="Times New Roman"/>
                <w:color w:val="000000" w:themeColor="text1"/>
                <w:sz w:val="24"/>
                <w:highlight w:val="none"/>
              </w:rPr>
              <w:t xml:space="preserve">:</w:t>
            </w:r>
            <w:r>
              <w:rPr>
                <w:color w:val="000000" w:themeColor="text1"/>
                <w:highlight w:val="none"/>
              </w:rPr>
            </w:r>
            <w:r>
              <w:rPr>
                <w:color w:val="000000" w:themeColor="text1"/>
                <w:highlight w:val="non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highlight w:val="none"/>
              </w:rPr>
            </w:pPr>
            <w:r>
              <w:rPr>
                <w:rFonts w:ascii="Times New Roman" w:hAnsi="Times New Roman" w:eastAsia="Times New Roman" w:cs="Times New Roman"/>
                <w:color w:val="000000" w:themeColor="text1"/>
                <w:sz w:val="24"/>
                <w:highlight w:val="none"/>
              </w:rPr>
              <w:t xml:space="preserve">001089017757</w:t>
            </w:r>
            <w:r>
              <w:rPr>
                <w:color w:val="000000" w:themeColor="text1"/>
                <w:highlight w:val="none"/>
              </w:rPr>
            </w:r>
            <w:r>
              <w:rPr>
                <w:color w:val="000000" w:themeColor="text1"/>
                <w:highlight w:val="none"/>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pacing w:val="-6"/>
                <w:sz w:val="24"/>
              </w:rPr>
              <w:t xml:space="preserve">Địa chỉ</w:t>
            </w:r>
            <w:r>
              <w:rPr>
                <w:color w:val="000000" w:themeColor="text1"/>
              </w:rPr>
            </w:r>
            <w:r>
              <w:rPr>
                <w:color w:val="000000" w:themeColor="text1"/>
              </w:rP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Thôn Tân Phú, xã Sơn Đông, thị xã Sơn </w:t>
            </w:r>
            <w:r>
              <w:rPr>
                <w:rFonts w:ascii="Times New Roman" w:hAnsi="Times New Roman" w:eastAsia="Times New Roman" w:cs="Times New Roman"/>
                <w:color w:val="000000" w:themeColor="text1"/>
                <w:sz w:val="24"/>
              </w:rPr>
              <w:t xml:space="preserve">Tây, thành phố Hà Nội</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w:t>
      </w:r>
      <w:r>
        <w:rPr>
          <w:b/>
          <w:bCs/>
          <w:color w:val="000000" w:themeColor="text1"/>
        </w:rPr>
        <w:t xml:space="preserve"> tin </w:t>
      </w:r>
      <w:r>
        <w:rPr>
          <w:b/>
          <w:bCs/>
          <w:color w:val="000000" w:themeColor="text1"/>
        </w:rPr>
        <w:t xml:space="preserve">về</w:t>
      </w:r>
      <w:r>
        <w:rPr>
          <w:b/>
          <w:bCs/>
          <w:color w:val="000000" w:themeColor="text1"/>
        </w:rPr>
        <w:t xml:space="preserve"> </w:t>
      </w:r>
      <w:r>
        <w:rPr>
          <w:b/>
          <w:bCs/>
          <w:color w:val="000000" w:themeColor="text1"/>
        </w:rPr>
        <w:t xml:space="preserve">doanh</w:t>
      </w:r>
      <w:r>
        <w:rPr>
          <w:b/>
          <w:bCs/>
          <w:color w:val="000000" w:themeColor="text1"/>
        </w:rPr>
        <w:t xml:space="preserve"> </w:t>
      </w:r>
      <w:r>
        <w:rPr>
          <w:b/>
          <w:bCs/>
          <w:color w:val="000000" w:themeColor="text1"/>
        </w:rPr>
        <w:t xml:space="preserve">nghiệp</w:t>
      </w:r>
      <w:r>
        <w:rPr>
          <w:b/>
          <w:bCs/>
          <w:color w:val="000000" w:themeColor="text1"/>
        </w:rPr>
        <w:t xml:space="preserve"> </w:t>
      </w:r>
      <w:r>
        <w:rPr>
          <w:b/>
          <w:bCs/>
          <w:color w:val="000000" w:themeColor="text1"/>
        </w:rPr>
        <w:t xml:space="preserve">thẩm</w:t>
      </w:r>
      <w:r>
        <w:rPr>
          <w:b/>
          <w:bCs/>
          <w:color w:val="000000" w:themeColor="text1"/>
        </w:rPr>
        <w:t xml:space="preserve"> </w:t>
      </w:r>
      <w:r>
        <w:rPr>
          <w:b/>
          <w:bCs/>
          <w:color w:val="000000" w:themeColor="text1"/>
        </w:rPr>
        <w:t xml:space="preserve">định</w:t>
      </w:r>
      <w:r>
        <w:rPr>
          <w:b/>
          <w:bCs/>
          <w:color w:val="000000" w:themeColor="text1"/>
        </w:rPr>
        <w:t xml:space="preserve"> </w:t>
      </w:r>
      <w:r>
        <w:rPr>
          <w:b/>
          <w:bCs/>
          <w:color w:val="000000" w:themeColor="text1"/>
        </w:rPr>
        <w:t xml:space="preserve">giá</w:t>
      </w:r>
      <w:r>
        <w:rPr>
          <w:b/>
          <w:bCs/>
          <w:color w:val="000000" w:themeColor="text1"/>
        </w:rPr>
        <w:t xml:space="preserve">:</w:t>
      </w:r>
      <w:r>
        <w:rPr>
          <w:b/>
          <w:bCs/>
          <w:color w:val="000000" w:themeColor="text1"/>
        </w:rPr>
      </w:r>
      <w:r>
        <w:rPr>
          <w:b/>
          <w:bCs/>
          <w:color w:val="000000" w:themeColor="text1"/>
        </w:rPr>
      </w:r>
    </w:p>
    <w:tbl>
      <w:tblPr>
        <w:tblInd w:w="-34" w:type="dxa"/>
        <w:tblW w:w="9866" w:type="dxa"/>
        <w:tblBorders/>
        <w:tblLayout w:type="fixed"/>
        <w:tblLook w:val="04A0" w:firstRow="1" w:lastRow="0" w:firstColumn="1" w:lastColumn="0" w:noHBand="0" w:noVBand="1"/>
      </w:tblPr>
      <w:tblGrid>
        <w:gridCol w:w="1957"/>
        <w:gridCol w:w="289"/>
        <w:gridCol w:w="7620"/>
      </w:tblGrid>
      <w:tr>
        <w:trPr>
          <w:trHeight w:val="20"/>
        </w:trPr>
        <w:tc>
          <w:tcPr>
            <w:tcBorders/>
            <w:tcW w:w="1957"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w:t>
            </w:r>
            <w:r>
              <w:rPr>
                <w:bCs/>
                <w:color w:val="000000" w:themeColor="text1"/>
                <w:lang w:val="pt-BR"/>
              </w:rPr>
              <w:t xml:space="preserve"> </w:t>
            </w:r>
            <w:r>
              <w:rPr>
                <w:bCs/>
                <w:color w:val="000000" w:themeColor="text1"/>
                <w:lang w:val="pt-BR"/>
              </w:rPr>
              <w:t xml:space="preserve">vị</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620"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1957"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57"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20"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57"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57"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57"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957"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20"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57"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20" w:type="dxa"/>
            <w:vAlign w:val="center"/>
            <w:textDirection w:val="lrTb"/>
            <w:noWrap w:val="false"/>
          </w:tcPr>
          <w:p>
            <w:pPr>
              <w:pBdr/>
              <w:spacing w:after="40" w:before="40" w:line="276" w:lineRule="auto"/>
              <w:ind/>
              <w:rPr>
                <w:b w:val="0"/>
                <w:bCs w:val="0"/>
              </w:rPr>
            </w:pPr>
            <w:r>
              <w:rPr>
                <w:b w:val="0"/>
                <w:bCs w:val="0"/>
                <w:lang w:val="vi-VN"/>
              </w:rPr>
              <w:t xml:space="preserve">Ông</w:t>
            </w:r>
            <w:r>
              <w:rPr>
                <w:b w:val="0"/>
                <w:bCs w:val="0"/>
              </w:rPr>
              <w:t xml:space="preserve"> Vũ Văn Quân</w:t>
            </w:r>
            <w:r>
              <w:rPr>
                <w:b w:val="0"/>
                <w:bCs w:val="0"/>
                <w:lang w:val="vi-VN"/>
              </w:rPr>
              <w:tab/>
            </w:r>
            <w:r>
              <w:rPr>
                <w:b w:val="0"/>
                <w:bCs w:val="0"/>
              </w:rPr>
              <w:t xml:space="preserve">      </w:t>
            </w: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285-4, tờ bản đồ số: 11 có địa chỉ: Thôn Tân Phú, xã Sơn Đông, thị xã Sơn Tây, thành phố Hà Nội (nay là xã Đ</w:t>
      </w:r>
      <w:r>
        <w:rPr>
          <w:color w:val="000000" w:themeColor="text1"/>
        </w:rPr>
        <w:t xml:space="preserve">oài Phương, thành phố Hà Nội) theo Giấy chứng nhận quyền sử dụng đất quyền sở hữu nhà ở và tài sản khác gắn liền với đất số: BY 636785, số vào sổ cấp GCN: CS-ST 00131 do Sở Tài nguyên và Môi trường thành phố Hà Nội cấp ngà</w:t>
      </w:r>
      <w:r>
        <w:rPr>
          <w:color w:val="000000" w:themeColor="text1"/>
          <w:highlight w:val="none"/>
        </w:rPr>
        <w:t xml:space="preserve">y </w:t>
      </w:r>
      <w:r>
        <w:rPr>
          <w:color w:val="000000" w:themeColor="text1"/>
          <w:highlight w:val="none"/>
        </w:rPr>
        <w:t xml:space="preserve">14/7/2015</w:t>
      </w:r>
      <w:r>
        <w:rPr>
          <w:color w:val="000000" w:themeColor="text1"/>
          <w:highlight w:val="none"/>
        </w:rPr>
        <w:t xml:space="preserve"> c</w:t>
      </w:r>
      <w:r>
        <w:rPr>
          <w:color w:val="000000" w:themeColor="text1"/>
        </w:rPr>
        <w:t xml:space="preserve">ho ông Hoàng Văn Ngọc</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1"/>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3935"/>
        <w:gridCol w:w="1220"/>
        <w:gridCol w:w="1582"/>
        <w:gridCol w:w="2020"/>
      </w:tblGrid>
      <w:tr>
        <w:trPr>
          <w:trHeight w:val="7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highlight w:val="none"/>
              </w:rPr>
            </w:pPr>
            <w:r>
              <w:rPr>
                <w:rFonts w:ascii="Times New Roman" w:hAnsi="Times New Roman" w:eastAsia="Times New Roman" w:cs="Times New Roman"/>
                <w:b/>
                <w:color w:val="000000"/>
                <w:sz w:val="24"/>
                <w:highlight w:val="none"/>
              </w:rPr>
              <w:t xml:space="preserve"> </w:t>
            </w:r>
            <w:r>
              <w:rPr>
                <w:highlight w:val="none"/>
              </w:rPr>
            </w:r>
            <w:r>
              <w:rPr>
                <w:highlight w:val="none"/>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highlight w:val="none"/>
              </w:rPr>
            </w:pPr>
            <w:r>
              <w:rPr>
                <w:rFonts w:ascii="Times New Roman" w:hAnsi="Times New Roman" w:eastAsia="Times New Roman" w:cs="Times New Roman"/>
                <w:b/>
                <w:color w:val="000000"/>
                <w:sz w:val="24"/>
                <w:highlight w:val="none"/>
              </w:rPr>
              <w:t xml:space="preserve">Quyền sử dụng đất tại thửa đất số: 285-4, tờ bản đồ số: 11 có địa chỉ: Thôn Tân Phú, xã Sơn Đông, thị xã Sơn Tây, thành phố Hà Nội (nay là xã Đoài Phương, thành phố Hà Nội) theo Giấy chứng nhận quyền sử dụng đất quyền sở hữu nhà</w:t>
            </w:r>
            <w:r>
              <w:rPr>
                <w:rFonts w:ascii="Times New Roman" w:hAnsi="Times New Roman" w:eastAsia="Times New Roman" w:cs="Times New Roman"/>
                <w:b/>
                <w:color w:val="000000"/>
                <w:sz w:val="24"/>
                <w:highlight w:val="none"/>
              </w:rPr>
              <w:t xml:space="preserve"> ở và tài sản khác gắn liền với đất số: BY 636785, số vào sổ cấp GCN: CS-ST 00131 do Sở Tài nguyên và Môi trường thành phố Hà Nội cấp ngày </w:t>
            </w:r>
            <w:r>
              <w:rPr>
                <w:rFonts w:ascii="Times New Roman" w:hAnsi="Times New Roman" w:eastAsia="Times New Roman" w:cs="Times New Roman"/>
                <w:b/>
                <w:color w:val="000000"/>
                <w:sz w:val="24"/>
                <w:highlight w:val="none"/>
              </w:rPr>
              <w:t xml:space="preserve">14/7/2015 </w:t>
            </w:r>
            <w:r>
              <w:rPr>
                <w:rFonts w:ascii="Times New Roman" w:hAnsi="Times New Roman" w:eastAsia="Times New Roman" w:cs="Times New Roman"/>
                <w:b/>
                <w:color w:val="000000"/>
                <w:sz w:val="24"/>
                <w:highlight w:val="none"/>
              </w:rPr>
              <w:t xml:space="preserve">cho ông Hoàng Văn Ngọc</w:t>
            </w:r>
            <w:r>
              <w:rPr>
                <w:highlight w:val="none"/>
              </w:rPr>
            </w:r>
            <w:r>
              <w:rPr>
                <w:highlight w: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Đất ở tại nông thôn (60m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w:t>
              <w:br/>
              <w:t xml:space="preserve">Đất trồng cây lâu năm (66,7m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126,7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1.976.520.000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4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1.976.520.000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41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     1.977.000.000 </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4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Một tỷ chín trăm bảy mươi bảy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29" w:type="dxa"/>
        <w:tblBorders/>
        <w:tblLayout w:type="fixed"/>
        <w:tblLook w:val="04A0" w:firstRow="1" w:lastRow="0" w:firstColumn="1" w:lastColumn="0" w:noHBand="0" w:noVBand="1"/>
      </w:tblPr>
      <w:tblGrid>
        <w:gridCol w:w="29"/>
        <w:gridCol w:w="1638"/>
        <w:gridCol w:w="2330"/>
        <w:gridCol w:w="5953"/>
        <w:gridCol w:w="79"/>
      </w:tblGrid>
      <w:tr>
        <w:trPr>
          <w:trHeight w:val="1152"/>
        </w:trPr>
        <w:tc>
          <w:tcPr>
            <w:gridSpan w:val="2"/>
            <w:tcBorders/>
            <w:tcW w:w="166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69" w:type="dxa"/>
            <w:textDirection w:val="lrTb"/>
            <w:noWrap w:val="false"/>
          </w:tcPr>
          <w:p>
            <w:pPr>
              <w:pStyle w:val="1026"/>
              <w:pBdr/>
              <w:spacing w:after="60"/>
              <w:ind/>
              <w:rPr>
                <w:rStyle w:val="1025"/>
                <w:rFonts w:ascii="Times New Roman" w:hAnsi="Times New Roman"/>
                <w:color w:val="000000" w:themeColor="text1"/>
                <w:lang w:val="pt-BR"/>
                <w14:ligatures w14:val="none"/>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275/2026/0193/VFI-BC.27.A</w:t>
            </w:r>
            <w:r>
              <w:rPr>
                <w:rStyle w:val="1025"/>
                <w:rFonts w:ascii="Times New Roman" w:hAnsi="Times New Roman"/>
                <w:color w:val="000000" w:themeColor="text1"/>
                <w:lang w:val="pt-BR"/>
                <w14:ligatures w14:val="none"/>
              </w:rPr>
            </w:r>
            <w:r>
              <w:rPr>
                <w:rStyle w:val="1025"/>
                <w:rFonts w:ascii="Times New Roman" w:hAnsi="Times New Roman"/>
                <w:color w:val="000000" w:themeColor="text1"/>
                <w:lang w:val="pt-BR"/>
                <w14:ligatures w14:val="none"/>
              </w:rPr>
            </w:r>
          </w:p>
        </w:tc>
        <w:tc>
          <w:tcPr>
            <w:shd w:val="clear" w:color="auto" w:fill="auto"/>
            <w:tcBorders/>
            <w:tcMar>
              <w:left w:w="108" w:type="dxa"/>
              <w:top w:w="0" w:type="dxa"/>
              <w:right w:w="108" w:type="dxa"/>
              <w:bottom w:w="0" w:type="dxa"/>
            </w:tcMar>
            <w:tcW w:w="5953"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24 tháng 1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w:t>
      </w:r>
      <w:r>
        <w:rPr>
          <w:b w:val="0"/>
          <w:i/>
          <w:spacing w:val="-6"/>
          <w:sz w:val="24"/>
          <w:szCs w:val="24"/>
          <w:highlight w:val="none"/>
          <w:lang w:val="pt-BR"/>
        </w:rPr>
        <w:t xml:space="preserve">nh</w:t>
      </w:r>
      <w:r>
        <w:rPr>
          <w:b w:val="0"/>
          <w:i/>
          <w:spacing w:val="-6"/>
          <w:sz w:val="24"/>
          <w:szCs w:val="24"/>
          <w:highlight w:val="none"/>
          <w:lang w:val="pt-BR"/>
        </w:rPr>
        <w:t xml:space="preserve"> </w:t>
      </w:r>
      <w:r>
        <w:rPr>
          <w:b w:val="0"/>
          <w:i/>
          <w:spacing w:val="-6"/>
          <w:sz w:val="24"/>
          <w:szCs w:val="24"/>
          <w:highlight w:val="none"/>
          <w:lang w:val="pt-BR"/>
        </w:rPr>
        <w:t xml:space="preserve">giá</w:t>
      </w:r>
      <w:r>
        <w:rPr>
          <w:b w:val="0"/>
          <w:i/>
          <w:spacing w:val="-6"/>
          <w:sz w:val="24"/>
          <w:szCs w:val="24"/>
          <w:highlight w:val="none"/>
          <w:lang w:val="pt-BR"/>
        </w:rPr>
        <w:t xml:space="preserve"> </w:t>
      </w:r>
      <w:r>
        <w:rPr>
          <w:b w:val="0"/>
          <w:i/>
          <w:spacing w:val="-6"/>
          <w:sz w:val="24"/>
          <w:szCs w:val="24"/>
          <w:highlight w:val="none"/>
          <w:lang w:val="pt-BR"/>
        </w:rPr>
        <w:t xml:space="preserve">số</w:t>
      </w:r>
      <w:r>
        <w:rPr>
          <w:b w:val="0"/>
          <w:i/>
          <w:spacing w:val="-6"/>
          <w:sz w:val="24"/>
          <w:szCs w:val="24"/>
          <w:highlight w:val="none"/>
          <w:lang w:val="pt-BR"/>
        </w:rPr>
        <w:t xml:space="preserve">:</w:t>
      </w:r>
      <w:r>
        <w:rPr>
          <w:b w:val="0"/>
          <w:i/>
          <w:spacing w:val="-6"/>
          <w:sz w:val="24"/>
          <w:szCs w:val="24"/>
          <w:highlight w:val="none"/>
          <w:lang w:val="pt-BR"/>
        </w:rPr>
        <w:t xml:space="preserve"> </w:t>
      </w:r>
      <w:r>
        <w:rPr>
          <w:b w:val="0"/>
          <w:i/>
          <w:color w:val="000000" w:themeColor="text1"/>
          <w:spacing w:val="-6"/>
          <w:sz w:val="24"/>
          <w:szCs w:val="24"/>
          <w:highlight w:val="none"/>
          <w:lang w:val="pt-BR"/>
        </w:rPr>
        <w:t xml:space="preserve">275/2026/0193/VFI-CT.27.A</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ng</w:t>
      </w:r>
      <w:r>
        <w:rPr>
          <w:b w:val="0"/>
          <w:i/>
          <w:color w:val="000000" w:themeColor="text1"/>
          <w:spacing w:val="-6"/>
          <w:sz w:val="24"/>
          <w:szCs w:val="24"/>
          <w:lang w:val="pt-BR"/>
        </w:rPr>
        <w:t xml:space="preserve">ày 24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val="0"/>
                <w:bCs w:val="0"/>
              </w:rPr>
            </w:pPr>
            <w:r>
              <w:rPr>
                <w:b w:val="0"/>
                <w:bCs w:val="0"/>
                <w:lang w:val="vi-VN"/>
              </w:rPr>
              <w:t xml:space="preserve">Ông</w:t>
            </w:r>
            <w:r>
              <w:rPr>
                <w:b w:val="0"/>
                <w:bCs w:val="0"/>
              </w:rPr>
              <w:t xml:space="preserve"> Vũ Văn Quân </w:t>
            </w:r>
            <w:r>
              <w:rPr>
                <w:b w:val="0"/>
                <w:bCs w:val="0"/>
                <w:lang w:val="vi-VN"/>
              </w:rPr>
              <w:tab/>
              <w:t xml:space="preserve">Chức vụ: </w:t>
            </w:r>
            <w:r>
              <w:rPr>
                <w:b w:val="0"/>
                <w:bCs w:val="0"/>
              </w:rPr>
              <w:t xml:space="preserve">Chủ tịch HĐQT kiêm Tổng Giám Đốc</w:t>
            </w:r>
            <w:r>
              <w:rPr>
                <w:b w:val="0"/>
                <w:bCs w:val="0"/>
              </w:rPr>
            </w:r>
            <w:r>
              <w:rPr>
                <w:b w:val="0"/>
                <w:bCs w:val="0"/>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ÔNG HOÀNG VĂN NGỌC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Năm sinh</w:t>
            </w:r>
            <w:r>
              <w:rPr>
                <w:color w:val="000000" w:themeColor="text1"/>
              </w:rPr>
            </w:r>
            <w:r>
              <w:rPr>
                <w:color w:val="000000" w:themeColor="text1"/>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1989</w:t>
            </w:r>
            <w:r>
              <w:rPr>
                <w:color w:val="000000" w:themeColor="text1"/>
              </w:rPr>
            </w:r>
            <w:r>
              <w:rPr>
                <w:color w:val="000000" w:themeColor="text1"/>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highlight w:val="none"/>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t xml:space="preserve">CCCD</w:t>
            </w:r>
            <w:r>
              <w:rPr>
                <w:color w:val="000000" w:themeColor="text1"/>
                <w:highlight w:val="none"/>
              </w:rPr>
            </w:r>
            <w:r>
              <w:rPr>
                <w:color w:val="000000" w:themeColor="text1"/>
                <w:highlight w:val="none"/>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highlight w:val="none"/>
              </w:rPr>
            </w:pPr>
            <w:r>
              <w:rPr>
                <w:rFonts w:ascii="Times New Roman" w:hAnsi="Times New Roman" w:eastAsia="Times New Roman" w:cs="Times New Roman"/>
                <w:color w:val="000000" w:themeColor="text1"/>
                <w:sz w:val="24"/>
                <w:highlight w:val="none"/>
              </w:rPr>
              <w:t xml:space="preserve">:</w:t>
            </w:r>
            <w:r>
              <w:rPr>
                <w:color w:val="000000" w:themeColor="text1"/>
                <w:highlight w:val="none"/>
              </w:rPr>
            </w:r>
            <w:r>
              <w:rPr>
                <w:color w:val="000000" w:themeColor="text1"/>
                <w:highlight w:val="non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highlight w:val="none"/>
              </w:rPr>
            </w:pPr>
            <w:r>
              <w:rPr>
                <w:rFonts w:ascii="Times New Roman" w:hAnsi="Times New Roman" w:eastAsia="Times New Roman" w:cs="Times New Roman"/>
                <w:color w:val="000000" w:themeColor="text1"/>
                <w:sz w:val="24"/>
                <w:highlight w:val="none"/>
              </w:rPr>
              <w:t xml:space="preserve">001089017757</w:t>
            </w:r>
            <w:r>
              <w:rPr>
                <w:color w:val="000000" w:themeColor="text1"/>
                <w:highlight w:val="none"/>
              </w:rPr>
            </w:r>
            <w:r>
              <w:rPr>
                <w:color w:val="000000" w:themeColor="text1"/>
                <w:highlight w:val="none"/>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pacing w:val="-6"/>
                <w:sz w:val="24"/>
              </w:rPr>
              <w:t xml:space="preserve">Địa chỉ</w:t>
            </w:r>
            <w:r>
              <w:rPr>
                <w:color w:val="000000" w:themeColor="text1"/>
              </w:rPr>
            </w:r>
            <w:r>
              <w:rPr>
                <w:color w:val="000000" w:themeColor="text1"/>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Thôn Tân Phú, xã Sơn Đông, thị xã Sơn </w:t>
            </w:r>
            <w:r>
              <w:rPr>
                <w:rFonts w:ascii="Times New Roman" w:hAnsi="Times New Roman" w:eastAsia="Times New Roman" w:cs="Times New Roman"/>
                <w:color w:val="000000" w:themeColor="text1"/>
                <w:sz w:val="24"/>
              </w:rPr>
              <w:t xml:space="preserve">Tây,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285-4, tờ bản đồ số: 11 có địa chỉ: Thôn Tân Phú, xã Sơn Đông, thị xã Sơn Tây, thành phố Hà Nội (nay là xã Đ</w:t>
            </w:r>
            <w:r>
              <w:rPr>
                <w:bCs/>
                <w:color w:val="000000" w:themeColor="text1"/>
                <w:lang w:val="pt-BR"/>
              </w:rPr>
              <w:t xml:space="preserve">oài Phương, thành phố Hà Nội) theo Giấy chứng nhận quyền sử dụng đất quyền sở hữu nhà ở và tài sản khác gắn liền với đất số: BY 636785, số vào sổ cấp GCN: CS-ST 00131 do Sở Tài nguyên và Môi trường thành phố Hà Nội cấp</w:t>
            </w:r>
            <w:r>
              <w:rPr>
                <w:bCs/>
                <w:color w:val="000000" w:themeColor="text1"/>
                <w:highlight w:val="none"/>
                <w:lang w:val="pt-BR"/>
              </w:rPr>
              <w:t xml:space="preserve"> ngày </w:t>
            </w:r>
            <w:r>
              <w:rPr>
                <w:bCs/>
                <w:color w:val="000000" w:themeColor="text1"/>
                <w:highlight w:val="none"/>
                <w:lang w:val="pt-BR"/>
              </w:rPr>
              <w:t xml:space="preserve">14/7/2015</w:t>
            </w:r>
            <w:r>
              <w:rPr>
                <w:bCs/>
                <w:color w:val="000000" w:themeColor="text1"/>
                <w:highlight w:val="none"/>
                <w:lang w:val="pt-BR"/>
              </w:rPr>
              <w:t xml:space="preserve"> ch</w:t>
            </w:r>
            <w:r>
              <w:rPr>
                <w:bCs/>
                <w:color w:val="000000" w:themeColor="text1"/>
                <w:lang w:val="pt-BR"/>
              </w:rPr>
              <w:t xml:space="preserve">o ông Hoàng Văn Ngọc</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Tân Phú, xã Sơn Đông, Thị xã Sơn Tây,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21.081055555556, 105.50355555556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BY 636785, số vào sổ cấp GCN: CS-ST 00131 do Sở Tài nguyên và Môi trường thành phố Hà Nội cấp ngày 14/7/2015 cho ông Hoàng Văn Ngọc</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275/2026/0193/VFI-HĐTĐ.27.A ký ngày 20/01/2026 giữa ông Hoàng Văn Ngọc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Top 3 kiểu nhà nên mua tại Sơn Tây, Hà Nội</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Thị trường bất động sản Sơn Tây đang chứng kiến sự chuyển mình mạnh mẽ nhờ hạ tầng kết nối trung tâm Hà Nội được nâng cấp và quỹ đất rộng. Khi mua bán nhà đất Sơn Tây Hà Nội, người mua cần xác định rõ mục đích: an cư, đầu tư hoặc cho thuê. Với kinh nghiệm </w:t>
      </w:r>
      <w:r>
        <w:rPr>
          <w:rFonts w:ascii="Times New Roman" w:hAnsi="Times New Roman" w:eastAsia="Times New Roman" w:cs="Times New Roman"/>
          <w:color w:val="000000" w:themeColor="text1"/>
          <w:sz w:val="24"/>
          <w:highlight w:val="white"/>
        </w:rPr>
        <w:t xml:space="preserve">hơn 10 năm tư vấn nhà đất thị xã Sơn Tây Hà Nội, tôi nhận thấy có ba kiểu nhà nổi bật, vừa đáp ứng nhu cầu sinh sống, vừa có tiềm năng tăng giá bền vững. Dưới đây là ba gợi ý giúp bạn lựa chọn đúng phân khúc phù hợp, đồng thời tối ưu hiệu quả dòng tiền khi</w:t>
      </w:r>
      <w:r>
        <w:rPr>
          <w:rFonts w:ascii="Times New Roman" w:hAnsi="Times New Roman" w:eastAsia="Times New Roman" w:cs="Times New Roman"/>
          <w:color w:val="000000" w:themeColor="text1"/>
          <w:sz w:val="24"/>
          <w:highlight w:val="white"/>
        </w:rPr>
        <w:t xml:space="preserve"> mua nhà đất tại Sơn Tây Hà Nội trong giai đoạn này.</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Nhà trong khu dân cư lâu đời, giá ổn định</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Phân khúc nhà đất thị xã Sơn Tây nằm ở các khu dân cư truyền thống như Phú Thịnh, Quang Trung, Ngô Quyền thường có lợi thế về vị trí gần chợ, trường học, bệnh viện. Cộng đồng dân cư ổn định bảo đảm an ninh, giao thông thuận tiện, hạ tầng cơ bản hoàn chỉnh.</w:t>
      </w:r>
      <w:r>
        <w:rPr>
          <w:rFonts w:ascii="Times New Roman" w:hAnsi="Times New Roman" w:eastAsia="Times New Roman" w:cs="Times New Roman"/>
          <w:color w:val="000000" w:themeColor="text1"/>
          <w:sz w:val="24"/>
          <w:highlight w:val="white"/>
        </w:rPr>
        <w:t xml:space="preserve"> Nhà trong khu lâu đời thường có giá bình quân thấp hơn khu đô thị mới nhưng tiềm năng giữ giá tốt trong dài hạn.</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Trong mua bán nhà đất Sơn Tây Ba Vì, nhóm nhà này được ưa chuộng bởi: Pháp lý rõ ràng, sổ đỏ riêng từng căn. Cơ hội cải tạo, nâng tầng linh hoạt do mật độ dân cư thấp. Tính thanh khoản cao, dễ cho thuê hoặc chuyển nhượng. Nếu mục tiêu là an cư ổn định, lựa</w:t>
      </w:r>
      <w:r>
        <w:rPr>
          <w:rFonts w:ascii="Times New Roman" w:hAnsi="Times New Roman" w:eastAsia="Times New Roman" w:cs="Times New Roman"/>
          <w:color w:val="000000" w:themeColor="text1"/>
          <w:sz w:val="24"/>
          <w:highlight w:val="white"/>
        </w:rPr>
        <w:t xml:space="preserve"> chọn mua nhà riêng Sơn Tây Hà Nội trong khu dân cư lâu đời là hướng đi an toàn. Giá ít biến động, đồng thời phù hợp với người mua trung niên hoặc gia đình trẻ tìm nơi lập nghiệp lâu dài.</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Nhà thổ cư diện tích rộng, dễ cải tạo</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Một trong những ưu điểm của nhà đất Sơn Tây Hà Nội là quỹ đất rộng, đặc biệt các khu như Sơn Lộc, Viên Sơn hay Trung Sơn Trầm. Nhà thổ cư diện tích từ 100–200 m² với mặt tiền thoáng, nằm trong hẻm xe hơi hoặc gần tuyến chính, đang là lựa chọn hấp dẫn. Loại</w:t>
      </w:r>
      <w:r>
        <w:rPr>
          <w:rFonts w:ascii="Times New Roman" w:hAnsi="Times New Roman" w:eastAsia="Times New Roman" w:cs="Times New Roman"/>
          <w:color w:val="000000" w:themeColor="text1"/>
          <w:sz w:val="24"/>
          <w:highlight w:val="white"/>
        </w:rPr>
        <w:t xml:space="preserve"> nhà này phù hợp với người có kế hoạch mở homestay, quán cà phê hoặc xây dựng biệt thự vườn mini.</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Khi mua bán nhà đất tại thị xã Sơn Tây, loại nhà thổ cư có thể cải tạo dễ dàng là sản phẩm được giới đầu tư ưu tiên vì: Chi phí đất còn mềm, biên độ tăng giá cao khi hạ tầng phát triển. Dễ chia nhỏ lô hoặc cải tạo thêm tầng để khai thác cho thuê. Có thể kế</w:t>
      </w:r>
      <w:r>
        <w:rPr>
          <w:rFonts w:ascii="Times New Roman" w:hAnsi="Times New Roman" w:eastAsia="Times New Roman" w:cs="Times New Roman"/>
          <w:color w:val="000000" w:themeColor="text1"/>
          <w:sz w:val="24"/>
          <w:highlight w:val="white"/>
        </w:rPr>
        <w:t xml:space="preserve">t hợp giữa ở và kinh doanh nhỏ, tận dụng lợi thế vị trí.</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Tôi từng hỗ trợ nhiều nhà đầu tư mua bán nhà đất thị xã Sơn Tây Hà Nội trong giai đoạn 2018–2023, đến nay tài sản đã tăng từ 30–45% nhờ nâng cấp cảnh quan và phát triển giao thông trục Hoàng Diệu, Nguyễn Thái Học. Nếu có tầm nhìn 3–5 năm, đây là dòng sản p</w:t>
      </w:r>
      <w:r>
        <w:rPr>
          <w:rFonts w:ascii="Times New Roman" w:hAnsi="Times New Roman" w:eastAsia="Times New Roman" w:cs="Times New Roman"/>
          <w:color w:val="000000" w:themeColor="text1"/>
          <w:sz w:val="24"/>
          <w:highlight w:val="white"/>
        </w:rPr>
        <w:t xml:space="preserve">hẩm sinh lời ổn định, phù hợp cả với nhà đầu tư cá nhân lẫn gia đình muốn mở rộng không gian sống.</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Nhà gần trục đường chính</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Song song các khu dân cư truyền thống, bán nhà Sơn Tây gần trục đường chính như Quang Trung, Lê Lợi, Phạm Ngũ Lão hay khu vực nhà đất Sơn Lộc Sơn Tây Hà Nội được đánh giá là dễ khai thác thương mại nhất. Với hệ thống giao thông mở rộng, khả năng kết nối ca</w:t>
      </w:r>
      <w:r>
        <w:rPr>
          <w:rFonts w:ascii="Times New Roman" w:hAnsi="Times New Roman" w:eastAsia="Times New Roman" w:cs="Times New Roman"/>
          <w:color w:val="000000" w:themeColor="text1"/>
          <w:sz w:val="24"/>
          <w:highlight w:val="white"/>
        </w:rPr>
        <w:t xml:space="preserve">o, nhóm nhà này thu hút giới đầu tư mua để kinh doanh văn phòng, cửa hàng, hoặc chuyển đổi mô hình lưu trú ngắn hạn.</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Điểm mạnh khi mua bán nhà đất thị xã Sơn Tây nằm ở gần đường lớn gồm: Mặt bằng sáng, lượng người qua lại đông, thuận tiện cho thuê. Giá trị tài sản tăng đều cùng quy hoạch hạ tầng khu trung tâm. Dễ bán lại khi cần xoay dòng vốn, đặc biệt sau khi TP. Hà Nội</w:t>
      </w:r>
      <w:r>
        <w:rPr>
          <w:rFonts w:ascii="Times New Roman" w:hAnsi="Times New Roman" w:eastAsia="Times New Roman" w:cs="Times New Roman"/>
          <w:color w:val="000000" w:themeColor="text1"/>
          <w:sz w:val="24"/>
          <w:highlight w:val="white"/>
        </w:rPr>
        <w:t xml:space="preserve"> triển khai mở rộng vành đai phía Tây.</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Loại hình này phù hợp với người mua có tiềm lực tài chính và tầm nhìn khai thác thương mại. Tuy nhiên, người mua nên khảo sát kỹ vấn đề tiếng ồn, quy định xây dựng, để đảm bảo công năng sử dụng phù hợp khi mua bán nhà đất Sơn Tây Hà Nội.</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Cách chọn nhà tại khu vực Sơn Tây, Hà Nội</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Khi tìm hiểu mua bán nhà đất thị xã Sơn Tây, yếu tố cốt lõi là cân đối giữa vị trí, pháp lý và tiềm năng phát triển hạ tầng. So với các huyện lân cận, Sơn Tây hội tụ lợi thế “vệ tinh” rõ nét: giao thông kết nối nội đô, quỹ đất sẵn có và cảnh quan xanh. Dướ</w:t>
      </w:r>
      <w:r>
        <w:rPr>
          <w:rFonts w:ascii="Times New Roman" w:hAnsi="Times New Roman" w:eastAsia="Times New Roman" w:cs="Times New Roman"/>
          <w:color w:val="000000" w:themeColor="text1"/>
          <w:sz w:val="24"/>
          <w:highlight w:val="white"/>
        </w:rPr>
        <w:t xml:space="preserve">i đây là các tiêu chí giúp bạn chọn nhà hợp lý, tối ưu giá trị và tránh rủi ro khi mua nhà đất tại Sơn Tây Hà Nội.</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Xác định mục tiêu sử dụng rõ ràng</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Trước khi xuống tiền tại thị xã Sơn Tây, người mua cần xác định thật rõ mục tiêu của mình: mua để ở, đầu tư ngắn hạn hay nắm giữ dài hạn. Đồng thời, hãy tính toán đầy đủ ngân sách bao gồm cả chi phí sang tên và sửa chữa để tránh phát sinh vượt kế hoạch. Cu</w:t>
      </w:r>
      <w:r>
        <w:rPr>
          <w:rFonts w:ascii="Times New Roman" w:hAnsi="Times New Roman" w:eastAsia="Times New Roman" w:cs="Times New Roman"/>
          <w:color w:val="000000" w:themeColor="text1"/>
          <w:sz w:val="24"/>
          <w:highlight w:val="white"/>
        </w:rPr>
        <w:t xml:space="preserve">ối cùng, việc đặt ra kỳ vọng lợi nhuận và thời gian giữ tài sản sẽ giúp bạn lựa chọn được sản phẩm phù hợp, tránh đầu tư cảm tính và tối ưu hiệu quả trong từng giao dịch.</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Với người mua để an cư, nên chọn nhà đất thị xã Sơn Tây khu vực gần trung tâm, có hạ tầng sẵn. Nếu đầu tư dài hạn, khu Cổ Đông, Sơn Lộc hoặc xã Kim Sơn là lựa chọn tiềm năng. Việc xác định rõ mục đích giúp tránh hiện tượng mua theo cảm tính hoặc bị cuốn th</w:t>
      </w:r>
      <w:r>
        <w:rPr>
          <w:rFonts w:ascii="Times New Roman" w:hAnsi="Times New Roman" w:eastAsia="Times New Roman" w:cs="Times New Roman"/>
          <w:color w:val="000000" w:themeColor="text1"/>
          <w:sz w:val="24"/>
          <w:highlight w:val="white"/>
        </w:rPr>
        <w:t xml:space="preserve">eo sóng thị trường.</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Đánh giá pháp lý và quy hoạch</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Thực tế tại thị trường bất động sản Sơn Tây, không ít căn rơi vào tình trạng sổ tạm, đất xen kẹt hoặc đang chờ điều chỉnh quy hoạch, vì vậy thẩm định pháp lý luôn phải đặt lên hàng đầu. Người mua nên yêu cầu xem đầy đủ giấy chứng nhận quyền sử dụng đất và </w:t>
      </w:r>
      <w:r>
        <w:rPr>
          <w:rFonts w:ascii="Times New Roman" w:hAnsi="Times New Roman" w:eastAsia="Times New Roman" w:cs="Times New Roman"/>
          <w:color w:val="000000" w:themeColor="text1"/>
          <w:sz w:val="24"/>
          <w:highlight w:val="white"/>
        </w:rPr>
        <w:t xml:space="preserve">đối chiếu đúng mục đích sử dụng; đồng thời tra cứu quy hoạch tại Phòng Tài nguyên và Môi trường hoặc cổng thông tin điện tử của thị xã để nắm rõ tình trạng thửa đất.v\</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Đặc biệt, cần tránh những lô nằm trong quy hoạch mở đường hoặc thuộc hành lang bảo vệ di tích, nhằm đảm bảo tài sản giữ giá lâu dài và hạn chế tối đa rủi ro về sau. Đảm bảo pháp lý đầy đủ sẽ giúp việc chuyển nhượng, thế chấp hay xin cấp phép xây dựng về sa</w:t>
      </w:r>
      <w:r>
        <w:rPr>
          <w:rFonts w:ascii="Times New Roman" w:hAnsi="Times New Roman" w:eastAsia="Times New Roman" w:cs="Times New Roman"/>
          <w:color w:val="000000" w:themeColor="text1"/>
          <w:sz w:val="24"/>
          <w:highlight w:val="white"/>
        </w:rPr>
        <w:t xml:space="preserve">u thuận lợi, đặc biệt khi mua bán nhà đất Sơn Tây Ba Vì hoặc các lô đất nằm giáp ranh giữa hai khu vực hành chính.</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So sánh giá khu vực và tiềm năng hạ tầng</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Giá nhà đất Sơn Tây đang dao động từ 25–60 triệu/m</w:t>
      </w:r>
      <w:r>
        <w:rPr>
          <w:rFonts w:ascii="Times New Roman" w:hAnsi="Times New Roman" w:eastAsia="Times New Roman" w:cs="Times New Roman"/>
          <w:color w:val="000000" w:themeColor="text1"/>
          <w:sz w:val="24"/>
          <w:highlight w:val="white"/>
          <w:vertAlign w:val="superscript"/>
        </w:rPr>
        <w:t xml:space="preserve">2</w:t>
      </w:r>
      <w:r>
        <w:rPr>
          <w:rFonts w:ascii="Times New Roman" w:hAnsi="Times New Roman" w:eastAsia="Times New Roman" w:cs="Times New Roman"/>
          <w:color w:val="000000" w:themeColor="text1"/>
          <w:sz w:val="24"/>
          <w:highlight w:val="white"/>
        </w:rPr>
        <w:t xml:space="preserve"> tùy khu, rẻ hơn nhiều so với quận nội thành Hà Nội. Tuy nhiên, tiềm năng tăng giá được đánh giá cao nhờ: mở rộng tuyến quốc lộ 32, cao tốc Hòa Lạc Sơn Tây, và dự án vành đai 4. Người mua nên khảo sát ít n</w:t>
      </w:r>
      <w:r>
        <w:rPr>
          <w:rFonts w:ascii="Times New Roman" w:hAnsi="Times New Roman" w:eastAsia="Times New Roman" w:cs="Times New Roman"/>
          <w:color w:val="000000" w:themeColor="text1"/>
          <w:sz w:val="24"/>
          <w:highlight w:val="white"/>
        </w:rPr>
        <w:t xml:space="preserve">hất hai  ba vị trí để so sánh mức giá, từ đó đưa ra quyết định phù hợp.</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Các khu vực như nhà đất Sơn Lộc Sơn Tây Hà Nội, Quang Trung, Lê Lợi thường tăng ổn định nhờ hoạt động dịch vụ sôi động. Trong khi các xã ven như Xuân Sơn, Thanh Mỹ, Cổ Đông phù hợp đầu tư dài hạn vì quỹ đất lớn, giá còn thấp. Khi mua bán nhà đất tại thị xã</w:t>
      </w:r>
      <w:r>
        <w:rPr>
          <w:rFonts w:ascii="Times New Roman" w:hAnsi="Times New Roman" w:eastAsia="Times New Roman" w:cs="Times New Roman"/>
          <w:color w:val="000000" w:themeColor="text1"/>
          <w:sz w:val="24"/>
          <w:highlight w:val="white"/>
        </w:rPr>
        <w:t xml:space="preserve"> Sơn Tây, nên chọn nơi có hạ tầng điện, nước, mạng viễn thông hoàn thiện và khả năng kết nối vùng tốt.</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Đánh giá tiềm năng sinh lời và khai thác thực tế</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Trong 5 năm tới, bất động sản thị xã Sơn Tây hưởng lợi từ xu hướng giãn dân và du lịch nội đô. Với vị trí cửa ngõ phía Tây, nơi đây không chỉ thu hút người dân Hà Nội tìm mua nhà vườn nghỉ dưỡng mà còn hấp dẫn các nhà đầu tư tìm cơ hội sinh lời từ cho thuê</w:t>
      </w:r>
      <w:r>
        <w:rPr>
          <w:rFonts w:ascii="Times New Roman" w:hAnsi="Times New Roman" w:eastAsia="Times New Roman" w:cs="Times New Roman"/>
          <w:color w:val="000000" w:themeColor="text1"/>
          <w:sz w:val="24"/>
          <w:highlight w:val="white"/>
        </w:rPr>
        <w:t xml:space="preserve"> ngắn hạn. Để đánh giá hiệu quả, người mua nên xem xét: Khả năng khai thác thương mại (nhà gần chợ, trường, khu du lịch). Tốc độ tăng giá trung bình hằng năm của khu vực. Uy tín chủ cũ hoặc bên môi giới tham gia giao dịch.</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Kinh nghiệm khi mua bán nhà đất Sơn Tây Hà Nội cho thấy, những căn nhà có thể vừa ở vừa cho thuê khi du lịch phát triển sẽ đạt hiệu suất sinh lời 8–12%/năm, cao hơn nhiều khu vực khác ngoại thành Hà Nội.</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Bất động sản Sơn Tây đang bước vào giai đoạn phát triển mới, mở ra nhiều cơ hội sinh lời cho nhà đầu tư trung hoặc dài hạn. Tuy nhiên, việc nắm bắt thông tin quy hoạch và xu hướng giá là điều quan trọng trước khi ra quyết định. Hãy tiếp cận thị trường với </w:t>
      </w:r>
      <w:r>
        <w:rPr>
          <w:rFonts w:ascii="Times New Roman" w:hAnsi="Times New Roman" w:eastAsia="Times New Roman" w:cs="Times New Roman"/>
          <w:color w:val="000000" w:themeColor="text1"/>
          <w:sz w:val="24"/>
          <w:highlight w:val="white"/>
        </w:rPr>
        <w:t xml:space="preserve">góc nhìn phân tích, dữ liệu thực tế và chiến lược rõ ràng. Đừng bỏ lỡ những cập nhật chuyên sâu từ chúng tôi để đầu tư hiệu quả tại Sơn Tây.</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color w:val="000000" w:themeColor="text1"/>
          <w:highlight w:val="white"/>
        </w:rPr>
      </w:pPr>
      <w:r>
        <w:rPr>
          <w:rFonts w:ascii="Times New Roman" w:hAnsi="Times New Roman" w:eastAsia="Times New Roman" w:cs="Times New Roman"/>
          <w:i/>
          <w:color w:val="000000" w:themeColor="text1"/>
          <w:sz w:val="24"/>
          <w:highlight w:val="white"/>
        </w:rPr>
        <w:t xml:space="preserve">(Nguồn tham khảo: https://thienkhoi.com/tin-tuc-su-kien/blog/bat-dong-san-son-tay)</w:t>
        <w:tab/>
      </w:r>
      <w:r>
        <w:rPr>
          <w:color w:val="000000" w:themeColor="text1"/>
          <w:highlight w:val="white"/>
        </w:rPr>
      </w:r>
      <w:r>
        <w:rPr>
          <w:color w:val="000000" w:themeColor="text1"/>
          <w:highlight w:val="white"/>
        </w:rPr>
      </w:r>
    </w:p>
    <w:p>
      <w:pPr>
        <w:pStyle w:val="1027"/>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1"/>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376"/>
        <w:gridCol w:w="1882"/>
        <w:gridCol w:w="2087"/>
        <w:gridCol w:w="2453"/>
      </w:tblGrid>
      <w:tr>
        <w:trPr>
          <w:trHeight w:val="16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both"/>
              <w:rPr/>
            </w:pPr>
            <w:r>
              <w:rPr>
                <w:rFonts w:ascii="Times New Roman" w:hAnsi="Times New Roman" w:eastAsia="Times New Roman" w:cs="Times New Roman"/>
                <w:b/>
                <w:color w:val="000000"/>
                <w:sz w:val="24"/>
              </w:rPr>
              <w:t xml:space="preserve">Quyền sử dụng đất tại thửa đất số: 285-4, tờ bản đồ số: 11 có địa chỉ: Thôn Tân Phú, xã Sơn Đông, thị xã Sơn Tây, thành phố Hà Nội (nay là xã Đoài Phương, thành phố Hà Nội) theo Giấy chứng nhận quyền sử dụng đất quyền sở hữu nhà</w:t>
            </w:r>
            <w:r>
              <w:rPr>
                <w:rFonts w:ascii="Times New Roman" w:hAnsi="Times New Roman" w:eastAsia="Times New Roman" w:cs="Times New Roman"/>
                <w:b/>
                <w:color w:val="000000"/>
                <w:sz w:val="24"/>
              </w:rPr>
              <w:t xml:space="preserve"> ở và tài sản khác gắn liền với đất số: BY 636785, số vào sổ cấp GCN: CS-ST 00131 do Sở Tài nguyên và Môi trường thành phố Hà Nội cấp ngày 14/7/2015 cho ông Hoàng Văn Ngọc</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b/>
                <w:color w:val="000000"/>
                <w:sz w:val="24"/>
              </w:rPr>
              <w:t xml:space="preserve">Thửa đất:</w:t>
            </w:r>
            <w:r/>
          </w:p>
        </w:tc>
      </w:tr>
      <w:tr>
        <w:trPr>
          <w:trHeight w:val="30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285-4</w:t>
            </w:r>
            <w:r/>
          </w:p>
        </w:tc>
        <w:tc>
          <w:tcPr>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11</w:t>
            </w:r>
            <w:r/>
          </w:p>
        </w:tc>
      </w:tr>
      <w:tr>
        <w:trPr>
          <w:trHeight w:val="683"/>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Thôn Tân Phú, xã Sơn Đông, thị xã Sơn Tây, thành phố Hà Nội (nay là xã Đoài Phương, thành phố Hà Nội)</w:t>
            </w:r>
            <w:r/>
          </w:p>
        </w:tc>
      </w:tr>
      <w:tr>
        <w:trPr>
          <w:trHeight w:val="40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highlight w:val="none"/>
              </w:rPr>
            </w:pPr>
            <w:r>
              <w:rPr>
                <w:rFonts w:ascii="Times New Roman" w:hAnsi="Times New Roman" w:eastAsia="Times New Roman" w:cs="Times New Roman"/>
                <w:color w:val="000000"/>
                <w:sz w:val="24"/>
                <w:highlight w:val="none"/>
              </w:rPr>
              <w:t xml:space="preserve">Diện tích (m²):</w:t>
            </w:r>
            <w:r>
              <w:rPr>
                <w:highlight w:val="none"/>
              </w:rPr>
            </w:r>
            <w:r>
              <w:rPr>
                <w:highlight w:val="none"/>
              </w:rPr>
            </w:r>
          </w:p>
        </w:tc>
        <w:tc>
          <w:tcPr>
            <w:tcBorders>
              <w:bottom w:val="single" w:color="000000" w:sz="8" w:space="0"/>
              <w:right w:val="single" w:color="000000" w:sz="8" w:space="0"/>
            </w:tcBorders>
            <w:tcMar>
              <w:left w:w="108" w:type="dxa"/>
              <w:top w:w="0" w:type="dxa"/>
              <w:right w:w="108" w:type="dxa"/>
              <w:bottom w:w="0" w:type="dxa"/>
            </w:tcMar>
            <w:tcW w:w="18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highlight w:val="none"/>
              </w:rPr>
            </w:pPr>
            <w:r>
              <w:rPr>
                <w:rFonts w:ascii="Times New Roman" w:hAnsi="Times New Roman" w:eastAsia="Times New Roman" w:cs="Times New Roman"/>
                <w:color w:val="000000"/>
                <w:sz w:val="24"/>
                <w:highlight w:val="none"/>
              </w:rPr>
              <w:t xml:space="preserve">126,70 </w:t>
            </w:r>
            <w:r>
              <w:rPr>
                <w:highlight w:val="none"/>
              </w:rPr>
            </w:r>
            <w:r>
              <w:rPr>
                <w:highlight w:val="none"/>
              </w:rPr>
            </w:r>
          </w:p>
        </w:tc>
        <w:tc>
          <w:tcPr>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Sử dụng riêng</w:t>
            </w:r>
            <w:r/>
          </w:p>
        </w:tc>
      </w:tr>
      <w:tr>
        <w:trPr>
          <w:trHeight w:val="123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Đất ở tại nông thôn (60m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w:t>
              <w:br/>
              <w:t xml:space="preserve"> Đất trồng cây lâu năm (66,7m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t xml:space="preserve">Đất ở: Lâu dài.</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before="0" w:beforeAutospacing="0"/>
              <w:ind w:right="0" w:firstLine="0" w:left="0"/>
              <w:rPr>
                <w:highlight w:val="yellow"/>
              </w:rPr>
            </w:pPr>
            <w:r>
              <w:rPr>
                <w:rFonts w:ascii="Times New Roman" w:hAnsi="Times New Roman" w:eastAsia="Times New Roman" w:cs="Times New Roman"/>
                <w:color w:val="000000"/>
                <w:sz w:val="24"/>
                <w:highlight w:val="none"/>
              </w:rPr>
              <w:t xml:space="preserve">Đất trồng cây lâu năm: 15/10/2043.</w:t>
            </w:r>
            <w:r>
              <w:rPr>
                <w:highlight w:val="yellow"/>
              </w:rPr>
            </w:r>
            <w:r>
              <w:rPr>
                <w:highlight w:val="yellow"/>
              </w:rPr>
            </w:r>
          </w:p>
        </w:tc>
      </w:tr>
      <w:tr>
        <w:trPr>
          <w:trHeight w:val="30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4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Nhận tặng cho đất được Công nhận QSDĐ như giao đất có thu tiền sử dụng đất 60m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nhận QSDĐ như giao đất không thu tiền sử dụng đất 66,7m</w:t>
            </w:r>
            <w:r>
              <w:rPr>
                <w:rFonts w:ascii="Times New Roman" w:hAnsi="Times New Roman" w:eastAsia="Times New Roman" w:cs="Times New Roman"/>
                <w:color w:val="000000"/>
                <w:sz w:val="24"/>
                <w:vertAlign w:val="superscript"/>
              </w:rPr>
              <w:t xml:space="preserve">2</w:t>
            </w:r>
            <w:r/>
          </w:p>
        </w:tc>
      </w:tr>
      <w:tr>
        <w:trPr>
          <w:trHeight w:val="30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4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30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b/>
                <w:color w:val="000000"/>
                <w:sz w:val="24"/>
              </w:rPr>
              <w:t xml:space="preserve">Vị trí; Giao thông;</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Thôn Tân Phú, xã Sơn Đông, thị xã Sơn Tây, thành phố Hà Nội (nay là xã Đoài Phương, thành phố Hà Nội)</w:t>
            </w:r>
            <w:r/>
          </w:p>
        </w:tc>
      </w:tr>
      <w:tr>
        <w:trPr>
          <w:trHeight w:val="123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8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Đường bê tông</w:t>
            </w:r>
            <w:r/>
          </w:p>
        </w:tc>
        <w:tc>
          <w:tcPr>
            <w:tcBorders>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1 mặt tiền</w:t>
            </w:r>
            <w:r/>
          </w:p>
        </w:tc>
      </w:tr>
      <w:tr>
        <w:trPr>
          <w:trHeight w:val="1230"/>
        </w:trPr>
        <w:tc>
          <w:tcPr>
            <w:tcBorders>
              <w:left w:val="single" w:color="000000" w:sz="8" w:space="0"/>
              <w:bottom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ff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both"/>
              <w:rPr/>
            </w:pPr>
            <w:r>
              <w:rPr>
                <w:rFonts w:ascii="Times New Roman" w:hAnsi="Times New Roman" w:eastAsia="Times New Roman" w:cs="Times New Roman"/>
                <w:color w:val="ff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8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4,5m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both"/>
              <w:rPr/>
            </w:pPr>
            <w:r>
              <w:rPr>
                <w:rFonts w:ascii="Times New Roman" w:hAnsi="Times New Roman" w:eastAsia="Times New Roman" w:cs="Times New Roman"/>
                <w:color w:val="ff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6m</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Tài sản cách đường QL 21 khoảng 70m</w:t>
            </w:r>
            <w:r/>
          </w:p>
        </w:tc>
      </w:tr>
      <w:tr>
        <w:trPr>
          <w:trHeight w:val="30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9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0" w:beforeAutospacing="0"/>
              <w:ind w:right="0" w:firstLine="0" w:left="0"/>
              <w:rPr/>
            </w:pPr>
            <w:r>
              <w:rPr>
                <w:rFonts w:ascii="Times New Roman" w:hAnsi="Times New Roman" w:eastAsia="Times New Roman" w:cs="Times New Roman"/>
                <w:color w:val="000000"/>
                <w:sz w:val="24"/>
              </w:rPr>
              <w:t xml:space="preserve">Vị trí trên bản đồ vệ tinh: (21.081044, 105.503699)</w:t>
            </w:r>
            <w:r/>
          </w:p>
        </w:tc>
      </w:tr>
      <w:tr>
        <w:trPr>
          <w:trHeight w:val="621"/>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444765" cy="2833283"/>
                      <wp:effectExtent l="0" t="0" r="0" b="0"/>
                      <wp:docPr id="5" name=""/>
                      <wp:cNvGraphicFramePr/>
                      <a:graphic xmlns:a="http://schemas.openxmlformats.org/drawingml/2006/main">
                        <a:graphicData uri="http://schemas.openxmlformats.org/drawingml/2006/picture">
                          <pic:pic xmlns:pic="http://schemas.openxmlformats.org/drawingml/2006/picture">
                            <pic:nvPicPr>
                              <pic:cNvPr id="1202813822" name="" descr=""/>
                              <pic:cNvPicPr/>
                              <pic:nvPr/>
                            </pic:nvPicPr>
                            <pic:blipFill rotWithShape="1">
                              <a:blip r:embed="rId17"/>
                              <a:stretch/>
                            </pic:blipFill>
                            <pic:spPr bwMode="auto">
                              <a:xfrm rot="0" flipH="0" flipV="0">
                                <a:off x="0" y="0"/>
                                <a:ext cx="5444764" cy="28332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72pt;height:223.09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0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8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126,7</w:t>
            </w:r>
            <w:r/>
          </w:p>
        </w:tc>
        <w:tc>
          <w:tcPr>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w:t>
            </w:r>
            <w:r/>
          </w:p>
        </w:tc>
      </w:tr>
      <w:tr>
        <w:trPr>
          <w:trHeight w:val="30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18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6,65</w:t>
            </w:r>
            <w:r/>
          </w:p>
        </w:tc>
        <w:tc>
          <w:tcPr>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21,57</w:t>
            </w:r>
            <w:r/>
          </w:p>
        </w:tc>
      </w:tr>
      <w:tr>
        <w:trPr>
          <w:trHeight w:val="73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8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Thóp hậu</w:t>
            </w:r>
            <w:r/>
          </w:p>
        </w:tc>
        <w:tc>
          <w:tcPr>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Hướng mặt tiền:</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Hướng Đông Nam</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41"/>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4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71"/>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4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8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Ổn định</w:t>
            </w:r>
            <w:r/>
          </w:p>
        </w:tc>
      </w:tr>
      <w:tr>
        <w:trPr>
          <w:trHeight w:val="614"/>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Tốt </w:t>
            </w:r>
            <w:r/>
          </w:p>
        </w:tc>
      </w:tr>
      <w:tr>
        <w:trPr>
          <w:trHeight w:val="501"/>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42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- 01 nhà 2 tầng kết cấu tường gạch, nền, sàn BTCT. Hiện trạng công trình xây dựng trên đã cũ. </w:t>
              <w:br/>
              <w:t xml:space="preserve"> Hiện công trình xây dựng trên chưa được chứng nhận trên Giấy chứng nhận quyền sử dụng đất, quyền sở hữu nhà ở và tài sản khác gắn liền với đất số BY 636785.</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b/>
          <w:bCs/>
          <w:color w:val="000000" w:themeColor="text1"/>
          <w:highlight w:val="none"/>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b/>
          <w:bCs/>
          <w:color w:val="000000" w:themeColor="text1"/>
          <w:highlight w:val="none"/>
        </w:rPr>
      </w:r>
      <w:r>
        <w:rPr>
          <w:b/>
          <w:bCs/>
          <w:color w:val="000000" w:themeColor="text1"/>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4"/>
          <w:highlight w:val="none"/>
        </w:rPr>
        <w:t xml:space="preserve">Qua khảo sát hiện trạng tài sản, tổ thẩm định nhận thấy trên đất có 01 tài sản là Nhà 02 tầng, tường gạch, sàn BTCT. Hiện công trình xây dựng này chưa được chứng nhận trên </w:t>
      </w:r>
      <w:r>
        <w:rPr>
          <w:rFonts w:ascii="Times New Roman" w:hAnsi="Times New Roman" w:eastAsia="Times New Roman" w:cs="Times New Roman"/>
          <w:color w:val="000000" w:themeColor="text1"/>
          <w:sz w:val="24"/>
          <w:highlight w:val="none"/>
        </w:rPr>
        <w:t xml:space="preserve">Giấy chứng nhận quyền sử dụng đất quyền sở hữu nhà ở và tài sản khác gắn liền với đất số: BY 636785, số vào sổ cấp GCN: CS-ST 00131 do Sở Tài nguyên và Môi trường thành phố Hà Nội cấp ngày 14/7/2015 cho ông Hoàng Văn Ngọc. </w:t>
      </w:r>
      <w:r>
        <w:rPr>
          <w:rFonts w:ascii="Times New Roman" w:hAnsi="Times New Roman" w:eastAsia="Times New Roman" w:cs="Times New Roman"/>
          <w:color w:val="000000" w:themeColor="text1"/>
          <w:sz w:val="24"/>
          <w:highlight w:val="none"/>
        </w:rPr>
        <w:t xml:space="preserve">Mặt khác, tổ thẩm định không thu thập được bất kỳ hồ sơ tài liệu pháp lý nào (giấy phép xây dựng, hồ sơ thiết kế, hồ sơ hoàn công…) liên quan đến công trình nhà ở này. Do đó, kết quả của Chứng thư và Báo cáo Thẩm định giá của chúng tôi chỉ xác định Giá trị</w:t>
      </w:r>
      <w:r>
        <w:rPr>
          <w:rFonts w:ascii="Times New Roman" w:hAnsi="Times New Roman" w:eastAsia="Times New Roman" w:cs="Times New Roman"/>
          <w:color w:val="000000" w:themeColor="text1"/>
          <w:sz w:val="24"/>
          <w:highlight w:val="none"/>
        </w:rPr>
        <w:t xml:space="preserve"> quyền sử dụng đất. Kính đề nghị người sử dụng Chứng thư, Báo cáo thẩm định giá này (các tổ chức tín dụng) lưu ý khi xét cấp tín dụng.</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843"/>
        <w:gridCol w:w="1749"/>
        <w:gridCol w:w="1749"/>
        <w:gridCol w:w="1749"/>
        <w:gridCol w:w="1749"/>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9"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9"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9"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49" w:type="dxa"/>
            <w:vAlign w:val="top"/>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top"/>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top"/>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Thôn Tân Phú, xã Sơn Đông, thị xã Sơn Tây, thành phố Hà Nội (nay là xã Đoài Phương, thành phố Hà Nội)</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Xã Sơn Đông, thị xã Sơn Tây, thành phố Hà Nội (nay là xã Đoài Phương, thành phố Hà Nội)</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Thôn Vạn An, xã Sơn Đông, thị xã Sơn Tây, thành phố Hà Nội (nay là xã Đoài Phương, thành phố Hà Nội)</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Xã Sơn Đông, thị xã Sơn Tây, thành phố Hà Nội (nay là xã Đoài Phương,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https://www.facebook.com/share/p/182UKfx6ED/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https://www.facebook.com/share/p/16tAmjtsVC/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SDT: 0385256568</w:t>
              <w:br/>
              <w:t xml:space="preserve"> (Sale Nguyễn Thanh Hoa)</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SDT: 0989675619</w:t>
              <w:br/>
              <w:t xml:space="preserve"> (Sale Anh Long)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SDT: 0969492119</w:t>
              <w:br/>
              <w:t xml:space="preserve"> (Sale Chị Thúy An)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Tháng 01/2026</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Tháng 01/2026</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Tháng 01/2026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 (60m</w:t>
            </w:r>
            <w:r>
              <w:rPr>
                <w:rFonts w:ascii="Times New Roman" w:hAnsi="Times New Roman" w:eastAsia="Times New Roman" w:cs="Times New Roman"/>
                <w:color w:val="000000"/>
                <w:sz w:val="22"/>
                <w:vertAlign w:val="superscript"/>
              </w:rPr>
              <w:t xml:space="preserve">2</w:t>
            </w:r>
            <w:r>
              <w:rPr>
                <w:rFonts w:ascii="Times New Roman" w:hAnsi="Times New Roman" w:eastAsia="Times New Roman" w:cs="Times New Roman"/>
                <w:color w:val="000000"/>
                <w:sz w:val="22"/>
              </w:rPr>
              <w:t xml:space="preserve">)</w:t>
              <w:br/>
              <w:t xml:space="preserve"> Đất trồng cây lâu năm (66,7m</w:t>
            </w:r>
            <w:r>
              <w:rPr>
                <w:rFonts w:ascii="Times New Roman" w:hAnsi="Times New Roman" w:eastAsia="Times New Roman" w:cs="Times New Roman"/>
                <w:color w:val="000000"/>
                <w:sz w:val="22"/>
                <w:vertAlign w:val="superscript"/>
              </w:rPr>
              <w:t xml:space="preserve">2</w:t>
            </w: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Đất ở nông thôn (100 m²), Đất trồng cây lâu năm (191,5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Đất ở tại đô thị (60 m²), Đất trồng cây lâu năm (55,5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Đất ở nông thôn (100 m²), Đất trồng cây lâu năm (116 m²)</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 (đến 14/10/2043, 17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 (đến 14/10/2043, 17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Đất ở tại đô thị – Lâu dài, Đất trồng cây lâu năm – Có thời hạn (đến 14/10/2045, 19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Tài sản tại: Thôn Tân Phú, xã Sơn Đông, Thị xã Sơn Tây, Thành phố Hà Nội, khoảng cách ra đường chính Tài sản cách QL 21 khoảng 70m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Tài sản tại: Xã Sơn Đông, Thị xã Sơn Tây, Thành phố Hà Nội, khoảng cách ra đường chính Cách DT82 khoảng 190m, cách QL 21 khoảng 1,5km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Tài sản tại: Thôn Vạn An, Xã Sơn Đông, Thị xã Sơn Tây, Thành phố Hà Nội, khoảng cách ra đường chính Tài sản cách trục chính thôn Vạn An, cách QL 21 khoảng 1,4km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Tài sản tại: Xã Sơn Đông, Thị xã Sơn Tây, Thành phố Hà Nội, khoảng cách ra đường chính Tài sản QL21 A khoảng 600m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Độ rộng nhỏ nhất từ đường chính vào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5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126,7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291,5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115,5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216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6,65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23,28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highlight w:val="none"/>
              </w:rPr>
            </w:pPr>
            <w:r>
              <w:rPr>
                <w:rFonts w:ascii="Times New Roman" w:hAnsi="Times New Roman" w:eastAsia="Times New Roman" w:cs="Times New Roman"/>
                <w:color w:val="000000"/>
                <w:sz w:val="22"/>
                <w:highlight w:val="none"/>
              </w:rPr>
              <w:t xml:space="preserve">21,57</w:t>
            </w:r>
            <w:r>
              <w:rPr>
                <w:highlight w:val="none"/>
              </w:rPr>
            </w:r>
            <w:r>
              <w:rPr>
                <w:highlight w: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12,52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23,1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21,6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Thóp hậu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Kém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Kém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Ngõ cụt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3.500.000.000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2.400.000.000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2.819.700.000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3.255.000.000</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2.136.000.000</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2.537.730.000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3.255.000.000</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2.136.000.000</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2.537.730.000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11.166.381</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18.493.506</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11.748.750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Độ rộng nhỏ nhất từ đường chính vào tài sản (m)</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43"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Bất lợi thương mại</w:t>
            </w:r>
            <w:r/>
          </w:p>
        </w:tc>
        <w:tc>
          <w:tcPr>
            <w:tcBorders>
              <w:bottom w:val="single" w:color="000000" w:sz="8" w:space="0"/>
              <w:right w:val="single" w:color="000000" w:sz="8" w:space="0"/>
            </w:tcBorders>
            <w:tcMar>
              <w:left w:w="108" w:type="dxa"/>
              <w:top w:w="0" w:type="dxa"/>
              <w:right w:w="108" w:type="dxa"/>
              <w:bottom w:w="0" w:type="dxa"/>
            </w:tcMar>
            <w:tcW w:w="1749" w:type="dxa"/>
            <w:vAlign w:val="bottom"/>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1"/>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67"/>
        <w:gridCol w:w="1927"/>
        <w:gridCol w:w="1134"/>
        <w:gridCol w:w="1363"/>
        <w:gridCol w:w="1570"/>
        <w:gridCol w:w="1570"/>
        <w:gridCol w:w="1570"/>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108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3.255.000.000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2.136.000.000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2.537.730.000</w:t>
            </w:r>
            <w:r/>
          </w:p>
        </w:tc>
      </w:tr>
      <w:tr>
        <w:trPr>
          <w:trHeight w:val="39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11.166.381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18.493.506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11.748.750</w:t>
            </w:r>
            <w:r/>
          </w:p>
        </w:tc>
      </w:tr>
      <w:tr>
        <w:trPr>
          <w:trHeight w:val="525"/>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spacing w:after="0" w:before="6" w:beforeAutospacing="0" w:line="240" w:lineRule="auto"/>
              <w:ind/>
              <w:rPr/>
            </w:pPr>
            <w:r/>
            <w:r/>
          </w:p>
        </w:tc>
      </w:tr>
      <w:tr>
        <w:trPr>
          <w:trHeight w:val="81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11.166.381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18.493.506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11.748.750</w:t>
            </w:r>
            <w:r/>
          </w:p>
        </w:tc>
      </w:tr>
      <w:tr>
        <w:trPr>
          <w:trHeight w:val="81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11.166.381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18.493.506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11.748.750</w:t>
            </w:r>
            <w:r/>
          </w:p>
        </w:tc>
      </w:tr>
      <w:tr>
        <w:trPr>
          <w:trHeight w:val="135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Đất ở tại nông thôn (60</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vertAlign w:val="superscript"/>
              </w:rPr>
              <w:t xml:space="preserve">2</w:t>
            </w:r>
            <w:r>
              <w:rPr>
                <w:rFonts w:ascii="Times New Roman" w:hAnsi="Times New Roman" w:eastAsia="Times New Roman" w:cs="Times New Roman"/>
                <w:b/>
                <w:color w:val="000000"/>
                <w:sz w:val="22"/>
              </w:rPr>
              <w:t xml:space="preserve">)</w:t>
              <w:br/>
              <w:t xml:space="preserve"> Đất trồng cây lâu năm (66,7m</w:t>
            </w:r>
            <w:r>
              <w:rPr>
                <w:rFonts w:ascii="Times New Roman" w:hAnsi="Times New Roman" w:eastAsia="Times New Roman" w:cs="Times New Roman"/>
                <w:b/>
                <w:color w:val="000000"/>
                <w:sz w:val="22"/>
                <w:vertAlign w:val="superscript"/>
              </w:rPr>
              <w:t xml:space="preserve">2</w:t>
            </w:r>
            <w:r>
              <w:rPr>
                <w:rFonts w:ascii="Times New Roman" w:hAnsi="Times New Roman" w:eastAsia="Times New Roman" w:cs="Times New Roman"/>
                <w:b/>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Đất ở nông thôn (100 m²), Đất trồng cây lâu năm (191,5 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Đất ở tại đô thị (60 m²), Đất trồng cây lâu năm (55,5 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Đất ở nông thôn (100 m²), Đất trồng cây lâu năm (116 m²)</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1.116.638</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12.283.019</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18.493.506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11.748.750</w:t>
            </w:r>
            <w:r/>
          </w:p>
        </w:tc>
      </w:tr>
      <w:tr>
        <w:trPr>
          <w:trHeight w:val="189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Đất ở nông thôn – Lâu dài, Đất trồng cây lâu năm – Có thời hạn (đến 14/10/2043, 17 năm)</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Đất ở nông thôn – Lâu dài, Đất trồng cây lâu năm – Có thời hạn (đến 14/10/2043, 17 năm)</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Đất ở tại đô thị – Lâu dài, Đất trồng cây lâu năm – Có thời hạn (đến 14/10/2045, 19 năm)</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Đất ở nông thôn – Lâu dài, Đất trồng cây lâu năm – Có thời hạn</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12.283.019</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18.493.506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11.748.750</w:t>
            </w:r>
            <w:r/>
          </w:p>
        </w:tc>
      </w:tr>
      <w:tr>
        <w:trPr>
          <w:trHeight w:val="187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Tài sản tại: Thôn Tân Phú, xã Sơn Đông, Thị xã Sơn Tây, Thành phố Hà Nội, khoảng cách ra đường chính Tài sản cách QL 21 khoảng 70m</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Tài sản tại: Xã Sơn Đông, Thị xã Sơn Tây, Thành phố Hà Nội, khoảng cách ra đường chính Cách DT82 khoảng 190m, cách QL 21 khoảng 1,5km</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Tài sản tại: Thôn Vạn An, Xã Sơn Đông, Thị xã Sơn Tây, Thành phố Hà Nội, khoảng cách ra đường chính Tài sản cách trục chính thôn Vạn An, cách QL 21 khoảng 1,4km</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Tài sản tại: Xã Sơn Đông, Thị xã Sơn Tây, Thành phố Hà Nội, khoảng cách ra đường chính Tài sản QL21 A khoảng 600m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1.116.638</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13.399.657</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18.493.506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11.748.750</w:t>
            </w:r>
            <w:r/>
          </w:p>
        </w:tc>
      </w:tr>
      <w:tr>
        <w:trPr>
          <w:trHeight w:val="278"/>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Đường bê tông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13.399.657</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18.493.506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11.748.750</w:t>
            </w:r>
            <w:r/>
          </w:p>
        </w:tc>
      </w:tr>
      <w:tr>
        <w:trPr>
          <w:trHeight w:val="624"/>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3,1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3</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3,00%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334.991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369.870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352.463</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13.734.648</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18.863.377</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12.101.213</w:t>
            </w:r>
            <w:r/>
          </w:p>
        </w:tc>
      </w:tr>
      <w:tr>
        <w:trPr>
          <w:trHeight w:val="81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Độ rộng nhỏ nhất từ đường chính vào tài sản (m)</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4,5</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3,1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3</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1.116.638</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1.174.875</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14.851.286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18.863.377</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13.276.088</w:t>
            </w:r>
            <w:r/>
          </w:p>
        </w:tc>
      </w:tr>
      <w:tr>
        <w:trPr>
          <w:trHeight w:val="81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Cơ sở hạ tầng kỹ thuật</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Hạ tầng khu dân cư thông thường</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14.851.286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18.863.377</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13.276.088</w:t>
            </w:r>
            <w:r/>
          </w:p>
        </w:tc>
      </w:tr>
      <w:tr>
        <w:trPr>
          <w:trHeight w:val="278"/>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126,7</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291,5</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115,5</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216</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1.339.966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1.174.875</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16.191.252</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18.863.377</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14.450.963</w:t>
            </w:r>
            <w:r/>
          </w:p>
        </w:tc>
      </w:tr>
      <w:tr>
        <w:trPr>
          <w:trHeight w:val="278"/>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6,65</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23,28</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10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-4,00%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-1.116.638</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369.870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-469.950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15.074.614</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19.233.247</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13.981.013</w:t>
            </w:r>
            <w:r/>
          </w:p>
        </w:tc>
      </w:tr>
      <w:tr>
        <w:trPr>
          <w:trHeight w:val="81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Tiếp giáp 1 mặt tiền</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15.074.614</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19.233.247</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13.981.013</w:t>
            </w:r>
            <w:r/>
          </w:p>
        </w:tc>
      </w:tr>
      <w:tr>
        <w:trPr>
          <w:trHeight w:val="54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C13</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Thóp hậu</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Đa giác khác</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223.328</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-1.849.351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-1.174.875</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15.297.942</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17.383.896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12.806.138</w:t>
            </w:r>
            <w:r/>
          </w:p>
        </w:tc>
      </w:tr>
      <w:tr>
        <w:trPr>
          <w:trHeight w:val="54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C13</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Trung bình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Kém</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Kém</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558.319</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-924.675</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587.438</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15.856.261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16.459.221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13.393.575</w:t>
            </w:r>
            <w:r/>
          </w:p>
        </w:tc>
      </w:tr>
      <w:tr>
        <w:trPr>
          <w:trHeight w:val="54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C13</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Bất lợi thương mại</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Ngõ cụt</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Ngõ cụt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558.319</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587.438</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16.414.580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16.459.221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13.981.013</w:t>
            </w:r>
            <w:r/>
          </w:p>
        </w:tc>
      </w:tr>
      <w:tr>
        <w:trPr>
          <w:trHeight w:val="27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16.414.580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16.459.221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13.981.013</w:t>
            </w:r>
            <w:r/>
          </w:p>
        </w:tc>
      </w:tr>
      <w:tr>
        <w:trPr>
          <w:trHeight w:val="278"/>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tcPr>
          <w:p>
            <w:pPr>
              <w:pBdr/>
              <w:spacing w:after="0" w:before="6" w:beforeAutospacing="0" w:line="240" w:lineRule="auto"/>
              <w:ind/>
              <w:rPr/>
            </w:pPr>
            <w:r/>
            <w:r/>
          </w:p>
        </w:tc>
        <w:tc>
          <w:tcPr>
            <w:gridSpan w:val="3"/>
            <w:shd w:val="clear" w:color="ffffff" w:fill="ffffff"/>
            <w:tcBorders>
              <w:bottom w:val="single" w:color="000000" w:sz="8" w:space="0"/>
              <w:right w:val="single" w:color="000000" w:sz="8" w:space="0"/>
            </w:tcBorders>
            <w:tcMar>
              <w:left w:w="57" w:type="dxa"/>
              <w:top w:w="0" w:type="dxa"/>
              <w:right w:w="51" w:type="dxa"/>
              <w:bottom w:w="0" w:type="dxa"/>
            </w:tcMar>
            <w:tcW w:w="47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15.618.271</w:t>
            </w:r>
            <w:r/>
          </w:p>
        </w:tc>
      </w:tr>
      <w:tr>
        <w:trPr>
          <w:trHeight w:val="30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5,10%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5,38%</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-10,48%</w:t>
            </w:r>
            <w:r/>
          </w:p>
        </w:tc>
      </w:tr>
      <w:tr>
        <w:trPr>
          <w:trHeight w:val="810"/>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spacing w:after="0" w:before="6" w:beforeAutospacing="0" w:line="240" w:lineRule="auto"/>
              <w:ind/>
              <w:rPr/>
            </w:pPr>
            <w:r/>
            <w:r/>
          </w:p>
        </w:tc>
      </w:tr>
      <w:tr>
        <w:trPr>
          <w:trHeight w:val="555"/>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7.481.475</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3.513.766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b/>
                <w:color w:val="000000"/>
                <w:sz w:val="22"/>
              </w:rPr>
              <w:t xml:space="preserve">5.521.913</w:t>
            </w:r>
            <w:r/>
          </w:p>
        </w:tc>
      </w:tr>
      <w:tr>
        <w:trPr>
          <w:trHeight w:val="555"/>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ff0000"/>
                <w:sz w:val="22"/>
              </w:rPr>
              <w:t xml:space="preserve">E2</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ff0000"/>
                <w:sz w:val="22"/>
              </w:rPr>
              <w:t xml:space="preserve">Tổng số lần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ff0000"/>
                <w:sz w:val="22"/>
              </w:rPr>
              <w:t xml:space="preserve">Lần</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6</w:t>
            </w:r>
            <w:r/>
          </w:p>
        </w:tc>
      </w:tr>
      <w:tr>
        <w:trPr>
          <w:trHeight w:val="278"/>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ff0000"/>
                <w:sz w:val="22"/>
              </w:rPr>
              <w:t xml:space="preserve">E3</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ff0000"/>
                <w:sz w:val="22"/>
              </w:rPr>
              <w:t xml:space="preserve">Biên độ điều chỉnh</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val="false"/>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ff0000"/>
                <w:sz w:val="22"/>
              </w:rPr>
              <w:t xml:space="preserve">10% - 12%</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ff0000"/>
                <w:sz w:val="22"/>
              </w:rPr>
              <w:t xml:space="preserve">2% - 10%</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ff0000"/>
                <w:sz w:val="22"/>
              </w:rPr>
              <w:t xml:space="preserve">10% - 10%</w:t>
            </w:r>
            <w:r/>
          </w:p>
        </w:tc>
      </w:tr>
      <w:tr>
        <w:trPr>
          <w:trHeight w:val="555"/>
        </w:trPr>
        <w:tc>
          <w:tcPr>
            <w:shd w:val="clear" w:color="ffffff" w:fill="ffffff"/>
            <w:tcBorders>
              <w:left w:val="single" w:color="000000" w:sz="8" w:space="0"/>
              <w:bottom w:val="single" w:color="000000" w:sz="8" w:space="0"/>
              <w:right w:val="single" w:color="000000" w:sz="8" w:space="0"/>
            </w:tcBorders>
            <w:tcMar>
              <w:left w:w="57" w:type="dxa"/>
              <w:top w:w="0" w:type="dxa"/>
              <w:right w:w="51"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57" w:type="dxa"/>
              <w:top w:w="0" w:type="dxa"/>
              <w:right w:w="51"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57" w:type="dxa"/>
              <w:top w:w="0" w:type="dxa"/>
              <w:right w:w="51" w:type="dxa"/>
              <w:bottom w:w="0" w:type="dxa"/>
            </w:tcMar>
            <w:tcW w:w="1363" w:type="dxa"/>
            <w:vAlign w:val="center"/>
            <w:textDirection w:val="lrTb"/>
            <w:noWrap/>
          </w:tcPr>
          <w:p>
            <w:pPr>
              <w:pBdr/>
              <w:spacing w:after="0" w:before="6" w:beforeAutospacing="0" w:line="240" w:lineRule="auto"/>
              <w:ind/>
              <w:rPr/>
            </w:pPr>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5.248.199</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2.034.286</w:t>
            </w:r>
            <w:r/>
          </w:p>
        </w:tc>
        <w:tc>
          <w:tcPr>
            <w:shd w:val="clear" w:color="ffffff" w:fill="ffffff"/>
            <w:tcBorders>
              <w:bottom w:val="single" w:color="000000" w:sz="8" w:space="0"/>
              <w:right w:val="single" w:color="000000" w:sz="8" w:space="0"/>
            </w:tcBorders>
            <w:tcMar>
              <w:left w:w="57" w:type="dxa"/>
              <w:top w:w="0" w:type="dxa"/>
              <w:right w:w="51" w:type="dxa"/>
              <w:bottom w:w="0" w:type="dxa"/>
            </w:tcMar>
            <w:tcW w:w="15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6" w:beforeAutospacing="0"/>
              <w:ind w:right="0" w:firstLine="0" w:left="0"/>
              <w:jc w:val="center"/>
              <w:rPr/>
            </w:pPr>
            <w:r>
              <w:rPr>
                <w:rFonts w:ascii="Times New Roman" w:hAnsi="Times New Roman" w:eastAsia="Times New Roman" w:cs="Times New Roman"/>
                <w:color w:val="000000"/>
                <w:sz w:val="22"/>
              </w:rPr>
              <w:t xml:space="preserve">2.232.263</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top w:val="none" w:color="000000" w:sz="4" w:space="0"/>
          <w:left w:val="none" w:color="000000" w:sz="4" w:space="0"/>
          <w:bottom w:val="none" w:color="000000" w:sz="4" w:space="0"/>
          <w:right w:val="none" w:color="000000" w:sz="4" w:space="0"/>
        </w:pBdr>
        <w:spacing w:line="253"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Theo số liệu tại mục D2, chênh lệch giữa mức giá trung bình của các mức giá chỉ dẫn nằm trong khoảng </w:t>
      </w:r>
      <w:r>
        <w:rPr>
          <w:rFonts w:ascii="Times New Roman" w:hAnsi="Times New Roman" w:eastAsia="Times New Roman" w:cs="Times New Roman"/>
          <w:color w:val="000000"/>
          <w:sz w:val="24"/>
          <w:szCs w:val="24"/>
          <w:highlight w:val="none"/>
        </w:rPr>
        <w:t xml:space="preserve">từ</w:t>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color w:val="000000"/>
          <w:sz w:val="24"/>
          <w:szCs w:val="24"/>
          <w:highlight w:val="none"/>
        </w:rPr>
        <w:t xml:space="preserve">-</w:t>
      </w:r>
      <w:r>
        <w:rPr>
          <w:rFonts w:ascii="Times New Roman" w:hAnsi="Times New Roman" w:eastAsia="Times New Roman" w:cs="Times New Roman"/>
          <w:color w:val="000000"/>
          <w:sz w:val="24"/>
          <w:szCs w:val="24"/>
          <w:highlight w:val="none"/>
        </w:rPr>
        <w:t xml:space="preserve">10,48%</w:t>
      </w:r>
      <w:r>
        <w:rPr>
          <w:rFonts w:ascii="Times New Roman" w:hAnsi="Times New Roman" w:eastAsia="Times New Roman" w:cs="Times New Roman"/>
          <w:color w:val="ff0000"/>
          <w:sz w:val="24"/>
          <w:szCs w:val="24"/>
          <w:highlight w:val="none"/>
        </w:rPr>
        <w:t xml:space="preserve"> đến </w:t>
      </w:r>
      <w:r>
        <w:rPr>
          <w:rFonts w:ascii="Times New Roman" w:hAnsi="Times New Roman" w:eastAsia="Times New Roman" w:cs="Times New Roman"/>
          <w:color w:val="000000"/>
          <w:sz w:val="24"/>
          <w:szCs w:val="24"/>
          <w:highlight w:val="none"/>
        </w:rPr>
        <w:t xml:space="preserve">5,38%</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color w:val="000000"/>
          <w:sz w:val="24"/>
          <w:szCs w:val="24"/>
        </w:rPr>
        <w:t xml:space="preserve">đảm bảo không quá 15% (theo Thông tư số 32/2024/TT-BTCngày 16/5/2024 của Bộ Tài Chính).</w:t>
      </w:r>
      <w:r>
        <w:rPr>
          <w:rFonts w:ascii="Times New Roman" w:hAnsi="Times New Roman" w:cs="Times New Roman"/>
          <w:sz w:val="24"/>
          <w:szCs w:val="24"/>
        </w:rPr>
      </w:r>
      <w:r>
        <w:rPr>
          <w:rFonts w:ascii="Times New Roman" w:hAnsi="Times New Roman" w:cs="Times New Roman"/>
          <w:sz w:val="24"/>
          <w:szCs w:val="24"/>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ff0000"/>
                <w:sz w:val="24"/>
              </w:rPr>
              <w:t xml:space="preserve">16.414.580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ff0000"/>
                <w:sz w:val="24"/>
              </w:rPr>
              <w:t xml:space="preserve">30,00%</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ff0000"/>
                <w:sz w:val="24"/>
              </w:rPr>
              <w:t xml:space="preserve">      4.924.374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ff0000"/>
                <w:sz w:val="24"/>
              </w:rPr>
              <w:t xml:space="preserve">16.459.221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ff0000"/>
                <w:sz w:val="24"/>
              </w:rPr>
              <w:t xml:space="preserve">35,00%</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ff0000"/>
                <w:sz w:val="24"/>
              </w:rPr>
              <w:t xml:space="preserve">      5.760.727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ff0000"/>
                <w:sz w:val="24"/>
              </w:rPr>
              <w:t xml:space="preserve">13.981.013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ff0000"/>
                <w:sz w:val="24"/>
              </w:rPr>
              <w:t xml:space="preserve">35,00%</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ff0000"/>
                <w:sz w:val="24"/>
              </w:rPr>
              <w:t xml:space="preserve">      4.893.354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ff0000"/>
                <w:sz w:val="24"/>
              </w:rPr>
              <w:t xml:space="preserve">    15.578.456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ff0000"/>
                <w:sz w:val="24"/>
              </w:rPr>
              <w:t xml:space="preserve">    15.600.000 </w:t>
            </w: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rFonts w:ascii="Times New Roman" w:hAnsi="Times New Roman" w:eastAsia="Times New Roman" w:cs="Times New Roman"/>
          <w:b/>
          <w:color w:val="000000"/>
          <w:sz w:val="24"/>
        </w:rPr>
        <w:t xml:space="preserve"> 15.600.000 </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1"/>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6"/>
        <w:gridCol w:w="3935"/>
        <w:gridCol w:w="1220"/>
        <w:gridCol w:w="1582"/>
        <w:gridCol w:w="202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sz w:val="22"/>
              </w:rPr>
            </w:pPr>
            <w:r>
              <w:rPr>
                <w:rFonts w:ascii="Times New Roman" w:hAnsi="Times New Roman" w:eastAsia="Times New Roman" w:cs="Times New Roman"/>
                <w:b/>
                <w:color w:val="000000"/>
                <w:sz w:val="24"/>
              </w:rPr>
              <w:t xml:space="preserve">TT</w:t>
            </w:r>
            <w:r>
              <w:rPr>
                <w:sz w:val="22"/>
              </w:rPr>
            </w:r>
            <w:r>
              <w:rPr>
                <w:sz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sz w:val="22"/>
              </w:rPr>
            </w:pPr>
            <w:r>
              <w:rPr>
                <w:rFonts w:ascii="Times New Roman" w:hAnsi="Times New Roman" w:eastAsia="Times New Roman" w:cs="Times New Roman"/>
                <w:b/>
                <w:color w:val="000000"/>
                <w:sz w:val="24"/>
              </w:rPr>
              <w:t xml:space="preserve">Tài sản</w:t>
            </w:r>
            <w:r>
              <w:rPr>
                <w:sz w:val="22"/>
              </w:rPr>
            </w:r>
            <w:r>
              <w:rPr>
                <w:sz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sz w:val="22"/>
              </w:rPr>
            </w:pPr>
            <w:r>
              <w:rPr>
                <w:rFonts w:ascii="Times New Roman" w:hAnsi="Times New Roman" w:eastAsia="Times New Roman" w:cs="Times New Roman"/>
                <w:b/>
                <w:color w:val="000000"/>
                <w:sz w:val="24"/>
              </w:rPr>
              <w:t xml:space="preserve">Diện tích (m²)</w:t>
            </w:r>
            <w:r>
              <w:rPr>
                <w:sz w:val="22"/>
              </w:rPr>
            </w:r>
            <w:r>
              <w:rPr>
                <w:sz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sz w:val="22"/>
              </w:rPr>
            </w:pPr>
            <w:r>
              <w:rPr>
                <w:rFonts w:ascii="Times New Roman" w:hAnsi="Times New Roman" w:eastAsia="Times New Roman" w:cs="Times New Roman"/>
                <w:b/>
                <w:color w:val="000000"/>
                <w:sz w:val="24"/>
              </w:rPr>
              <w:t xml:space="preserve">Đơn giá (đồng/m²)</w:t>
            </w:r>
            <w:r>
              <w:rPr>
                <w:sz w:val="22"/>
              </w:rPr>
            </w:r>
            <w:r>
              <w:rPr>
                <w:sz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sz w:val="22"/>
              </w:rPr>
            </w:pPr>
            <w:r>
              <w:rPr>
                <w:rFonts w:ascii="Times New Roman" w:hAnsi="Times New Roman" w:eastAsia="Times New Roman" w:cs="Times New Roman"/>
                <w:b/>
                <w:color w:val="000000"/>
                <w:sz w:val="24"/>
              </w:rPr>
              <w:t xml:space="preserve">Thành tiền (đồng)</w:t>
            </w:r>
            <w:r>
              <w:rPr>
                <w:sz w:val="22"/>
              </w:rPr>
            </w:r>
            <w:r>
              <w:rPr>
                <w:sz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sz w:val="22"/>
                <w:highlight w:val="none"/>
              </w:rPr>
            </w:pPr>
            <w:r>
              <w:rPr>
                <w:rFonts w:ascii="Times New Roman" w:hAnsi="Times New Roman" w:eastAsia="Times New Roman" w:cs="Times New Roman"/>
                <w:b/>
                <w:color w:val="000000"/>
                <w:sz w:val="24"/>
                <w:highlight w:val="none"/>
              </w:rPr>
              <w:t xml:space="preserve"> </w:t>
            </w:r>
            <w:r>
              <w:rPr>
                <w:sz w:val="22"/>
                <w:highlight w:val="none"/>
              </w:rPr>
            </w:r>
            <w:r>
              <w:rPr>
                <w:sz w:val="22"/>
                <w:highlight w:val="none"/>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sz w:val="22"/>
                <w:highlight w:val="none"/>
              </w:rPr>
            </w:pPr>
            <w:r>
              <w:rPr>
                <w:rFonts w:ascii="Times New Roman" w:hAnsi="Times New Roman" w:eastAsia="Times New Roman" w:cs="Times New Roman"/>
                <w:b/>
                <w:color w:val="000000"/>
                <w:sz w:val="24"/>
                <w:highlight w:val="none"/>
              </w:rPr>
              <w:t xml:space="preserve">Quyền sử dụng đất tại thửa đất số: 285-4, tờ bản đồ số: 11 có địa chỉ: Thôn Tân Phú, xã Sơn Đông, thị xã Sơn Tây, thành phố Hà Nội (nay là xã Đoài Phương, thành phố Hà Nội) theo Giấy chứng nhận quyền sử dụng đất quyền sở hữu nhà</w:t>
            </w:r>
            <w:r>
              <w:rPr>
                <w:rFonts w:ascii="Times New Roman" w:hAnsi="Times New Roman" w:eastAsia="Times New Roman" w:cs="Times New Roman"/>
                <w:b/>
                <w:color w:val="000000"/>
                <w:sz w:val="24"/>
                <w:highlight w:val="none"/>
              </w:rPr>
              <w:t xml:space="preserve"> ở và tài sản khác gắn liền với đất số: BY 636785, số vào sổ cấp GCN: CS-ST 00131 do Sở Tài nguyên và Môi trường thành phố Hà Nội cấp ngày </w:t>
            </w:r>
            <w:r>
              <w:rPr>
                <w:rFonts w:ascii="Times New Roman" w:hAnsi="Times New Roman" w:eastAsia="Times New Roman" w:cs="Times New Roman"/>
                <w:b/>
                <w:color w:val="000000"/>
                <w:sz w:val="24"/>
                <w:highlight w:val="none"/>
              </w:rPr>
              <w:t xml:space="preserve">14/7/2015 </w:t>
            </w:r>
            <w:r>
              <w:rPr>
                <w:rFonts w:ascii="Times New Roman" w:hAnsi="Times New Roman" w:eastAsia="Times New Roman" w:cs="Times New Roman"/>
                <w:b/>
                <w:color w:val="000000"/>
                <w:sz w:val="24"/>
                <w:highlight w:val="none"/>
              </w:rPr>
              <w:t xml:space="preserve">cho ông Hoàng Văn Ngọc</w:t>
            </w:r>
            <w:r>
              <w:rPr>
                <w:sz w:val="22"/>
                <w:highlight w:val="none"/>
              </w:rPr>
            </w:r>
            <w:r>
              <w:rPr>
                <w:sz w:val="22"/>
                <w:highlight w: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sz w:val="22"/>
              </w:rPr>
            </w:pPr>
            <w:r>
              <w:rPr>
                <w:rFonts w:ascii="Times New Roman" w:hAnsi="Times New Roman" w:eastAsia="Times New Roman" w:cs="Times New Roman"/>
                <w:b/>
                <w:color w:val="000000"/>
                <w:sz w:val="24"/>
              </w:rPr>
              <w:t xml:space="preserve"> </w:t>
            </w:r>
            <w:r>
              <w:rPr>
                <w:sz w:val="22"/>
              </w:rPr>
            </w:r>
            <w:r>
              <w:rPr>
                <w:sz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sz w:val="22"/>
              </w:rPr>
            </w:pPr>
            <w:r>
              <w:rPr>
                <w:rFonts w:ascii="Times New Roman" w:hAnsi="Times New Roman" w:eastAsia="Times New Roman" w:cs="Times New Roman"/>
                <w:color w:val="000000"/>
                <w:sz w:val="24"/>
              </w:rPr>
              <w:t xml:space="preserve">1</w:t>
            </w:r>
            <w:r>
              <w:rPr>
                <w:sz w:val="22"/>
              </w:rPr>
            </w:r>
            <w:r>
              <w:rPr>
                <w:sz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0"/>
              <w:ind w:right="0" w:firstLine="0" w:left="0"/>
              <w:rPr/>
            </w:pPr>
            <w:r>
              <w:rPr>
                <w:rFonts w:ascii="Times New Roman" w:hAnsi="Times New Roman" w:eastAsia="Times New Roman" w:cs="Times New Roman"/>
                <w:color w:val="000000"/>
                <w:sz w:val="24"/>
              </w:rPr>
              <w:t xml:space="preserve">Đất ở tại nông thôn (60m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w:t>
              <w:br/>
              <w:t xml:space="preserve">Đất trồng cây lâu năm (66,7m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w:t>
            </w:r>
            <w: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highlight w:val="none"/>
              </w:rPr>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2"/>
              </w:rPr>
            </w:pPr>
            <w:r>
              <w:rPr>
                <w:rFonts w:ascii="Times New Roman" w:hAnsi="Times New Roman" w:eastAsia="Times New Roman" w:cs="Times New Roman"/>
                <w:color w:val="000000"/>
                <w:sz w:val="24"/>
              </w:rPr>
              <w:t xml:space="preserve">126,7</w:t>
            </w:r>
            <w:r>
              <w:rPr>
                <w:sz w:val="22"/>
              </w:rPr>
            </w:r>
            <w:r>
              <w:rPr>
                <w:sz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sz w:val="22"/>
              </w:rPr>
            </w:pPr>
            <w:r>
              <w:rPr>
                <w:rFonts w:ascii="Times New Roman" w:hAnsi="Times New Roman" w:eastAsia="Times New Roman" w:cs="Times New Roman"/>
                <w:color w:val="000000"/>
                <w:sz w:val="24"/>
              </w:rPr>
              <w:t xml:space="preserve">15.600.000</w:t>
            </w:r>
            <w:r>
              <w:rPr>
                <w:sz w:val="22"/>
              </w:rPr>
            </w:r>
            <w:r>
              <w:rPr>
                <w:sz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sz w:val="22"/>
              </w:rPr>
            </w:pPr>
            <w:r>
              <w:rPr>
                <w:rFonts w:ascii="Times New Roman" w:hAnsi="Times New Roman" w:eastAsia="Times New Roman" w:cs="Times New Roman"/>
                <w:color w:val="000000"/>
                <w:sz w:val="24"/>
              </w:rPr>
              <w:t xml:space="preserve">1.976.520.000</w:t>
            </w:r>
            <w:r>
              <w:rPr>
                <w:sz w:val="22"/>
              </w:rPr>
            </w:r>
            <w:r>
              <w:rPr>
                <w:sz w:val="22"/>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73"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2"/>
              </w:rPr>
            </w:pPr>
            <w:r>
              <w:rPr>
                <w:rFonts w:ascii="Times New Roman" w:hAnsi="Times New Roman" w:eastAsia="Times New Roman" w:cs="Times New Roman"/>
                <w:b/>
                <w:color w:val="000000"/>
                <w:sz w:val="24"/>
              </w:rPr>
              <w:t xml:space="preserve">Tổng cộng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2"/>
              </w:rPr>
            </w:pPr>
            <w:r>
              <w:rPr>
                <w:rFonts w:ascii="Times New Roman" w:hAnsi="Times New Roman" w:eastAsia="Times New Roman" w:cs="Times New Roman"/>
                <w:b/>
                <w:color w:val="000000"/>
                <w:sz w:val="24"/>
              </w:rPr>
              <w:t xml:space="preserve">1.976.520.000</w:t>
            </w:r>
            <w:r>
              <w:rPr>
                <w:sz w:val="22"/>
              </w:rPr>
            </w:r>
            <w:r>
              <w:rPr>
                <w:sz w:val="22"/>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73"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2"/>
              </w:rPr>
            </w:pPr>
            <w:r>
              <w:rPr>
                <w:rFonts w:ascii="Times New Roman" w:hAnsi="Times New Roman" w:eastAsia="Times New Roman" w:cs="Times New Roman"/>
                <w:b/>
                <w:color w:val="000000"/>
                <w:sz w:val="24"/>
              </w:rPr>
              <w:t xml:space="preserve">Làm tròn</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2"/>
              </w:rPr>
            </w:pPr>
            <w:r>
              <w:rPr>
                <w:rFonts w:ascii="Times New Roman" w:hAnsi="Times New Roman" w:eastAsia="Times New Roman" w:cs="Times New Roman"/>
                <w:b/>
                <w:color w:val="000000"/>
                <w:sz w:val="24"/>
              </w:rPr>
              <w:t xml:space="preserve">     1.977.000.000 </w:t>
            </w:r>
            <w:r>
              <w:rPr>
                <w:sz w:val="22"/>
              </w:rPr>
            </w:r>
            <w:r>
              <w:rPr>
                <w:sz w:val="22"/>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2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2"/>
              </w:rPr>
            </w:pPr>
            <w:r>
              <w:rPr>
                <w:rFonts w:ascii="Times New Roman" w:hAnsi="Times New Roman" w:eastAsia="Times New Roman" w:cs="Times New Roman"/>
                <w:b/>
                <w:i/>
                <w:color w:val="000000"/>
                <w:sz w:val="24"/>
              </w:rPr>
              <w:t xml:space="preserve">(Bằng chữ: Một tỷ chín trăm bảy mươi bảy triệu đồng chẵn ./.)</w:t>
            </w:r>
            <w:r>
              <w:rPr>
                <w:sz w:val="22"/>
              </w:rPr>
            </w:r>
            <w:r>
              <w:rPr>
                <w:sz w:val="22"/>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tabs>
          <w:tab w:val="left" w:leader="none" w:pos="993"/>
        </w:tabs>
        <w:spacing w:after="120" w:before="120" w:line="288" w:lineRule="auto"/>
        <w:ind/>
        <w:jc w:val="both"/>
        <w:rPr>
          <w:color w:val="ff0000"/>
        </w:rPr>
      </w:pPr>
      <w:r>
        <w:rPr>
          <w:iCs/>
          <w:color w:val="ff0000"/>
          <w:lang w:val="pt-BR"/>
        </w:rPr>
      </w:r>
      <w:r>
        <w:rPr>
          <w:rFonts w:ascii="Times New Roman" w:hAnsi="Times New Roman" w:eastAsia="Times New Roman" w:cs="Times New Roman"/>
          <w:color w:val="ff0000"/>
          <w:spacing w:val="3"/>
          <w:sz w:val="24"/>
          <w:szCs w:val="24"/>
          <w:highlight w:val="white"/>
        </w:rPr>
        <w:t xml:space="preserve">Hạn chế hoạt động khảo sát: tại thời điểm thẩm định giá, tổ thẩm định đã yêu cầu được các bên liên quan thực hiện hướng dẫn khảo sát. Tuy nhiên, việc này đã không được đáp ứng mà chúng tôi chỉ nhận được định vị tài sản (tọa độ định vị:</w:t>
      </w:r>
      <w:r>
        <w:rPr>
          <w:rFonts w:ascii="Times New Roman" w:hAnsi="Times New Roman" w:cs="Times New Roman"/>
          <w:color w:val="ff0000"/>
          <w:sz w:val="24"/>
          <w:szCs w:val="24"/>
        </w:rPr>
        <w:t xml:space="preserve">(</w:t>
      </w:r>
      <w:r>
        <w:rPr>
          <w:rFonts w:ascii="Times New Roman" w:hAnsi="Times New Roman" w:cs="Times New Roman"/>
          <w:color w:val="ff0000"/>
          <w:sz w:val="24"/>
          <w:szCs w:val="24"/>
        </w:rPr>
        <w:t xml:space="preserve">21.081055555556, 105.50355555556</w:t>
      </w:r>
      <w:r>
        <w:rPr>
          <w:rFonts w:ascii="Times New Roman" w:hAnsi="Times New Roman" w:cs="Times New Roman"/>
          <w:color w:val="ff0000"/>
          <w:sz w:val="24"/>
          <w:szCs w:val="24"/>
        </w:rPr>
        <w:t xml:space="preserve">)</w:t>
      </w:r>
      <w:r>
        <w:rPr>
          <w:rFonts w:ascii="Times New Roman" w:hAnsi="Times New Roman" w:eastAsia="Times New Roman" w:cs="Times New Roman"/>
          <w:color w:val="ff0000"/>
          <w:spacing w:val="3"/>
          <w:sz w:val="24"/>
          <w:szCs w:val="24"/>
          <w:highlight w:val="white"/>
        </w:rPr>
        <w:t xml:space="preserve">) và được yêu</w:t>
      </w:r>
      <w:r>
        <w:rPr>
          <w:rFonts w:ascii="Times New Roman" w:hAnsi="Times New Roman" w:eastAsia="Times New Roman" w:cs="Times New Roman"/>
          <w:color w:val="ff0000"/>
          <w:spacing w:val="3"/>
          <w:sz w:val="24"/>
          <w:szCs w:val="24"/>
          <w:highlight w:val="white"/>
        </w:rPr>
        <w:t xml:space="preserve"> cầu tự thực hiện khảo sát theo định vị, chúng tôi chỉ thực hiện khảo sát tài sản tại vị đã được cung cấp. Do vậy, nếu sau ngày phát hành chứng thư/Báo cáo thẩm định giá, tài sản thẩm định giá không đúng vị trí đã được ghi trên </w:t>
      </w:r>
      <w:r>
        <w:rPr>
          <w:rFonts w:ascii="Times New Roman" w:hAnsi="Times New Roman" w:eastAsia="Times New Roman" w:cs="Times New Roman"/>
          <w:color w:val="ff0000"/>
          <w:sz w:val="24"/>
        </w:rPr>
        <w:t xml:space="preserve">Giấy chứng nhận quyền sử dụng đất quyền sở hữu nhà ở và tài sản khác gắn liền với đất số: BY 636785, số vào sổ cấp GCN: CS-ST 00131 do Sở Tài nguyên và Môi trường thành phố Hà Nội cấp ngày 14/7/2015 cho ông Hoàng Văn Ngọc</w:t>
      </w:r>
      <w:r>
        <w:rPr>
          <w:rFonts w:ascii="Times New Roman" w:hAnsi="Times New Roman" w:eastAsia="Times New Roman" w:cs="Times New Roman"/>
          <w:color w:val="ff0000"/>
          <w:spacing w:val="3"/>
          <w:sz w:val="24"/>
          <w:szCs w:val="24"/>
          <w:highlight w:val="white"/>
        </w:rPr>
        <w:t xml:space="preserve"> hoặc các ảnh hưởng khác (nếu có) có liên quan đến hoạt động khảo sát làm ảnh hưởng đến giá trị tài sản thẩm định giá thì không thuộc phạm vi trách nhiệm của chúng tôi</w:t>
      </w:r>
      <w:r>
        <w:rPr>
          <w:color w:val="ff0000"/>
        </w:rPr>
        <w:t xml:space="preserve">.</w:t>
      </w:r>
      <w:r>
        <w:rPr>
          <w:color w:val="ff0000"/>
        </w:rPr>
      </w:r>
      <w:r>
        <w:rPr>
          <w:color w:val="ff0000"/>
        </w:rPr>
      </w:r>
    </w:p>
    <w:p>
      <w:pPr>
        <w:pStyle w:val="1027"/>
        <w:numPr>
          <w:ilvl w:val="0"/>
          <w:numId w:val="5"/>
        </w:numPr>
        <w:pBdr/>
        <w:tabs>
          <w:tab w:val="left" w:leader="none" w:pos="993"/>
        </w:tabs>
        <w:spacing w:after="120" w:before="120" w:line="288" w:lineRule="auto"/>
        <w:ind/>
        <w:jc w:val="both"/>
        <w:rPr>
          <w:color w:val="ff0000"/>
        </w:rPr>
      </w:pPr>
      <w:r>
        <w:rPr>
          <w:color w:val="ff0000"/>
        </w:rPr>
      </w:r>
      <w:r>
        <w:rPr>
          <w:rFonts w:ascii="Times New Roman" w:hAnsi="Times New Roman" w:eastAsia="Times New Roman" w:cs="Times New Roman"/>
          <w:color w:val="000000" w:themeColor="text1"/>
          <w:sz w:val="24"/>
          <w:highlight w:val="none"/>
        </w:rPr>
        <w:t xml:space="preserve">Qua khảo sát hiện trạng tài sản, tổ thẩm định nhận thấy trên đất có 01 tài sản là Nhà 02 tầng, tường gạch, sàn BTCT. Hiện công trình xây dựng này chưa được chứng nhận trên </w:t>
      </w:r>
      <w:r>
        <w:rPr>
          <w:rFonts w:ascii="Times New Roman" w:hAnsi="Times New Roman" w:eastAsia="Times New Roman" w:cs="Times New Roman"/>
          <w:color w:val="000000" w:themeColor="text1"/>
          <w:sz w:val="24"/>
          <w:highlight w:val="none"/>
        </w:rPr>
        <w:t xml:space="preserve">Giấy chứng nhận quyền sử dụng đất quyền sở hữu nhà ở và tài sản khác gắn liền với đất số: BY 636785, số vào sổ cấp GCN: CS-ST 00131 do Sở Tài nguyên và Môi trường thành phố Hà Nội cấp ngày 14/7/2015 cho ông Hoàng Văn Ngọc. </w:t>
      </w:r>
      <w:r>
        <w:rPr>
          <w:rFonts w:ascii="Times New Roman" w:hAnsi="Times New Roman" w:eastAsia="Times New Roman" w:cs="Times New Roman"/>
          <w:color w:val="000000" w:themeColor="text1"/>
          <w:sz w:val="24"/>
          <w:highlight w:val="none"/>
        </w:rPr>
        <w:t xml:space="preserve">Mặt khác, tổ thẩm định không thu thập được bất kỳ hồ sơ tài liệu pháp lý nào (giấy phép xây dựng, hồ sơ thiết kế, hồ sơ hoàn công…) liên quan đến công trình nhà ở này. Do đó, kết quả của Chứng thư và Báo cáo Thẩm định giá của chúng tôi chỉ xác định Giá trị</w:t>
      </w:r>
      <w:r>
        <w:rPr>
          <w:rFonts w:ascii="Times New Roman" w:hAnsi="Times New Roman" w:eastAsia="Times New Roman" w:cs="Times New Roman"/>
          <w:color w:val="000000" w:themeColor="text1"/>
          <w:sz w:val="24"/>
          <w:highlight w:val="none"/>
        </w:rPr>
        <w:t xml:space="preserve"> quyền sử dụng đất. Kính đề nghị người sử dụng Chứng thư, Báo cáo thẩm định giá này (các tổ chức tín dụng) lưu ý khi xét cấp tín dụng.</w:t>
      </w:r>
      <w:r>
        <w:rPr>
          <w:color w:val="ff0000"/>
        </w:rPr>
      </w:r>
      <w:r>
        <w:rPr>
          <w:color w:val="ff0000"/>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275/2026/0193/VFI-HĐTĐ.27.A</w:t>
      </w:r>
      <w:r>
        <w:rPr>
          <w:color w:val="ff0000"/>
          <w:lang w:val="vi-VN"/>
        </w:rPr>
        <w:t xml:space="preserve"> </w:t>
      </w:r>
      <w:r>
        <w:rPr>
          <w:color w:val="000000" w:themeColor="text1"/>
        </w:rPr>
        <w:t xml:space="preserve">ngày 24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Ind w:w="-317" w:type="dxa"/>
        <w:tblW w:w="5196" w:type="pct"/>
        <w:tblBorders/>
        <w:tblLayout w:type="fixed"/>
        <w:tblLook w:val="01E0" w:firstRow="1" w:lastRow="1" w:firstColumn="1" w:lastColumn="1" w:noHBand="0" w:noVBand="0"/>
      </w:tblPr>
      <w:tblGrid>
        <w:gridCol w:w="4687"/>
        <w:gridCol w:w="5210"/>
      </w:tblGrid>
      <w:tr>
        <w:trPr>
          <w:trHeight w:val="20"/>
        </w:trPr>
        <w:tc>
          <w:tcPr>
            <w:tcBorders/>
            <w:tcW w:w="468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1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1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1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hd w:val="nil" w:color="auto"/>
        <w:spacing/>
        <w:ind/>
        <w:rPr>
          <w:b/>
          <w:bCs/>
          <w:u w:val="single"/>
          <w:lang w:val="vi-VN"/>
        </w:rPr>
      </w:pPr>
      <w:r>
        <w:rPr>
          <w:b/>
          <w:highlight w:val="none"/>
          <w:lang w:val="pt-BR"/>
        </w:rPr>
        <w:br w:type="page" w:clear="all"/>
      </w:r>
      <w:r>
        <w:rPr>
          <w:b/>
          <w:bCs/>
          <w:u w:val="single"/>
          <w:lang w:val="vi-VN"/>
        </w:rPr>
      </w:r>
      <w:r>
        <w:rPr>
          <w:b/>
          <w:bCs/>
          <w:u w:val="single"/>
          <w:lang w:val="vi-VN"/>
        </w:rPr>
      </w:r>
    </w:p>
    <w:p>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275/2026/0193/VFI-BC.27.A</w:t>
      </w:r>
      <w:r>
        <w:rPr>
          <w:i/>
          <w:lang w:val="pt-BR"/>
        </w:rPr>
        <w:t xml:space="preserve"> </w:t>
      </w:r>
      <w:r>
        <w:rPr>
          <w:i/>
          <w:lang w:val="pt-BR"/>
        </w:rPr>
        <w:t xml:space="preserve">ngày 24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33455" cy="37269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175886" name=""/>
                              <pic:cNvPicPr>
                                <a:picLocks noChangeAspect="1"/>
                              </pic:cNvPicPr>
                              <pic:nvPr/>
                            </pic:nvPicPr>
                            <pic:blipFill rotWithShape="1">
                              <a:blip r:embed="rId18"/>
                              <a:stretch/>
                            </pic:blipFill>
                            <pic:spPr bwMode="auto">
                              <a:xfrm flipH="0" flipV="0">
                                <a:off x="0" y="0"/>
                                <a:ext cx="1633455" cy="37269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8.62pt;height:293.46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8712" cy="378494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97936" name=""/>
                              <pic:cNvPicPr>
                                <a:picLocks noChangeAspect="1"/>
                              </pic:cNvPicPr>
                              <pic:nvPr/>
                            </pic:nvPicPr>
                            <pic:blipFill rotWithShape="1">
                              <a:blip r:embed="rId19"/>
                              <a:stretch/>
                            </pic:blipFill>
                            <pic:spPr bwMode="auto">
                              <a:xfrm flipH="0" flipV="0">
                                <a:off x="0" y="0"/>
                                <a:ext cx="2838711" cy="37849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3.52pt;height:298.0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42506" cy="190688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32106" name=""/>
                              <pic:cNvPicPr>
                                <a:picLocks noChangeAspect="1"/>
                              </pic:cNvPicPr>
                              <pic:nvPr/>
                            </pic:nvPicPr>
                            <pic:blipFill rotWithShape="1">
                              <a:blip r:embed="rId20"/>
                              <a:stretch/>
                            </pic:blipFill>
                            <pic:spPr bwMode="auto">
                              <a:xfrm flipH="0" flipV="0">
                                <a:off x="0" y="0"/>
                                <a:ext cx="2542506" cy="19068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20pt;height:150.1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48213" cy="251116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4251" name=""/>
                              <pic:cNvPicPr>
                                <a:picLocks noChangeAspect="1"/>
                              </pic:cNvPicPr>
                              <pic:nvPr/>
                            </pic:nvPicPr>
                            <pic:blipFill rotWithShape="1">
                              <a:blip r:embed="rId21"/>
                              <a:stretch/>
                            </pic:blipFill>
                            <pic:spPr bwMode="auto">
                              <a:xfrm flipH="0" flipV="0">
                                <a:off x="0" y="0"/>
                                <a:ext cx="3348213" cy="2511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63.64pt;height:197.7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commentRangeStart w:id="0"/>
      <w:r>
        <w:rPr>
          <w:b/>
          <w:lang w:val="vi-VN"/>
        </w:rPr>
        <w:t xml:space="preserve">THÔNG TIN THU THẬP THỊ TRƯỜN</w:t>
      </w:r>
      <w:r>
        <w:rPr>
          <w:b/>
        </w:rPr>
        <w:t xml:space="preserve">G</w:t>
      </w:r>
      <w:r>
        <w:rPr>
          <w:i/>
          <w:lang w:val="pt-BR"/>
        </w:rPr>
      </w:r>
      <w:commentRangeEnd w:id="0"/>
      <w:r>
        <w:commentReference w:id="0"/>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275/2026/0193/VFI-BC.27.A</w:t>
      </w:r>
      <w:r>
        <w:rPr>
          <w:i/>
          <w:lang w:val="pt-BR"/>
        </w:rPr>
        <w:t xml:space="preserve"> </w:t>
      </w:r>
      <w:r>
        <w:rPr>
          <w:i/>
          <w:lang w:val="pt-BR"/>
        </w:rPr>
        <w:t xml:space="preserve">ngày 24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bCs/>
          <w:i/>
          <w:highlight w:val="none"/>
          <w:lang w:val="pt-BR"/>
        </w:rPr>
      </w:r>
      <w:r>
        <w:rPr>
          <w:bCs/>
          <w:i/>
          <w:highlight w:val="none"/>
          <w:lang w:val="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4406778" cy="517216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37822" name=""/>
                        <pic:cNvPicPr>
                          <a:picLocks noChangeAspect="1"/>
                        </pic:cNvPicPr>
                        <pic:nvPr/>
                      </pic:nvPicPr>
                      <pic:blipFill rotWithShape="1">
                        <a:blip r:embed="rId22"/>
                        <a:stretch/>
                      </pic:blipFill>
                      <pic:spPr bwMode="auto">
                        <a:xfrm flipH="0" flipV="0">
                          <a:off x="0" y="0"/>
                          <a:ext cx="4406777" cy="51721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46.99pt;height:407.26pt;mso-wrap-distance-left:0.00pt;mso-wrap-distance-top:0.00pt;mso-wrap-distance-right:0.00pt;mso-wrap-distance-bottom:0.00pt;z-index:1;" stroked="false">
                <v:imagedata r:id="rId22" o:title=""/>
                <o:lock v:ext="edit" rotation="t"/>
              </v:shape>
            </w:pict>
          </mc:Fallback>
        </mc:AlternateContent>
      </w:r>
      <w:r>
        <w:rPr>
          <w:bCs/>
          <w:i/>
          <w:highlight w:val="none"/>
          <w:lang w:val="pt-BR" w:bidi="pt-BR"/>
        </w:rPr>
      </w:r>
      <w:r>
        <w:rPr>
          <w:bCs/>
          <w:i/>
          <w:highlight w:val="none"/>
          <w:lang w:val="pt-BR" w:bidi="pt-BR"/>
        </w:rPr>
      </w:r>
    </w:p>
    <w:p>
      <w:pPr>
        <w:pBdr/>
        <w:spacing w:after="120"/>
        <w:ind/>
        <w:jc w:val="center"/>
        <w:rPr>
          <w:bCs/>
          <w:i/>
          <w:lang w:val="pt-BR"/>
        </w:rPr>
      </w:pPr>
      <w:r>
        <w:rPr>
          <w:i/>
          <w:highlight w:val="none"/>
          <w:lang w:val="pt-BR" w:bidi="pt-BR"/>
        </w:rPr>
      </w:r>
      <w:r>
        <w:rPr>
          <w:color w:val="000000"/>
          <w:sz w:val="22"/>
          <w:szCs w:val="22"/>
        </w:rPr>
        <mc:AlternateContent>
          <mc:Choice Requires="wpg">
            <w:drawing>
              <wp:inline xmlns:wp="http://schemas.openxmlformats.org/drawingml/2006/wordprocessingDrawing" distT="0" distB="0" distL="0" distR="0">
                <wp:extent cx="2645780" cy="2400035"/>
                <wp:effectExtent l="0" t="0" r="0" b="0"/>
                <wp:docPr id="11" name=""/>
                <wp:cNvGraphicFramePr/>
                <a:graphic xmlns:a="http://schemas.openxmlformats.org/drawingml/2006/main">
                  <a:graphicData uri="http://schemas.openxmlformats.org/drawingml/2006/picture">
                    <pic:pic xmlns:pic="http://schemas.openxmlformats.org/drawingml/2006/picture">
                      <pic:nvPicPr>
                        <pic:cNvPr id="1321658607" name="" descr=""/>
                        <pic:cNvPicPr/>
                        <pic:nvPr/>
                      </pic:nvPicPr>
                      <pic:blipFill rotWithShape="1">
                        <a:blip r:embed="rId23"/>
                        <a:stretch/>
                      </pic:blipFill>
                      <pic:spPr bwMode="auto">
                        <a:xfrm rot="0" flipH="0" flipV="0">
                          <a:off x="0" y="0"/>
                          <a:ext cx="2645779" cy="24000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8.33pt;height:188.98pt;mso-wrap-distance-left:0.00pt;mso-wrap-distance-top:0.00pt;mso-wrap-distance-right:0.00pt;mso-wrap-distance-bottom:0.00pt;rotation:0;z-index:1;" stroked="false">
                <v:imagedata r:id="rId23"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3138049" cy="219075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476694500" name="" descr=""/>
                        <pic:cNvPicPr/>
                        <pic:nvPr/>
                      </pic:nvPicPr>
                      <pic:blipFill rotWithShape="1">
                        <a:blip r:embed="rId24"/>
                        <a:stretch/>
                      </pic:blipFill>
                      <pic:spPr bwMode="auto">
                        <a:xfrm rot="0" flipH="0" flipV="0">
                          <a:off x="0" y="0"/>
                          <a:ext cx="3138049" cy="21907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7.09pt;height:172.50pt;mso-wrap-distance-left:0.00pt;mso-wrap-distance-top:0.00pt;mso-wrap-distance-right:0.00pt;mso-wrap-distance-bottom:0.00pt;rotation:0;z-index:1;" stroked="false">
                <v:imagedata r:id="rId24" o:title=""/>
                <o:lock v:ext="edit" rotation="t"/>
              </v:shape>
            </w:pict>
          </mc:Fallback>
        </mc:AlternateContent>
      </w:r>
      <w:r>
        <w:rPr>
          <w:bCs/>
          <w:i/>
          <w:lang w:val="pt-BR"/>
        </w:rPr>
      </w:r>
      <w:r>
        <w:rPr>
          <w:bCs/>
          <w:i/>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4887232" cy="536781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91589" name=""/>
                        <pic:cNvPicPr>
                          <a:picLocks noChangeAspect="1"/>
                        </pic:cNvPicPr>
                        <pic:nvPr/>
                      </pic:nvPicPr>
                      <pic:blipFill rotWithShape="1">
                        <a:blip r:embed="rId25"/>
                        <a:stretch/>
                      </pic:blipFill>
                      <pic:spPr bwMode="auto">
                        <a:xfrm flipH="0" flipV="0">
                          <a:off x="0" y="0"/>
                          <a:ext cx="4887231" cy="53678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84.82pt;height:422.66pt;mso-wrap-distance-left:0.00pt;mso-wrap-distance-top:0.00pt;mso-wrap-distance-right:0.00pt;mso-wrap-distance-bottom:0.00pt;z-index:1;" stroked="false">
                <v:imagedata r:id="rId2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bidi="pt-BR"/>
        </w:rPr>
      </w:pPr>
      <w:r>
        <w:rPr>
          <w:b/>
          <w:bCs/>
          <w:iCs/>
          <w:highlight w:val="none"/>
          <w:lang w:val="pt-BR" w:bidi="pt-BR"/>
        </w:rPr>
      </w:r>
      <w:r>
        <w:rPr>
          <w:color w:val="000000"/>
          <w:sz w:val="22"/>
          <w:szCs w:val="22"/>
        </w:rPr>
        <mc:AlternateContent>
          <mc:Choice Requires="wpg">
            <w:drawing>
              <wp:inline xmlns:wp="http://schemas.openxmlformats.org/drawingml/2006/wordprocessingDrawing" distT="0" distB="0" distL="0" distR="0">
                <wp:extent cx="439878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773804732" name="" descr=""/>
                        <pic:cNvPicPr/>
                        <pic:nvPr/>
                      </pic:nvPicPr>
                      <pic:blipFill rotWithShape="1">
                        <a:blip r:embed="rId26"/>
                        <a:stretch/>
                      </pic:blipFill>
                      <pic:spPr bwMode="auto">
                        <a:xfrm rot="0" flipH="0" flipV="0">
                          <a:off x="0" y="0"/>
                          <a:ext cx="439878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46.36pt;height:250.00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4897444" cy="2146035"/>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9220448" name="" descr=""/>
                        <pic:cNvPicPr/>
                        <pic:nvPr/>
                      </pic:nvPicPr>
                      <pic:blipFill rotWithShape="1">
                        <a:blip r:embed="rId27"/>
                        <a:stretch/>
                      </pic:blipFill>
                      <pic:spPr bwMode="auto">
                        <a:xfrm rot="0" flipH="0" flipV="0">
                          <a:off x="0" y="0"/>
                          <a:ext cx="4897444" cy="21460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5.63pt;height:168.98pt;mso-wrap-distance-left:0.00pt;mso-wrap-distance-top:0.00pt;mso-wrap-distance-right:0.00pt;mso-wrap-distance-bottom:0.00pt;rotation:0;z-index:1;" stroked="false">
                <v:imagedata r:id="rId27"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iCs/>
          <w:highlight w:val="none"/>
          <w:lang w:val="pt-BR" w:bidi="pt-BR"/>
        </w:rPr>
      </w:r>
      <w:r>
        <w:rPr>
          <w:color w:val="000000"/>
          <w:sz w:val="22"/>
          <w:szCs w:val="22"/>
        </w:rPr>
        <mc:AlternateContent>
          <mc:Choice Requires="wpg">
            <w:drawing>
              <wp:inline xmlns:wp="http://schemas.openxmlformats.org/drawingml/2006/wordprocessingDrawing" distT="0" distB="0" distL="0" distR="0">
                <wp:extent cx="4641132" cy="2608963"/>
                <wp:effectExtent l="0" t="0" r="0" b="0"/>
                <wp:docPr id="16" name=""/>
                <wp:cNvGraphicFramePr/>
                <a:graphic xmlns:a="http://schemas.openxmlformats.org/drawingml/2006/main">
                  <a:graphicData uri="http://schemas.openxmlformats.org/drawingml/2006/picture">
                    <pic:pic xmlns:pic="http://schemas.openxmlformats.org/drawingml/2006/picture">
                      <pic:nvPicPr>
                        <pic:cNvPr id="949972029" name="" descr=""/>
                        <pic:cNvPicPr/>
                        <pic:nvPr/>
                      </pic:nvPicPr>
                      <pic:blipFill rotWithShape="1">
                        <a:blip r:embed="rId28"/>
                        <a:stretch/>
                      </pic:blipFill>
                      <pic:spPr bwMode="auto">
                        <a:xfrm rot="0" flipH="0" flipV="0">
                          <a:off x="0" y="0"/>
                          <a:ext cx="4641131" cy="26089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5.44pt;height:205.43pt;mso-wrap-distance-left:0.00pt;mso-wrap-distance-top:0.00pt;mso-wrap-distance-right:0.00pt;mso-wrap-distance-bottom:0.00pt;rotation:0;z-index:1;" stroked="false">
                <v:imagedata r:id="rId28"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lang w:val="pt-BR"/>
        </w:rPr>
      </w:pPr>
      <w:r>
        <w:rPr>
          <w:b/>
          <w:bCs/>
          <w:iCs/>
          <w:highlight w:val="none"/>
          <w:lang w:val="pt-BR" w:bidi="pt-BR"/>
        </w:rPr>
      </w:r>
      <w:r>
        <w:rPr>
          <w:lang w:val="pt-BR"/>
        </w:rPr>
      </w:r>
      <w:r>
        <w:rPr>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highlight w:val="none"/>
          <w:lang w:val="pt-BR"/>
        </w:rPr>
      </w:pPr>
      <w:r>
        <w:rPr>
          <w:b/>
          <w:bCs/>
          <w:iCs/>
          <w:lang w:val="pt-BR"/>
        </w:rPr>
      </w:r>
      <w:r>
        <mc:AlternateContent>
          <mc:Choice Requires="wpg">
            <w:drawing>
              <wp:inline xmlns:wp="http://schemas.openxmlformats.org/drawingml/2006/wordprocessingDrawing" distT="0" distB="0" distL="0" distR="0">
                <wp:extent cx="5362575" cy="65722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39362" name=""/>
                        <pic:cNvPicPr>
                          <a:picLocks noChangeAspect="1"/>
                        </pic:cNvPicPr>
                        <pic:nvPr/>
                      </pic:nvPicPr>
                      <pic:blipFill rotWithShape="1">
                        <a:blip r:embed="rId29"/>
                        <a:stretch/>
                      </pic:blipFill>
                      <pic:spPr bwMode="auto">
                        <a:xfrm>
                          <a:off x="0" y="0"/>
                          <a:ext cx="5362574" cy="6572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2.25pt;height:517.50pt;mso-wrap-distance-left:0.00pt;mso-wrap-distance-top:0.00pt;mso-wrap-distance-right:0.00pt;mso-wrap-distance-bottom:0.00pt;z-index:1;" stroked="false">
                <v:imagedata r:id="rId29" o:title=""/>
                <o:lock v:ext="edit" rotation="t"/>
              </v:shape>
            </w:pict>
          </mc:Fallback>
        </mc:AlternateContent>
      </w:r>
      <w:r>
        <w:rPr>
          <w:b/>
          <w:bCs/>
          <w:iCs/>
          <w:highlight w:val="none"/>
          <w:lang w:val="pt-BR"/>
        </w:rPr>
      </w:r>
      <w:r>
        <w:rPr>
          <w:b/>
          <w:bCs/>
          <w:iCs/>
          <w:highlight w:val="none"/>
          <w:lang w:val="pt-BR"/>
        </w:rPr>
      </w:r>
    </w:p>
    <w:p>
      <w:pPr>
        <w:pBdr/>
        <w:spacing w:after="200" w:line="276" w:lineRule="auto"/>
        <w:ind/>
        <w:jc w:val="center"/>
        <w:rPr>
          <w:b/>
          <w:bCs/>
          <w:lang w:val="pt-BR"/>
        </w:rPr>
      </w:pPr>
      <w:r>
        <w:rPr>
          <w:b/>
          <w:bCs/>
          <w:iCs/>
          <w:highlight w:val="none"/>
          <w:lang w:val="pt-BR" w:bidi="pt-BR"/>
        </w:rPr>
      </w:r>
      <w:r>
        <w:rPr>
          <w:color w:val="000000"/>
          <w:sz w:val="22"/>
          <w:szCs w:val="22"/>
        </w:rPr>
        <mc:AlternateContent>
          <mc:Choice Requires="wpg">
            <w:drawing>
              <wp:inline xmlns:wp="http://schemas.openxmlformats.org/drawingml/2006/wordprocessingDrawing" distT="0" distB="0" distL="0" distR="0">
                <wp:extent cx="2551027" cy="2016833"/>
                <wp:effectExtent l="0" t="0" r="0" b="0"/>
                <wp:docPr id="18" name=""/>
                <wp:cNvGraphicFramePr/>
                <a:graphic xmlns:a="http://schemas.openxmlformats.org/drawingml/2006/main">
                  <a:graphicData uri="http://schemas.openxmlformats.org/drawingml/2006/picture">
                    <pic:pic xmlns:pic="http://schemas.openxmlformats.org/drawingml/2006/picture">
                      <pic:nvPicPr>
                        <pic:cNvPr id="1413662038" name="" descr=""/>
                        <pic:cNvPicPr/>
                        <pic:nvPr/>
                      </pic:nvPicPr>
                      <pic:blipFill rotWithShape="1">
                        <a:blip r:embed="rId30"/>
                        <a:stretch/>
                      </pic:blipFill>
                      <pic:spPr bwMode="auto">
                        <a:xfrm rot="0" flipH="0" flipV="0">
                          <a:off x="0" y="0"/>
                          <a:ext cx="2551026" cy="20168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0.87pt;height:158.81pt;mso-wrap-distance-left:0.00pt;mso-wrap-distance-top:0.00pt;mso-wrap-distance-right:0.00pt;mso-wrap-distance-bottom:0.00pt;rotation:0;z-index:1;" stroked="false">
                <v:imagedata r:id="rId30" o:title=""/>
                <o:lock v:ext="edit" rotation="t"/>
              </v:shape>
            </w:pict>
          </mc:Fallback>
        </mc:AlternateContent>
      </w:r>
      <w:r>
        <w:rPr>
          <w:b/>
          <w:bCs/>
          <w:iCs/>
          <w:highlight w:val="none"/>
          <w:lang w:val="pt-BR" w:bidi="pt-BR"/>
        </w:rPr>
        <w:t xml:space="preserve"> </w:t>
      </w:r>
      <w:r>
        <w:rPr>
          <w:color w:val="000000"/>
          <w:sz w:val="22"/>
          <w:szCs w:val="22"/>
        </w:rPr>
        <mc:AlternateContent>
          <mc:Choice Requires="wpg">
            <w:drawing>
              <wp:inline xmlns:wp="http://schemas.openxmlformats.org/drawingml/2006/wordprocessingDrawing" distT="0" distB="0" distL="0" distR="0">
                <wp:extent cx="2497403" cy="2016833"/>
                <wp:effectExtent l="0" t="0" r="0" b="0"/>
                <wp:docPr id="19" name=""/>
                <wp:cNvGraphicFramePr/>
                <a:graphic xmlns:a="http://schemas.openxmlformats.org/drawingml/2006/main">
                  <a:graphicData uri="http://schemas.openxmlformats.org/drawingml/2006/picture">
                    <pic:pic xmlns:pic="http://schemas.openxmlformats.org/drawingml/2006/picture">
                      <pic:nvPicPr>
                        <pic:cNvPr id="1817828596" name="" descr=""/>
                        <pic:cNvPicPr/>
                        <pic:nvPr/>
                      </pic:nvPicPr>
                      <pic:blipFill rotWithShape="1">
                        <a:blip r:embed="rId31"/>
                        <a:stretch/>
                      </pic:blipFill>
                      <pic:spPr bwMode="auto">
                        <a:xfrm rot="0" flipH="0" flipV="0">
                          <a:off x="0" y="0"/>
                          <a:ext cx="2497402" cy="20168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6.65pt;height:158.81pt;mso-wrap-distance-left:0.00pt;mso-wrap-distance-top:0.00pt;mso-wrap-distance-right:0.00pt;mso-wrap-distance-bottom:0.00pt;rotation:0;z-index:1;" stroked="false">
                <v:imagedata r:id="rId31" o:title=""/>
                <o:lock v:ext="edit" rotation="t"/>
              </v:shape>
            </w:pict>
          </mc:Fallback>
        </mc:AlternateContent>
      </w:r>
      <w:r>
        <w:rPr>
          <w:b/>
          <w:bCs/>
          <w:iCs/>
          <w:highlight w:val="none"/>
          <w:lang w:val="pt-BR"/>
        </w:rPr>
        <w:t xml:space="preserve"> </w:t>
      </w:r>
      <w:r>
        <mc:AlternateContent>
          <mc:Choice Requires="wpg">
            <w:drawing>
              <wp:inline xmlns:wp="http://schemas.openxmlformats.org/drawingml/2006/wordprocessingDrawing" distT="0" distB="0" distL="0" distR="0">
                <wp:extent cx="3971925" cy="54292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43286" name=""/>
                        <pic:cNvPicPr>
                          <a:picLocks noChangeAspect="1"/>
                        </pic:cNvPicPr>
                        <pic:nvPr/>
                      </pic:nvPicPr>
                      <pic:blipFill rotWithShape="1">
                        <a:blip r:embed="rId32"/>
                        <a:stretch/>
                      </pic:blipFill>
                      <pic:spPr bwMode="auto">
                        <a:xfrm>
                          <a:off x="0" y="0"/>
                          <a:ext cx="3971925" cy="542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12.75pt;height:42.75pt;mso-wrap-distance-left:0.00pt;mso-wrap-distance-top:0.00pt;mso-wrap-distance-right:0.00pt;mso-wrap-distance-bottom:0.00pt;z-index:1;" stroked="false">
                <v:imagedata r:id="rId32" o:title=""/>
                <o:lock v:ext="edit" rotation="t"/>
              </v:shape>
            </w:pict>
          </mc:Fallback>
        </mc:AlternateContent>
      </w:r>
      <w:r>
        <w:rPr>
          <w:b/>
          <w:bCs/>
          <w:lang w:val="pt-BR"/>
        </w:rPr>
      </w:r>
      <w:r>
        <w:rPr>
          <w:b/>
          <w:b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1-27T09:38:10Z" w:initials="NTTD">
    <w:p w14:paraId="00000001" w14:textId="00000001">
      <w:pPr>
        <w:spacing w:line="240" w:after="0" w:lineRule="auto" w:before="0"/>
        <w:ind w:firstLine="0" w:left="0" w:right="0"/>
        <w:jc w:val="left"/>
      </w:pPr>
      <w:r>
        <w:rPr>
          <w:rFonts w:eastAsia="Arial" w:ascii="Arial" w:hAnsi="Arial" w:cs="Arial"/>
          <w:sz w:val="22"/>
        </w:rPr>
        <w:t xml:space="preserve">Bổ sung, kiểm tra đoạn chat, ghi âm ngoài tin đăng. TSSS2</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FFA4B73" w16cex:dateUtc="2026-01-27T02:38:1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FFA4B7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4FB5D9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278</cp:revision>
  <dcterms:created xsi:type="dcterms:W3CDTF">2025-09-15T09:58:00Z</dcterms:created>
  <dcterms:modified xsi:type="dcterms:W3CDTF">2026-01-27T23:15:13Z</dcterms:modified>
</cp:coreProperties>
</file>