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line="276" w:lineRule="auto"/>
        <w:ind w:right="-1"/>
        <w:jc w:val="center"/>
        <w:rPr>
          <w:b/>
          <w:sz w:val="28"/>
          <w:lang w:val="vi-VN"/>
        </w:rPr>
      </w:pPr>
      <w:r>
        <w:rPr>
          <w:b/>
          <w:sz w:val="28"/>
          <w:lang w:val="vi-VN"/>
        </w:rPr>
        <w:t xml:space="preserve">Ok</w:t>
      </w:r>
      <w:r>
        <w:rPr>
          <w:b/>
          <w:sz w:val="28"/>
          <w:lang w:val="vi-VN"/>
        </w:rPr>
      </w:r>
      <w:r>
        <w:rPr>
          <w:b/>
          <w:sz w:val="28"/>
          <w:lang w:val="vi-VN"/>
        </w:rPr>
      </w:r>
      <w:r>
        <w:rPr>
          <w:b/>
          <w:sz w:val="28"/>
          <w:lang w:val="vi-VN"/>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302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302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275/2026/0138/VFI-CT.27.A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HOÀNG ĐỨC QUÝ</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184 (Lô 04-C12.12), tờ bản đồ số 45 có địa chỉ tại Phố Quận Tường, khu Đô thị An Huy, thị trấn Cao Thượng, huyện Tân Yên, tỉnh Bắc Giang (nay là xã Tân Yên, tỉnh Bắc Ninh) theo Giấy chứng</w:t>
                            </w:r>
                            <w:r>
                              <w:rPr>
                                <w:color w:val="000000"/>
                              </w:rPr>
                              <w:t xml:space="preserve"> nhận Quyền sử dụng đất quyền sở hữu nhà ở và tài sản khác gắn liền với đất số CS 817614, số vào sổ cấp GCN: CH 05142 do UBND huyện Tân Yên cấp ngày 30/9/2019. Chủ sở hữu thửa đất nói trên là ông Hoàng Đức Quý và bà Phạm Thị Mừng (cập nhật ngày 28/11/2025)</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5.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275/2026/0138/VFI-CT.27.A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HOÀNG ĐỨC QUÝ</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184 (Lô 04-C12.12), tờ bản đồ số 45 có địa chỉ tại Phố Quận Tường, khu Đô thị An Huy, thị trấn Cao Thượng, huyện Tân Yên, tỉnh Bắc Giang (nay là xã Tân Yên, tỉnh Bắc Ninh) theo Giấy chứng</w:t>
                      </w:r>
                      <w:r>
                        <w:rPr>
                          <w:color w:val="000000"/>
                        </w:rPr>
                        <w:t xml:space="preserve"> nhận Quyền sử dụng đất quyền sở hữu nhà ở và tài sản khác gắn liền với đất số CS 817614, số vào sổ cấp GCN: CH 05142 do UBND huyện Tân Yên cấp ngày 30/9/2019. Chủ sở hữu thửa đất nói trên là ông Hoàng Đức Quý và bà Phạm Thị Mừng (cập nhật ngày 28/11/2025)</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txbxContent>
                </v:textbox>
              </v:shape>
            </w:pict>
          </mc:Fallback>
        </mc:AlternateContent>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pPr>
      <w:r>
        <w:rPr>
          <w:b/>
          <w:sz w:val="28"/>
        </w:rPr>
      </w:r>
      <w:r>
        <w:rPr>
          <w:b/>
          <w:sz w:val="28"/>
        </w:rPr>
      </w:r>
      <w:r>
        <w:rPr>
          <w:b/>
          <w:sz w:val="28"/>
        </w:rPr>
      </w:r>
    </w:p>
    <w:p>
      <w:pPr>
        <w:pBdr/>
        <w:spacing w:line="276" w:lineRule="auto"/>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line="276" w:lineRule="auto"/>
        <w:ind w:right="-1"/>
        <w:jc w:val="center"/>
        <w:rPr>
          <w:sz w:val="28"/>
        </w:rPr>
      </w:pPr>
      <w:r>
        <w:rPr>
          <w:b/>
          <w:sz w:val="28"/>
        </w:rPr>
        <w:t xml:space="preserve">MỤC LỤC</w:t>
      </w:r>
      <w:r>
        <w:rPr>
          <w:sz w:val="28"/>
        </w:rPr>
      </w:r>
      <w:r>
        <w:rPr>
          <w:sz w:val="28"/>
        </w:rPr>
      </w:r>
    </w:p>
    <w:p>
      <w:pPr>
        <w:pBdr/>
        <w:spacing w:line="276" w:lineRule="auto"/>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line="276" w:lineRule="auto"/>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line="276" w:lineRule="auto"/>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line="276" w:lineRule="auto"/>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line="276" w:lineRule="auto"/>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line="276" w:lineRule="auto"/>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line="276" w:lineRule="auto"/>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line="276" w:lineRule="auto"/>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line="276" w:lineRule="auto"/>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line="276" w:lineRule="auto"/>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line="276" w:lineRule="auto"/>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76"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line="276" w:lineRule="auto"/>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76"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line="276" w:lineRule="auto"/>
              <w:ind/>
              <w:jc w:val="right"/>
              <w:rPr>
                <w:b/>
                <w:bCs/>
              </w:rPr>
            </w:pPr>
            <w:r>
              <w:rPr>
                <w:b/>
                <w:bCs/>
              </w:rPr>
              <w:t xml:space="preserve">19-22</w:t>
            </w:r>
            <w:r>
              <w:rPr>
                <w:b/>
                <w:bCs/>
              </w:rPr>
            </w:r>
            <w:r>
              <w:rPr>
                <w:b/>
                <w:bCs/>
              </w:rPr>
            </w:r>
          </w:p>
        </w:tc>
      </w:tr>
    </w:tbl>
    <w:p>
      <w:pPr>
        <w:pStyle w:val="102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276"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276"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774" w:type="dxa"/>
        <w:tblBorders/>
        <w:tblLayout w:type="fixed"/>
        <w:tblLook w:val="04A0" w:firstRow="1" w:lastRow="0" w:firstColumn="1" w:lastColumn="0" w:noHBand="0" w:noVBand="1"/>
      </w:tblPr>
      <w:tblGrid>
        <w:gridCol w:w="1588"/>
        <w:gridCol w:w="1984"/>
        <w:gridCol w:w="6202"/>
      </w:tblGrid>
      <w:tr>
        <w:trPr>
          <w:trHeight w:val="1152"/>
        </w:trPr>
        <w:tc>
          <w:tcPr>
            <w:tcBorders/>
            <w:tcW w:w="1588" w:type="dxa"/>
            <w:textDirection w:val="lrTb"/>
            <w:noWrap w:val="false"/>
          </w:tcPr>
          <w:p>
            <w:pPr>
              <w:pBdr/>
              <w:spacing w:line="276"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187" w:type="dxa"/>
            <w:textDirection w:val="lrTb"/>
            <w:noWrap w:val="false"/>
          </w:tcPr>
          <w:p>
            <w:pPr>
              <w:pBdr/>
              <w:spacing w:line="276"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276"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276"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82"/>
        </w:trPr>
        <w:tc>
          <w:tcPr>
            <w:gridSpan w:val="2"/>
            <w:shd w:val="clear" w:color="auto" w:fill="auto"/>
            <w:tcBorders/>
            <w:tcMar>
              <w:left w:w="108" w:type="dxa"/>
              <w:top w:w="0" w:type="dxa"/>
              <w:right w:w="108" w:type="dxa"/>
              <w:bottom w:w="0" w:type="dxa"/>
            </w:tcMar>
            <w:tcW w:w="3572" w:type="dxa"/>
            <w:textDirection w:val="lrTb"/>
            <w:noWrap w:val="false"/>
          </w:tcPr>
          <w:p>
            <w:pPr>
              <w:pStyle w:val="1024"/>
              <w:pBdr/>
              <w:spacing w:after="60" w:line="276" w:lineRule="auto"/>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275/2026/0138/VFI-CT.27.A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202" w:type="dxa"/>
            <w:textDirection w:val="lrTb"/>
            <w:noWrap w:val="false"/>
          </w:tcPr>
          <w:p>
            <w:pPr>
              <w:pStyle w:val="1024"/>
              <w:pBdr/>
              <w:spacing w:after="60" w:line="276" w:lineRule="auto"/>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20 tháng 01 năm 2026</w:t>
            </w:r>
            <w:r>
              <w:rPr>
                <w:color w:val="000000" w:themeColor="text1"/>
                <w:sz w:val="24"/>
                <w:szCs w:val="24"/>
                <w:lang w:val="vi-VN"/>
              </w:rPr>
            </w:r>
            <w:r>
              <w:rPr>
                <w:color w:val="000000" w:themeColor="text1"/>
                <w:sz w:val="24"/>
                <w:szCs w:val="24"/>
                <w:lang w:val="vi-VN"/>
              </w:rPr>
            </w:r>
          </w:p>
        </w:tc>
      </w:tr>
    </w:tbl>
    <w:p>
      <w:pPr>
        <w:pStyle w:val="1024"/>
        <w:pBdr/>
        <w:spacing w:after="120" w:before="200" w:line="276"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HOÀNG ĐỨC QUÝ</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76"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275/2026/0138/VFI-HĐTĐ.27.A</w:t>
      </w:r>
      <w:r>
        <w:rPr>
          <w:spacing w:val="-4"/>
          <w:lang w:val="vi-VN"/>
        </w:rPr>
        <w:t xml:space="preserve"> ký ngày </w:t>
      </w:r>
      <w:r>
        <w:rPr>
          <w:color w:val="000000" w:themeColor="text1"/>
          <w:spacing w:val="-4"/>
        </w:rPr>
        <w:t xml:space="preserve">16 tháng 01 năm 2026</w:t>
      </w:r>
      <w:r>
        <w:rPr>
          <w:spacing w:val="-4"/>
          <w:lang w:val="vi-VN"/>
        </w:rPr>
        <w:t xml:space="preserve"> </w:t>
      </w:r>
      <w:r>
        <w:rPr>
          <w:spacing w:val="-4"/>
          <w:lang w:val="vi-VN"/>
        </w:rPr>
        <w:t xml:space="preserve">giữa </w:t>
      </w:r>
      <w:r>
        <w:rPr>
          <w:color w:val="000000" w:themeColor="text1"/>
          <w:spacing w:val="-4"/>
        </w:rPr>
        <w:t xml:space="preserve">ông Hoàng Đức Quý</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76"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275/2026/0138/VFI-BC.27.A"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20 tháng 01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76"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76"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43" w:type="pct"/>
        <w:tblBorders/>
        <w:tblLayout w:type="fixed"/>
        <w:tblLook w:val="04A0" w:firstRow="1" w:lastRow="0" w:firstColumn="1" w:lastColumn="0" w:noHBand="0" w:noVBand="1"/>
      </w:tblPr>
      <w:tblGrid>
        <w:gridCol w:w="1809"/>
        <w:gridCol w:w="461"/>
        <w:gridCol w:w="7336"/>
      </w:tblGrid>
      <w:tr>
        <w:trPr>
          <w:trHeight w:val="20"/>
        </w:trPr>
        <w:tc>
          <w:tcPr>
            <w:shd w:val="clear" w:color="auto" w:fill="auto"/>
            <w:tcBorders/>
            <w:tcW w:w="1809"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336" w:type="dxa"/>
            <w:vAlign w:val="center"/>
            <w:textDirection w:val="lrTb"/>
            <w:noWrap w:val="false"/>
          </w:tcPr>
          <w:p>
            <w:pPr>
              <w:pBdr/>
              <w:tabs>
                <w:tab w:val="center" w:leader="none" w:pos="3346"/>
              </w:tabs>
              <w:spacing w:line="276" w:lineRule="auto"/>
              <w:ind/>
              <w:rPr/>
            </w:pPr>
            <w:r>
              <w:rPr>
                <w:b/>
                <w:bCs/>
              </w:rPr>
              <w:t xml:space="preserve">ÔNG HOÀNG ĐỨC QUÝ</w:t>
            </w:r>
            <w:r>
              <w:tab/>
            </w:r>
            <w:r/>
          </w:p>
        </w:tc>
      </w:tr>
      <w:tr>
        <w:trPr>
          <w:trHeight w:val="20"/>
        </w:trPr>
        <w:tc>
          <w:tcPr>
            <w:shd w:val="clear" w:color="auto" w:fill="auto"/>
            <w:tcBorders/>
            <w:tcW w:w="1809"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336"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024089011755</w:t>
            </w:r>
            <w:r>
              <w:rPr>
                <w:color w:val="ff0000"/>
                <w:lang w:val="pt-BR"/>
              </w:rPr>
            </w:r>
            <w:r>
              <w:rPr>
                <w:color w:val="ff0000"/>
                <w:lang w:val="pt-BR"/>
              </w:rPr>
            </w:r>
          </w:p>
        </w:tc>
      </w:tr>
      <w:tr>
        <w:trPr>
          <w:trHeight w:val="20"/>
        </w:trPr>
        <w:tc>
          <w:tcPr>
            <w:shd w:val="clear" w:color="auto" w:fill="auto"/>
            <w:tcBorders/>
            <w:tcW w:w="1809"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336"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1989</w:t>
            </w:r>
            <w:r>
              <w:rPr>
                <w:color w:val="ff0000"/>
                <w:lang w:val="pt-BR"/>
              </w:rPr>
            </w:r>
            <w:r>
              <w:rPr>
                <w:color w:val="ff0000"/>
                <w:lang w:val="pt-BR"/>
              </w:rPr>
            </w:r>
          </w:p>
        </w:tc>
      </w:tr>
      <w:tr>
        <w:trPr>
          <w:trHeight w:val="20"/>
        </w:trPr>
        <w:tc>
          <w:tcPr>
            <w:shd w:val="clear" w:color="auto" w:fill="auto"/>
            <w:tcBorders/>
            <w:tcW w:w="1809"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336"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Phố Mới, Cao Thượng, Tân Yên, Bắc Giang</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10001" w:type="dxa"/>
        <w:tblBorders/>
        <w:tblLayout w:type="fixed"/>
        <w:tblLook w:val="04A0" w:firstRow="1" w:lastRow="0" w:firstColumn="1" w:lastColumn="0" w:noHBand="0" w:noVBand="1"/>
      </w:tblPr>
      <w:tblGrid>
        <w:gridCol w:w="1809"/>
        <w:gridCol w:w="289"/>
        <w:gridCol w:w="7460"/>
        <w:gridCol w:w="443"/>
      </w:tblGrid>
      <w:tr>
        <w:trPr>
          <w:trHeight w:val="20"/>
        </w:trPr>
        <w:tc>
          <w:tcPr>
            <w:tcBorders/>
            <w:tcW w:w="180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gridSpan w:val="2"/>
            <w:tcBorders/>
            <w:tcW w:w="7903"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180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gridSpan w:val="2"/>
            <w:tcBorders/>
            <w:tcW w:w="7903"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80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gridSpan w:val="2"/>
            <w:tcBorders/>
            <w:tcW w:w="7903"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180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gridSpan w:val="2"/>
            <w:tcBorders/>
            <w:tcW w:w="7903"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180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gridSpan w:val="2"/>
            <w:tcBorders/>
            <w:tcW w:w="7903"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gridAfter w:val="1"/>
          <w:trHeight w:val="20"/>
        </w:trPr>
        <w:tc>
          <w:tcPr>
            <w:tcBorders/>
            <w:tcW w:w="180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460" w:type="dxa"/>
            <w:vAlign w:val="center"/>
            <w:textDirection w:val="lrTb"/>
            <w:noWrap w:val="false"/>
          </w:tcPr>
          <w:p>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gridAfter w:val="1"/>
          <w:trHeight w:val="20"/>
        </w:trPr>
        <w:tc>
          <w:tcPr>
            <w:tcBorders/>
            <w:tcW w:w="180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460"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180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gridSpan w:val="2"/>
            <w:tcBorders/>
            <w:tcW w:w="7903" w:type="dxa"/>
            <w:vAlign w:val="center"/>
            <w:textDirection w:val="lrTb"/>
            <w:noWrap w:val="false"/>
          </w:tcPr>
          <w:p>
            <w:pPr>
              <w:pBdr/>
              <w:spacing w:after="40" w:before="40" w:line="276" w:lineRule="auto"/>
              <w:ind/>
              <w:rPr>
                <w:b w:val="0"/>
                <w:bCs w:val="0"/>
              </w:rPr>
            </w:pPr>
            <w:r>
              <w:rPr>
                <w:b w:val="0"/>
                <w:bCs w:val="0"/>
                <w:lang w:val="vi-VN"/>
              </w:rPr>
              <w:t xml:space="preserve">Ông</w:t>
            </w:r>
            <w:r>
              <w:rPr>
                <w:b w:val="0"/>
                <w:bCs w:val="0"/>
              </w:rPr>
              <w:t xml:space="preserve"> Vũ Văn Quân</w:t>
            </w:r>
            <w:r>
              <w:rPr>
                <w:b w:val="0"/>
                <w:bCs w:val="0"/>
                <w:lang w:val="vi-VN"/>
              </w:rPr>
              <w:tab/>
            </w:r>
            <w:r>
              <w:rPr>
                <w:b w:val="0"/>
                <w:bCs w:val="0"/>
              </w:rPr>
              <w:t xml:space="preserve">        </w:t>
            </w:r>
            <w:r>
              <w:rPr>
                <w:b w:val="0"/>
                <w:bCs w:val="0"/>
                <w:lang w:val="vi-VN"/>
              </w:rPr>
              <w:t xml:space="preserve">Chức vụ: </w:t>
            </w:r>
            <w:r>
              <w:rPr>
                <w:b w:val="0"/>
                <w:bCs w:val="0"/>
              </w:rPr>
              <w:t xml:space="preserve">Chủ tịch HĐQT kiêm Tổng Giám Đốc</w:t>
            </w:r>
            <w:r>
              <w:rPr>
                <w:b w:val="0"/>
                <w:bCs w:val="0"/>
              </w:rPr>
            </w:r>
            <w:r>
              <w:rPr>
                <w:b w:val="0"/>
                <w:bCs w:val="0"/>
              </w:rPr>
            </w:r>
          </w:p>
        </w:tc>
      </w:tr>
    </w:tbl>
    <w:p>
      <w:pPr>
        <w:pBdr/>
        <w:spacing w:after="120" w:before="120" w:line="276"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184 (Lô 04-C12.12), tờ bản đồ số 45 có địa chỉ tại Phố Quận Tường, khu Đô thị An Huy, thị trấn Cao Thượng, huyện Tân Yên, tỉnh Bắc Giang (nay là xã Tân Yên, tỉnh Bắc Ninh) theo Giấy chứng</w:t>
      </w:r>
      <w:r>
        <w:rPr>
          <w:color w:val="000000" w:themeColor="text1"/>
        </w:rPr>
        <w:t xml:space="preserve"> nhận Quyền sử dụng đất quyền sở hữu nhà ở và tài sản khác gắn liền với đất số CS 817614, số vào sổ cấp GCN: CH 05142 do UBND huyện Tân Yên cấp ngày 30/9/2019. Chủ sở hữu thửa đất nói trên là ông Hoàng Đức Quý và bà Phạm Thị Mừng (cập nhật ngày 28/11/2025)</w:t>
      </w:r>
      <w:r>
        <w:rPr>
          <w:i/>
          <w:iCs/>
        </w:rPr>
        <w:t xml:space="preserve">.</w:t>
      </w:r>
      <w:r>
        <w:rPr>
          <w:b/>
          <w:bCs/>
        </w:rPr>
      </w:r>
      <w:r>
        <w:rPr>
          <w:b/>
          <w:bCs/>
        </w:rPr>
      </w:r>
    </w:p>
    <w:p>
      <w:pPr>
        <w:pBdr/>
        <w:spacing w:after="120" w:before="120" w:line="276"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276"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76"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276"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276"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276"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276"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276"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276"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276"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148"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025"/>
        <w:gridCol w:w="1802"/>
        <w:gridCol w:w="2581"/>
        <w:gridCol w:w="2447"/>
      </w:tblGrid>
      <w:tr>
        <w:trPr>
          <w:trHeight w:val="20"/>
        </w:trPr>
        <w:tc>
          <w:tcPr>
            <w:shd w:val="clear" w:color="000000" w:fill="ffffff"/>
            <w:tcBorders/>
            <w:tcW w:w="952" w:type="dxa"/>
            <w:vAlign w:val="center"/>
            <w:textDirection w:val="lrTb"/>
            <w:noWrap w:val="false"/>
          </w:tcPr>
          <w:p>
            <w:pPr>
              <w:pBdr/>
              <w:spacing w:after="40" w:before="45" w:beforeAutospacing="1" w:line="276"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5" w:beforeAutospacing="1" w:line="276"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5" w:beforeAutospacing="1" w:line="276"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5" w:beforeAutospacing="1" w:line="276"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447" w:type="dxa"/>
            <w:vAlign w:val="center"/>
            <w:textDirection w:val="lrTb"/>
            <w:noWrap w:val="false"/>
          </w:tcPr>
          <w:p>
            <w:pPr>
              <w:pBdr/>
              <w:spacing w:after="40" w:before="45" w:beforeAutospacing="1" w:line="276"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5" w:beforeAutospacing="1" w:line="276"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5" w:beforeAutospacing="1" w:line="276" w:lineRule="auto"/>
              <w:ind/>
              <w:jc w:val="both"/>
              <w:rPr>
                <w:b/>
                <w:bCs/>
              </w:rPr>
            </w:pPr>
            <w:r>
              <w:rPr>
                <w:b/>
                <w:bCs/>
                <w:color w:val="000000"/>
              </w:rPr>
              <w:t xml:space="preserve">Quyền sử dụng đất tại thửa đất số 184 (Lô 04-C12.12), tờ bản đồ số 45 có địa chỉ tại Phố Quận Tường, khu Đô thị An Huy, thị trấn Cao Thượng, huyện Tân Yên, tỉnh Bắc Giang (nay là xã Tân Yên, tỉnh Bắc Ninh) theo Giấy chứng</w:t>
            </w:r>
            <w:r>
              <w:rPr>
                <w:b/>
                <w:bCs/>
                <w:color w:val="000000"/>
              </w:rPr>
              <w:t xml:space="preserve"> nhận Quyền sử dụng đất quyền sở hữu nhà ở và tài sản khác gắn liền với đất số CS 817614, số vào sổ cấp GCN: CH 05142 do UBND huyện Tân Yên cấp ngày 30/9/2019. Chủ sở hữu thửa đất nói trên là ông Hoàng Đức Quý và bà Phạm Thị Mừng (cập nhật ngày 28/11/2025)</w:t>
            </w:r>
            <w:r>
              <w:rPr>
                <w:b/>
                <w:bCs/>
              </w:rPr>
              <w:t xml:space="preserve">.</w:t>
            </w:r>
            <w:r>
              <w:rPr>
                <w:b/>
                <w:bCs/>
              </w:rPr>
            </w:r>
            <w:r>
              <w:rPr>
                <w:b/>
                <w:bCs/>
              </w:rPr>
            </w:r>
          </w:p>
        </w:tc>
        <w:tc>
          <w:tcPr>
            <w:shd w:val="clear" w:color="000000" w:fill="ffffff"/>
            <w:tcBorders/>
            <w:tcW w:w="2447" w:type="dxa"/>
            <w:vAlign w:val="center"/>
            <w:textDirection w:val="lrTb"/>
            <w:noWrap w:val="false"/>
          </w:tcPr>
          <w:p>
            <w:pPr>
              <w:pBdr/>
              <w:spacing w:after="40" w:before="45" w:beforeAutospacing="1" w:line="276"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5" w:beforeAutospacing="1" w:line="276" w:lineRule="auto"/>
              <w:ind/>
              <w:jc w:val="center"/>
              <w:rPr>
                <w:b w:val="0"/>
                <w:bCs w:val="0"/>
              </w:rPr>
            </w:pPr>
            <w:r>
              <w:rPr>
                <w:b w:val="0"/>
                <w:bCs w:val="0"/>
              </w:rPr>
              <w:t xml:space="preserve">1</w:t>
            </w:r>
            <w:r>
              <w:rPr>
                <w:b w:val="0"/>
                <w:bCs w:val="0"/>
              </w:rPr>
            </w:r>
            <w:r>
              <w:rPr>
                <w:b w:val="0"/>
                <w:bCs w:val="0"/>
              </w:rPr>
            </w:r>
          </w:p>
        </w:tc>
        <w:tc>
          <w:tcPr>
            <w:shd w:val="clear" w:color="000000" w:fill="ffffff"/>
            <w:tcBorders/>
            <w:tcW w:w="2025" w:type="dxa"/>
            <w:vAlign w:val="center"/>
            <w:textDirection w:val="lrTb"/>
            <w:noWrap w:val="false"/>
          </w:tcPr>
          <w:p>
            <w:pPr>
              <w:pBdr/>
              <w:spacing w:after="40" w:before="45" w:beforeAutospacing="1" w:line="276" w:lineRule="auto"/>
              <w:ind/>
              <w:rPr>
                <w:b w:val="0"/>
                <w:bCs w:val="0"/>
              </w:rPr>
            </w:pPr>
            <w:r>
              <w:rPr>
                <w:b w:val="0"/>
                <w:bCs w:val="0"/>
              </w:rPr>
              <w:t xml:space="preserve">Đất ở tại đô thị</w:t>
            </w:r>
            <w:r>
              <w:rPr>
                <w:b w:val="0"/>
                <w:bCs w:val="0"/>
              </w:rPr>
            </w:r>
            <w:r>
              <w:rPr>
                <w:b w:val="0"/>
                <w:bCs w:val="0"/>
              </w:rPr>
            </w:r>
          </w:p>
        </w:tc>
        <w:tc>
          <w:tcPr>
            <w:tcBorders/>
            <w:tcW w:w="1802" w:type="dxa"/>
            <w:vAlign w:val="center"/>
            <w:textDirection w:val="lrTb"/>
            <w:noWrap/>
          </w:tcPr>
          <w:p>
            <w:pPr>
              <w:pBdr/>
              <w:spacing w:after="40" w:before="45" w:beforeAutospacing="1" w:line="276" w:lineRule="auto"/>
              <w:ind/>
              <w:jc w:val="center"/>
              <w:rPr>
                <w:color w:val="000000"/>
              </w:rPr>
            </w:pPr>
            <w:r>
              <w:rPr>
                <w:color w:val="000000" w:themeColor="text1"/>
              </w:rPr>
              <w:t xml:space="preserve">100</w:t>
            </w:r>
            <w:r>
              <w:rPr>
                <w:color w:val="000000"/>
              </w:rPr>
            </w:r>
            <w:r>
              <w:rPr>
                <w:color w:val="000000"/>
              </w:rPr>
            </w:r>
          </w:p>
        </w:tc>
        <w:tc>
          <w:tcPr>
            <w:shd w:val="clear" w:color="000000" w:fill="ffffff"/>
            <w:tcBorders/>
            <w:tcW w:w="2581" w:type="dxa"/>
            <w:vAlign w:val="center"/>
            <w:textDirection w:val="lrTb"/>
            <w:noWrap w:val="false"/>
          </w:tcPr>
          <w:p>
            <w:pPr>
              <w:pBdr/>
              <w:spacing w:after="40" w:before="45" w:beforeAutospacing="1" w:line="276" w:lineRule="auto"/>
              <w:ind/>
              <w:jc w:val="center"/>
              <w:rPr/>
            </w:pPr>
            <w:r>
              <w:rPr>
                <w:color w:val="000000" w:themeColor="text1"/>
              </w:rPr>
              <w:t xml:space="preserve">33.100.000</w:t>
            </w:r>
            <w:r/>
          </w:p>
        </w:tc>
        <w:tc>
          <w:tcPr>
            <w:shd w:val="clear" w:color="000000" w:fill="ffffff"/>
            <w:tcBorders/>
            <w:tcW w:w="2447" w:type="dxa"/>
            <w:vAlign w:val="center"/>
            <w:textDirection w:val="lrTb"/>
            <w:noWrap w:val="false"/>
          </w:tcPr>
          <w:p>
            <w:pPr>
              <w:pBdr/>
              <w:spacing w:after="40" w:before="45" w:beforeAutospacing="1" w:line="276" w:lineRule="auto"/>
              <w:ind/>
              <w:jc w:val="center"/>
              <w:rPr/>
            </w:pPr>
            <w:r>
              <w:rPr>
                <w:color w:val="000000" w:themeColor="text1"/>
              </w:rPr>
            </w:r>
            <w:r>
              <w:rPr>
                <w:color w:val="000000" w:themeColor="text1"/>
              </w:rPr>
              <w:t xml:space="preserve">3.310.000.000</w:t>
            </w:r>
            <w:r>
              <w:rPr>
                <w:color w:val="000000" w:themeColor="text1"/>
              </w:rPr>
            </w:r>
            <w:r/>
          </w:p>
        </w:tc>
      </w:tr>
      <w:tr>
        <w:trPr>
          <w:trHeight w:val="20"/>
        </w:trPr>
        <w:tc>
          <w:tcPr>
            <w:gridSpan w:val="4"/>
            <w:tcBorders/>
            <w:tcW w:w="7361" w:type="dxa"/>
            <w:vAlign w:val="center"/>
            <w:textDirection w:val="lrTb"/>
            <w:noWrap/>
          </w:tcPr>
          <w:p>
            <w:pPr>
              <w:pBdr/>
              <w:spacing w:after="40" w:before="45" w:beforeAutospacing="1" w:line="276" w:lineRule="auto"/>
              <w:ind/>
              <w:jc w:val="center"/>
              <w:rPr>
                <w:b/>
                <w:bCs/>
                <w:color w:val="000000"/>
              </w:rPr>
            </w:pPr>
            <w:r>
              <w:rPr>
                <w:b/>
                <w:bCs/>
                <w:color w:val="000000"/>
              </w:rPr>
              <w:t xml:space="preserve">TỔNG CỘNG</w:t>
            </w:r>
            <w:r>
              <w:rPr>
                <w:b/>
                <w:bCs/>
                <w:color w:val="000000"/>
              </w:rPr>
            </w:r>
            <w:r>
              <w:rPr>
                <w:b/>
                <w:bCs/>
                <w:color w:val="000000"/>
              </w:rPr>
            </w:r>
          </w:p>
        </w:tc>
        <w:tc>
          <w:tcPr>
            <w:tcBorders/>
            <w:tcW w:w="2447" w:type="dxa"/>
            <w:vAlign w:val="center"/>
            <w:textDirection w:val="lrTb"/>
            <w:noWrap/>
          </w:tcPr>
          <w:p>
            <w:pPr>
              <w:pBdr/>
              <w:spacing w:after="40" w:before="45" w:beforeAutospacing="1" w:line="276" w:lineRule="auto"/>
              <w:ind/>
              <w:jc w:val="center"/>
              <w:rPr>
                <w:b/>
                <w:bCs/>
                <w:color w:val="000000"/>
              </w:rPr>
            </w:pPr>
            <w:r>
              <w:t xml:space="preserve">3.310.000.000</w:t>
            </w:r>
            <w:r>
              <w:rPr>
                <w:b/>
                <w:bCs/>
                <w:color w:val="000000"/>
              </w:rPr>
            </w:r>
            <w:r>
              <w:rPr>
                <w:b/>
                <w:bCs/>
                <w:color w:val="000000"/>
              </w:rPr>
            </w:r>
          </w:p>
        </w:tc>
      </w:tr>
      <w:tr>
        <w:trPr>
          <w:trHeight w:val="20"/>
        </w:trPr>
        <w:tc>
          <w:tcPr>
            <w:gridSpan w:val="5"/>
            <w:tcBorders/>
            <w:tcW w:w="9808" w:type="dxa"/>
            <w:vAlign w:val="center"/>
            <w:textDirection w:val="lrTb"/>
            <w:noWrap w:val="false"/>
          </w:tcPr>
          <w:p>
            <w:pPr>
              <w:pBdr/>
              <w:spacing w:after="40" w:before="45" w:beforeAutospacing="1" w:line="276"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ba trăm mười triệu đồng</w:t>
            </w:r>
            <w:r>
              <w:rPr>
                <w:b/>
                <w:bCs/>
                <w:i/>
                <w:iCs/>
                <w:color w:val="000000"/>
              </w:rPr>
              <w:t xml:space="preserve">./.)</w:t>
            </w:r>
            <w:r>
              <w:rPr>
                <w:b/>
                <w:bCs/>
                <w:i/>
                <w:iCs/>
                <w:color w:val="000000"/>
              </w:rPr>
            </w:r>
            <w:r>
              <w:rPr>
                <w:b/>
                <w:bCs/>
                <w:i/>
                <w:iCs/>
                <w:color w:val="000000"/>
              </w:rPr>
            </w:r>
          </w:p>
        </w:tc>
      </w:tr>
    </w:tbl>
    <w:p>
      <w:pPr>
        <w:pBdr/>
        <w:spacing w:after="120" w:before="120" w:line="276"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276"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276" w:lineRule="auto"/>
        <w:ind/>
        <w:rPr/>
      </w:pPr>
      <w:r>
        <w:rPr>
          <w:b/>
          <w:bCs/>
          <w:lang w:val="vi-VN"/>
        </w:rPr>
        <w:t xml:space="preserve">11. Những điều khoản loại trừ và hạn chế của kết quả thẩm định giá:</w:t>
      </w:r>
      <w:r/>
    </w:p>
    <w:p>
      <w:pPr>
        <w:pBdr/>
        <w:spacing w:after="120" w:before="120" w:line="276"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pPr>
        <w:pBdr/>
        <w:spacing w:after="120" w:before="120" w:line="276"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5114" w:type="pct"/>
        <w:tblBorders/>
        <w:tblLayout w:type="fixed"/>
        <w:tblLook w:val="01E0" w:firstRow="1" w:lastRow="1" w:firstColumn="1" w:lastColumn="1" w:noHBand="0" w:noVBand="0"/>
      </w:tblPr>
      <w:tblGrid>
        <w:gridCol w:w="4673"/>
        <w:gridCol w:w="5069"/>
      </w:tblGrid>
      <w:tr>
        <w:trPr>
          <w:trHeight w:val="20"/>
        </w:trPr>
        <w:tc>
          <w:tcPr>
            <w:tcBorders/>
            <w:tcW w:w="4673"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069"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3"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069"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3" w:type="dxa"/>
            <w:vAlign w:val="center"/>
            <w:textDirection w:val="lrTb"/>
            <w:noWrap w:val="false"/>
          </w:tcPr>
          <w:p>
            <w:pPr>
              <w:pBdr/>
              <w:spacing w:line="276" w:lineRule="auto"/>
              <w:ind/>
              <w:jc w:val="center"/>
              <w:rPr>
                <w:rFonts w:eastAsia="Calibri"/>
                <w:b/>
                <w:bCs/>
                <w:lang w:val="vi-VN"/>
              </w:rPr>
            </w:pPr>
            <w:r>
              <w:rPr>
                <w:rFonts w:eastAsia="Calibri"/>
                <w:b/>
                <w:bCs/>
                <w:color w:val="000000" w:themeColor="text1"/>
                <w:lang w:val="pt-BR"/>
              </w:rPr>
              <w:t xml:space="preserve">Nguyễn Thị Thùy</w:t>
            </w:r>
            <w:r>
              <w:rPr>
                <w:rFonts w:eastAsia="Calibri"/>
                <w:b/>
                <w:bCs/>
                <w:lang w:val="vi-VN"/>
              </w:rPr>
            </w:r>
            <w:r>
              <w:rPr>
                <w:rFonts w:eastAsia="Calibri"/>
                <w:b/>
                <w:bCs/>
                <w:lang w:val="vi-VN"/>
              </w:rPr>
            </w:r>
          </w:p>
          <w:p>
            <w:pPr>
              <w:pBdr/>
              <w:spacing w:line="276" w:lineRule="auto"/>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X15.1419</w:t>
            </w:r>
            <w:r>
              <w:rPr>
                <w:rFonts w:eastAsia="Calibri"/>
                <w:bCs/>
                <w:lang w:val="pt-BR"/>
              </w:rPr>
            </w:r>
            <w:r>
              <w:rPr>
                <w:rFonts w:eastAsia="Calibri"/>
                <w:bCs/>
                <w:lang w:val="pt-BR"/>
              </w:rPr>
            </w:r>
          </w:p>
        </w:tc>
        <w:tc>
          <w:tcPr>
            <w:tcBorders/>
            <w:tcW w:w="5069" w:type="dxa"/>
            <w:vAlign w:val="center"/>
            <w:textDirection w:val="lrTb"/>
            <w:noWrap w:val="false"/>
          </w:tcPr>
          <w:p>
            <w:pPr>
              <w:pBdr/>
              <w:spacing w:line="276" w:lineRule="auto"/>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212" w:type="dxa"/>
        <w:tblBorders/>
        <w:tblLayout w:type="fixed"/>
        <w:tblLook w:val="04A0" w:firstRow="1" w:lastRow="0" w:firstColumn="1" w:lastColumn="0" w:noHBand="0" w:noVBand="1"/>
      </w:tblPr>
      <w:tblGrid>
        <w:gridCol w:w="1588"/>
        <w:gridCol w:w="1984"/>
        <w:gridCol w:w="6628"/>
        <w:gridCol w:w="12"/>
      </w:tblGrid>
      <w:tr>
        <w:trPr>
          <w:gridAfter w:val="1"/>
          <w:trHeight w:val="1152"/>
        </w:trPr>
        <w:tc>
          <w:tcPr>
            <w:tcBorders/>
            <w:tcW w:w="1588" w:type="dxa"/>
            <w:textDirection w:val="lrTb"/>
            <w:noWrap w:val="false"/>
          </w:tcPr>
          <w:p>
            <w:pPr>
              <w:pBdr/>
              <w:spacing w:line="276"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612" w:type="dxa"/>
            <w:textDirection w:val="lrTb"/>
            <w:noWrap w:val="false"/>
          </w:tcPr>
          <w:p>
            <w:pPr>
              <w:pBdr/>
              <w:spacing w:line="276"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276"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276"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82"/>
        </w:trPr>
        <w:tc>
          <w:tcPr>
            <w:gridSpan w:val="2"/>
            <w:shd w:val="clear" w:color="auto" w:fill="auto"/>
            <w:tcBorders/>
            <w:tcMar>
              <w:left w:w="108" w:type="dxa"/>
              <w:top w:w="0" w:type="dxa"/>
              <w:right w:w="108" w:type="dxa"/>
              <w:bottom w:w="0" w:type="dxa"/>
            </w:tcMar>
            <w:tcW w:w="3572" w:type="dxa"/>
            <w:textDirection w:val="lrTb"/>
            <w:noWrap w:val="false"/>
          </w:tcPr>
          <w:p>
            <w:pPr>
              <w:pStyle w:val="1024"/>
              <w:pBdr/>
              <w:spacing w:after="60" w:line="276" w:lineRule="auto"/>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275/2026/0138/VFI-CT.27.A</w:t>
            </w:r>
            <w:r>
              <w:rPr>
                <w:color w:val="000000" w:themeColor="text1"/>
                <w:sz w:val="24"/>
                <w:szCs w:val="24"/>
              </w:rPr>
            </w:r>
            <w:r>
              <w:rPr>
                <w:color w:val="000000" w:themeColor="text1"/>
                <w:sz w:val="24"/>
                <w:szCs w:val="24"/>
              </w:rPr>
            </w:r>
          </w:p>
        </w:tc>
        <w:tc>
          <w:tcPr>
            <w:gridSpan w:val="2"/>
            <w:shd w:val="clear" w:color="auto" w:fill="auto"/>
            <w:tcBorders/>
            <w:tcMar>
              <w:left w:w="108" w:type="dxa"/>
              <w:top w:w="0" w:type="dxa"/>
              <w:right w:w="108" w:type="dxa"/>
              <w:bottom w:w="0" w:type="dxa"/>
            </w:tcMar>
            <w:tcW w:w="6640" w:type="dxa"/>
            <w:textDirection w:val="lrTb"/>
            <w:noWrap w:val="false"/>
          </w:tcPr>
          <w:p>
            <w:pPr>
              <w:pStyle w:val="1024"/>
              <w:pBdr/>
              <w:spacing w:after="60" w:line="276" w:lineRule="auto"/>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20 tháng 1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276" w:lineRule="auto"/>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276" w:lineRule="auto"/>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275/2026/0138/VFI-CT.27.A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20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276" w:lineRule="auto"/>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10125" w:type="dxa"/>
        <w:tblBorders/>
        <w:tblLayout w:type="fixed"/>
        <w:tblLook w:val="04A0" w:firstRow="1" w:lastRow="0" w:firstColumn="1" w:lastColumn="0" w:noHBand="0" w:noVBand="1"/>
      </w:tblPr>
      <w:tblGrid>
        <w:gridCol w:w="1951"/>
        <w:gridCol w:w="289"/>
        <w:gridCol w:w="7460"/>
        <w:gridCol w:w="425"/>
      </w:tblGrid>
      <w:tr>
        <w:trPr>
          <w:trHeight w:val="20"/>
        </w:trPr>
        <w:tc>
          <w:tcPr>
            <w:tcBorders/>
            <w:tcW w:w="1951"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gridSpan w:val="2"/>
            <w:tcBorders/>
            <w:tcW w:w="7886"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gridAfter w:val="1"/>
          <w:trHeight w:val="20"/>
        </w:trPr>
        <w:tc>
          <w:tcPr>
            <w:tcBorders/>
            <w:tcW w:w="1951"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46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gridAfter w:val="1"/>
          <w:trHeight w:val="20"/>
        </w:trPr>
        <w:tc>
          <w:tcPr>
            <w:tcBorders/>
            <w:tcW w:w="1951"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746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gridAfter w:val="1"/>
          <w:trHeight w:val="20"/>
        </w:trPr>
        <w:tc>
          <w:tcPr>
            <w:tcBorders/>
            <w:tcW w:w="1951"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46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gridAfter w:val="1"/>
          <w:trHeight w:val="20"/>
        </w:trPr>
        <w:tc>
          <w:tcPr>
            <w:tcBorders/>
            <w:tcW w:w="1951"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46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gridAfter w:val="1"/>
          <w:trHeight w:val="20"/>
        </w:trPr>
        <w:tc>
          <w:tcPr>
            <w:tcBorders/>
            <w:tcW w:w="1951"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46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gridAfter w:val="1"/>
          <w:trHeight w:val="20"/>
        </w:trPr>
        <w:tc>
          <w:tcPr>
            <w:tcBorders/>
            <w:tcW w:w="1951"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460" w:type="dxa"/>
            <w:vAlign w:val="center"/>
            <w:textDirection w:val="lrTb"/>
            <w:noWrap w:val="false"/>
          </w:tcPr>
          <w:p>
            <w:pPr>
              <w:pBdr/>
              <w:spacing w:after="60" w:before="60" w:line="276" w:lineRule="auto"/>
              <w:ind/>
              <w:rPr>
                <w:b w:val="0"/>
                <w:bCs w:val="0"/>
              </w:rPr>
            </w:pPr>
            <w:r>
              <w:rPr>
                <w:b w:val="0"/>
                <w:bCs w:val="0"/>
                <w:lang w:val="vi-VN"/>
              </w:rPr>
              <w:t xml:space="preserve">Ông</w:t>
            </w:r>
            <w:r>
              <w:rPr>
                <w:b w:val="0"/>
                <w:bCs w:val="0"/>
              </w:rPr>
              <w:t xml:space="preserve"> Vũ Văn Quân </w:t>
            </w:r>
            <w:r>
              <w:rPr>
                <w:b w:val="0"/>
                <w:bCs w:val="0"/>
                <w:lang w:val="vi-VN"/>
              </w:rPr>
              <w:tab/>
              <w:t xml:space="preserve">Chức vụ: </w:t>
            </w:r>
            <w:r>
              <w:rPr>
                <w:b w:val="0"/>
                <w:bCs w:val="0"/>
              </w:rPr>
              <w:t xml:space="preserve">Chủ tịch HĐQT kiêm Tổng Giám Đốc</w:t>
            </w:r>
            <w:r>
              <w:rPr>
                <w:b w:val="0"/>
                <w:bCs w:val="0"/>
                <w:lang w:val="vi-VN"/>
              </w:rPr>
            </w:r>
            <w:r>
              <w:rPr>
                <w:b w:val="0"/>
                <w:bCs w:val="0"/>
              </w:rPr>
            </w:r>
          </w:p>
        </w:tc>
      </w:tr>
    </w:tbl>
    <w:p>
      <w:pPr>
        <w:pStyle w:val="1025"/>
        <w:pBdr/>
        <w:tabs>
          <w:tab w:val="left" w:leader="none" w:pos="284"/>
        </w:tabs>
        <w:spacing w:after="120" w:line="276" w:lineRule="auto"/>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276" w:lineRule="auto"/>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abs>
                <w:tab w:val="center" w:leader="none" w:pos="3346"/>
              </w:tabs>
              <w:spacing w:line="276" w:lineRule="auto"/>
              <w:ind/>
              <w:rPr/>
            </w:pPr>
            <w:r>
              <w:rPr>
                <w:b/>
                <w:bCs/>
              </w:rPr>
              <w:t xml:space="preserve">ÔNG HOÀNG ĐỨC QUÝ</w:t>
            </w:r>
            <w:r>
              <w:tab/>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024089011755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Phố Mới, Cao Thượng, Tân Yên, Bắc Giang</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184 (Lô 04-C12.12), tờ bản đồ số 45 có địa chỉ tại Phố Quận Tường, khu Đô thị An Huy, thị trấn Cao Thượng, huyện Tân Yên, tỉnh Bắc Giang (nay là xã Tân Yên, tỉnh Bắc Ninh) theo Giấy chứng</w:t>
            </w:r>
            <w:r>
              <w:rPr>
                <w:bCs/>
                <w:color w:val="000000" w:themeColor="text1"/>
                <w:lang w:val="pt-BR"/>
              </w:rPr>
              <w:t xml:space="preserve"> nhận Quyền sử dụng đất quyền sở hữu nhà ở và tài sản khác gắn liền với đất số CS 817614, số vào sổ cấp GCN: CH 05142 do UBND huyện Tân Yên cấp ngày 30/9/2019. Chủ sở hữu thửa đất nói trên là ông Hoàng Đức Quý và bà Phạm Thị Mừng (cập nhật ngày 28/11/2025)</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Huyện Tân Yên, tỉnh Bắc Giang (nay là xã Tân Yên, tỉnh Bắc Ninh).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w:t>
            </w:r>
            <w:r>
              <w:rPr>
                <w:rFonts w:ascii="Times New Roman" w:hAnsi="Times New Roman" w:eastAsia="Times New Roman" w:cs="Times New Roman"/>
                <w:color w:val="000000" w:themeColor="text1"/>
                <w:spacing w:val="1"/>
                <w:sz w:val="24"/>
                <w:szCs w:val="24"/>
              </w:rPr>
              <w:t xml:space="preserve">21.383724, 106.122934</w:t>
            </w:r>
            <w:r>
              <w:rPr>
                <w:rFonts w:ascii="Times New Roman" w:hAnsi="Times New Roman" w:eastAsia="Times New Roman" w:cs="Times New Roman"/>
                <w:color w:val="000000" w:themeColor="text1"/>
                <w:sz w:val="24"/>
                <w:szCs w:val="24"/>
              </w:rPr>
              <w:t xml:space="preserve">)</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w:t>
      </w:r>
      <w:r>
        <w:rPr>
          <w:bCs/>
          <w:color w:val="000000" w:themeColor="text1"/>
          <w:lang w:val="pt-BR"/>
        </w:rPr>
        <w:t xml:space="preserve"> nhận Quyền sử dụng đất quyền sở hữu nhà ở và tài sản khác gắn liền với đất số CS 817614, số vào sổ cấp GCN: CH 05142 do UBND huyện Tân Yên cấp ngày 30/9/2019. Chủ sở hữu thửa đất nói trên là ông Hoàng Đức Quý và bà Phạm Thị Mừng (cập nhật ngày 28/11/2025)</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275/2026/0138/VFI-HĐTĐ.27.A ngày 16/01/2026 giữa ông Hoàng Đức Quý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276" w:lineRule="auto"/>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29" w:firstLine="0" w:left="0"/>
        <w:jc w:val="both"/>
        <w:rPr>
          <w:rFonts w:ascii="Times New Roman" w:hAnsi="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Trong bức tranh đa sắc màu của thị trường bất động sản (BĐS) miền Bắc, Bắc Giang đang chuyển mình từ một thị trường tiềm năng thành điểm sáng đầu tư. Với một loạt cú hích chiến lược: quy hoạch đô thị đồng bộ, đầu tư hạ tầng mạnh mẽ và đặc biệt là đề án sáp</w:t>
      </w:r>
      <w:r>
        <w:rPr>
          <w:rFonts w:ascii="Times New Roman" w:hAnsi="Times New Roman" w:eastAsia="Times New Roman" w:cs="Times New Roman"/>
          <w:b w:val="0"/>
          <w:bCs w:val="0"/>
          <w:color w:val="000000" w:themeColor="text1"/>
          <w:sz w:val="24"/>
          <w:szCs w:val="24"/>
        </w:rPr>
        <w:t xml:space="preserve"> nhập hành chính đã và đang tạo ra một “ngòi nổ” cho làn sóng tăng giá đất và tái định vị thị trường.</w:t>
      </w:r>
      <w:r>
        <w:rPr>
          <w:rFonts w:ascii="Times New Roman" w:hAnsi="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0" w:left="0"/>
        <w:jc w:val="both"/>
        <w:rPr>
          <w:rFonts w:ascii="Times New Roman" w:hAnsi="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Động lực từ sáp nhập tỉnh, quy hoạch và tái cấu trúc hành chính</w:t>
      </w:r>
      <w:r>
        <w:rPr>
          <w:rFonts w:ascii="Times New Roman" w:hAnsi="Times New Roman" w:cs="Times New Roman"/>
          <w:b w:val="0"/>
          <w:bCs w:val="0"/>
          <w:color w:val="000000" w:themeColor="text1"/>
          <w:sz w:val="24"/>
          <w:szCs w:val="24"/>
        </w:rPr>
      </w:r>
      <w:r>
        <w:rPr>
          <w:rFonts w:ascii="Times New Roman" w:hAnsi="Times New Roman" w:cs="Times New Roman"/>
          <w:b w:val="0"/>
          <w:bCs w:val="0"/>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Chủ trương sáp nhập một số đơn vị hành chính cấp tỉnh đang tạo ra làn sóng quan tâm mạnh mẽ trên thị trường BĐS. Không chỉ đơn thuần là việc “gộp địa giới”, quá trình sáp nhập còn kéo theo một loạt thay đổi về quy hoạch vùng, phân bổ nguồn lực, nâng cấp hạ</w:t>
      </w:r>
      <w:r>
        <w:rPr>
          <w:rFonts w:ascii="Times New Roman" w:hAnsi="Times New Roman" w:eastAsia="Times New Roman" w:cs="Times New Roman"/>
          <w:color w:val="000000" w:themeColor="text1"/>
          <w:sz w:val="24"/>
          <w:szCs w:val="24"/>
        </w:rPr>
        <w:t xml:space="preserve"> tầng - từ đó đẩy giá trị đất đai ở các khu vực trọng điểm lên một mặt bằng mới.</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Bắc Giang - với vị trí đô thị cửa ngõ, trung tâm phía Đông Bắc của vùng thủ đô Hà Nội, lại nằm trong vành đai phát triển công nghiệp - đô thị của miền Bắc, địa phương này được xem là ứng cử viên sáng giá trong các đề xuất tái cấu trúc hành chính.</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Thực tế, ngay khi thông tin về đề án sáp nhập được đưa ra, thị trường địa ốc Bắc Giang đã sôi động trở lại. Khu vực trung tâm TP. Bắc Giang, nơi hội tụ các dự án đô thị quy mô, quỹ đất ngày càng khan hiếm, chứng kiến giá trị BĐS tăng mạnh. Nhiều dự án mới </w:t>
      </w:r>
      <w:r>
        <w:rPr>
          <w:rFonts w:ascii="Times New Roman" w:hAnsi="Times New Roman" w:eastAsia="Times New Roman" w:cs="Times New Roman"/>
          <w:color w:val="000000" w:themeColor="text1"/>
          <w:sz w:val="24"/>
          <w:szCs w:val="24"/>
        </w:rPr>
        <w:t xml:space="preserve">được khởi động, dòng tiền liên tục đổ về.</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b/>
          <w:color w:val="000000" w:themeColor="text1"/>
          <w:sz w:val="24"/>
          <w:szCs w:val="24"/>
        </w:rPr>
        <w:t xml:space="preserve">Sau sáp nhập - BĐS Bắc Giang bước vào “trạng thái thị trường mới”</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Nếu coi BĐS là dòng chảy chu kỳ, thì chính sách chính là dòng thác tạo ra bước ngoặt, tạo nên một “trạng thái thị trường mới”.</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Sau sáp nhập, Bắc Giang được kỳ vọng trở thành trung tâm hành chính - công nghiệp - kinh tế mới của toàn vùng. Điều đó đồng nghĩa với việc nơi đây không chỉ là “chốn an cư” mà còn là điểm đến của dòng vốn sinh lời dài hạn.</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Không khó để nhận thấy, trong hai năm trở lại đây, giá đất tại các trục chính TP. Bắc Giang, hoặc các khu vực có kết nối tốt như Lục Nam, Việt Yên, Yên Dũng… đều tăng từ 20 - 35%, bất chấp thị trường chung có nhiều biến động.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b/>
          <w:color w:val="000000" w:themeColor="text1"/>
          <w:sz w:val="24"/>
          <w:szCs w:val="24"/>
        </w:rPr>
        <w:t xml:space="preserve">Bài học từ Hà Đông: Địa chính thay đổi, giá trị BĐS gia tăng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Nhìn lại quá trình sáp nhập Hà Tây vào Hà Nội năm 2008, có thể thấy rõ những tác động tích cực mà chính sách này mang lại cho thị trường BĐS tại các khu vực như: Hà Đông, Thanh Trì, Hoài Đức...</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Hơn một thập kỷ trước, Hà Đông từng là “vùng ven” khi thuộc tỉnh Hà Tây. Nhưng sau khi sáp nhập vào Hà Nội, nhờ hưởng lợi hạ tầng, quy hoạch và dòng vốn, nơi đây đã trở thành “vệ tinh” sôi động của Thủ đô với giá trị BĐS tăng gấp nhiều lần. Đó là bài học r</w:t>
      </w:r>
      <w:r>
        <w:rPr>
          <w:rFonts w:ascii="Times New Roman" w:hAnsi="Times New Roman" w:eastAsia="Times New Roman" w:cs="Times New Roman"/>
          <w:color w:val="000000" w:themeColor="text1"/>
          <w:sz w:val="24"/>
          <w:szCs w:val="24"/>
        </w:rPr>
        <w:t xml:space="preserve">õ ràng về một “cơn địa chấn hành chính” có thể tạo ra một chuỗi phản ứng tăng giá bền vững.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Với Bắc Giang - được xem như một “Hà Đông mới” với vị thế trung tâm hành chính tương lai và quỹ đất vẫn còn nhiều dư địa tăng trưởng.</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Không chỉ có lợi thế về vị trí và kết nối hạ tầng, tỉnh còn thu hút mạnh mẽ vốn đầu tư trực tiếp nước ngoài (FDI), đặc biệt trong ngành công nghiệp điện - điện tử. Sự cộng hưởng giữa yếu tố quy hoạch, phát triển kinh tế và tiềm năng tái cấu trúc hành chính</w:t>
      </w:r>
      <w:r>
        <w:rPr>
          <w:rFonts w:ascii="Times New Roman" w:hAnsi="Times New Roman" w:eastAsia="Times New Roman" w:cs="Times New Roman"/>
          <w:color w:val="000000" w:themeColor="text1"/>
          <w:sz w:val="24"/>
          <w:szCs w:val="24"/>
        </w:rPr>
        <w:t xml:space="preserve"> sẽ là những “đòn bẩy” quan trọng đưa BĐS Bắc Giang lên một tầm cao mới.</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suppressLineNumbers w:val="false"/>
        <w:pBdr>
          <w:top w:val="none" w:color="000000" w:sz="4" w:space="0"/>
          <w:left w:val="none" w:color="000000" w:sz="4" w:space="0"/>
          <w:bottom w:val="none" w:color="000000" w:sz="4" w:space="0"/>
          <w:right w:val="none" w:color="000000" w:sz="4" w:space="0"/>
        </w:pBdr>
        <w:shd w:val="clear" w:color="ffffff" w:fill="ffffff"/>
        <w:spacing w:after="113" w:before="113" w:line="276" w:lineRule="auto"/>
        <w:ind w:right="0" w:firstLine="0" w:left="0"/>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Trong bối cảnh đó, những khu vực trung tâm TP. Bắc Giang, nơi đang hình thành các khu đô thị hiện đại, hoặc các khu vực lân cận các khu công nghiệp lớn, có kết nối giao thông thuận tiện với Hà Nội, Quảng Ninh... hứa hẹn sẽ là những “tọa độ vàng” cho dòng v</w:t>
      </w:r>
      <w:r>
        <w:rPr>
          <w:rFonts w:ascii="Times New Roman" w:hAnsi="Times New Roman" w:eastAsia="Times New Roman" w:cs="Times New Roman"/>
          <w:color w:val="000000" w:themeColor="text1"/>
          <w:sz w:val="24"/>
          <w:szCs w:val="24"/>
        </w:rPr>
        <w:t xml:space="preserve">ốn đầu tư thông minh.</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p>
      <w:pPr>
        <w:suppressLineNumbers w:val="false"/>
        <w:pBdr/>
        <w:tabs>
          <w:tab w:val="left" w:leader="none" w:pos="426"/>
        </w:tabs>
        <w:spacing w:after="113" w:before="113" w:line="276" w:lineRule="auto"/>
        <w:ind/>
        <w:rPr>
          <w:rFonts w:ascii="Times New Roman" w:hAnsi="Times New Roman" w:cs="Times New Roman"/>
          <w:i/>
          <w:iCs/>
          <w:color w:val="000000" w:themeColor="text1"/>
          <w:sz w:val="24"/>
          <w:szCs w:val="24"/>
        </w:rPr>
      </w:pPr>
      <w:r>
        <w:rPr>
          <w:rFonts w:ascii="Times New Roman" w:hAnsi="Times New Roman" w:eastAsia="Times New Roman" w:cs="Times New Roman"/>
          <w:color w:val="000000" w:themeColor="text1"/>
          <w:sz w:val="24"/>
          <w:szCs w:val="24"/>
          <w:shd w:val="clear" w:color="auto" w:fill="ffffff"/>
        </w:rPr>
        <w:t xml:space="preserve">(Nguồn: </w:t>
      </w:r>
      <w:r>
        <w:rPr>
          <w:rFonts w:ascii="Times New Roman" w:hAnsi="Times New Roman" w:eastAsia="Times New Roman" w:cs="Times New Roman"/>
          <w:color w:val="000000" w:themeColor="text1"/>
          <w:sz w:val="24"/>
          <w:szCs w:val="24"/>
          <w:shd w:val="clear" w:color="auto" w:fill="ffffff"/>
        </w:rPr>
        <w:t xml:space="preserve">https://tienphong.vn/bac-giang-diem-nong-moi-cua-bat-dong-san-mien-bac-sau-sap-nhap-post1744861.tpo</w:t>
      </w:r>
      <w:r>
        <w:rPr>
          <w:rFonts w:ascii="Times New Roman" w:hAnsi="Times New Roman" w:eastAsia="Times New Roman" w:cs="Times New Roman"/>
          <w:color w:val="000000" w:themeColor="text1"/>
          <w:sz w:val="24"/>
          <w:szCs w:val="24"/>
          <w:shd w:val="clear" w:color="auto" w:fill="ffffff"/>
        </w:rPr>
        <w:t xml:space="preserve">)</w:t>
      </w:r>
      <w:r>
        <w:rPr>
          <w:rFonts w:ascii="Times New Roman" w:hAnsi="Times New Roman" w:cs="Times New Roman"/>
          <w:i/>
          <w:iCs/>
          <w:color w:val="000000" w:themeColor="text1"/>
          <w:sz w:val="24"/>
          <w:szCs w:val="24"/>
        </w:rPr>
      </w:r>
      <w:r>
        <w:rPr>
          <w:rFonts w:ascii="Times New Roman" w:hAnsi="Times New Roman" w:cs="Times New Roman"/>
          <w:i/>
          <w:iCs/>
          <w:color w:val="000000" w:themeColor="text1"/>
          <w:sz w:val="24"/>
          <w:szCs w:val="24"/>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line="276" w:lineRule="auto"/>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line="276" w:lineRule="auto"/>
              <w:ind/>
              <w:jc w:val="both"/>
              <w:rPr>
                <w:b/>
                <w:bCs/>
                <w:color w:val="000000"/>
              </w:rPr>
            </w:pPr>
            <w:r>
              <w:rPr>
                <w:b/>
                <w:bCs/>
                <w:color w:val="000000"/>
              </w:rPr>
              <w:t xml:space="preserve">Quyền sử dụng đất tại thửa đất số 184 (Lô 04-C12.12), tờ bản đồ số 45 có địa chỉ tại Phố Quận Tường, khu Đô thị An Huy, thị trấn Cao Thượng, huyện Tân Yên, tỉnh Bắc Giang (nay là xã Tân Yên, tỉnh Bắc Ninh) theo Giấy chứng</w:t>
            </w:r>
            <w:r>
              <w:rPr>
                <w:b/>
                <w:bCs/>
                <w:color w:val="000000"/>
              </w:rPr>
              <w:t xml:space="preserve"> nhận Quyền sử dụng đất quyền sở hữu nhà ở và tài sản khác gắn liền với đất số CS 817614, số vào sổ cấp GCN: CH 05142 do UBND huyện Tân Yên cấp ngày 30/9/2019. Chủ sở hữu thửa đất nói trên là ông Hoàng Đức Quý và bà Phạm Thị Mừng (cập nhật ngày 28/11/2025)</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line="276" w:lineRule="auto"/>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line="276" w:lineRule="auto"/>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76" w:lineRule="auto"/>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line="276" w:lineRule="auto"/>
              <w:ind/>
              <w:jc w:val="center"/>
              <w:rPr>
                <w:color w:val="000000"/>
              </w:rPr>
            </w:pPr>
            <w:r>
              <w:rPr>
                <w:color w:val="000000" w:themeColor="text1"/>
              </w:rPr>
              <w:t xml:space="preserve">184 (Lô 04 - C 12.2 )</w:t>
            </w:r>
            <w:r>
              <w:rPr>
                <w:color w:val="000000"/>
              </w:rPr>
            </w:r>
            <w:r>
              <w:rPr>
                <w:color w:val="000000"/>
              </w:rPr>
            </w:r>
          </w:p>
        </w:tc>
        <w:tc>
          <w:tcPr>
            <w:tcBorders/>
            <w:tcW w:w="2126" w:type="dxa"/>
            <w:vAlign w:val="center"/>
            <w:textDirection w:val="lrTb"/>
            <w:noWrap w:val="false"/>
          </w:tcPr>
          <w:p>
            <w:pPr>
              <w:pBdr/>
              <w:spacing w:line="276" w:lineRule="auto"/>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line="276" w:lineRule="auto"/>
              <w:ind/>
              <w:jc w:val="center"/>
              <w:rPr>
                <w:color w:val="ee0000"/>
              </w:rPr>
            </w:pPr>
            <w:r>
              <w:rPr>
                <w:color w:val="000000" w:themeColor="text1"/>
              </w:rPr>
              <w:t xml:space="preserve">45</w:t>
            </w:r>
            <w:r>
              <w:rPr>
                <w:color w:val="ee0000"/>
              </w:rPr>
            </w:r>
            <w:r>
              <w:rPr>
                <w:color w:val="ee0000"/>
              </w:rP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76" w:lineRule="auto"/>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line="276" w:lineRule="auto"/>
              <w:ind/>
              <w:jc w:val="both"/>
              <w:rPr>
                <w:color w:val="000000"/>
              </w:rPr>
            </w:pPr>
            <w:r>
              <w:rPr>
                <w:color w:val="000000"/>
              </w:rPr>
              <w:t xml:space="preserve">Phố Quận Tường, khu Đô Thị An Huy, TT Cao Thượng, huyện Tân Yên, tỉnh Bắc Giang (nay là xã Tân Yên, tỉnh Bắc Ninh)</w:t>
            </w:r>
            <w:r>
              <w:rPr>
                <w:color w:val="000000"/>
              </w:rPr>
            </w:r>
            <w:r>
              <w:rPr>
                <w:color w:val="000000"/>
              </w:rP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76" w:lineRule="auto"/>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line="276" w:lineRule="auto"/>
              <w:ind/>
              <w:jc w:val="center"/>
              <w:rPr>
                <w:color w:val="000000"/>
              </w:rPr>
            </w:pPr>
            <w:r>
              <w:rPr>
                <w:color w:val="000000"/>
              </w:rPr>
              <w:t xml:space="preserve">100</w:t>
            </w:r>
            <w:r>
              <w:rPr>
                <w:color w:val="000000"/>
              </w:rPr>
            </w:r>
            <w:r>
              <w:rPr>
                <w:color w:val="000000"/>
              </w:rPr>
            </w:r>
          </w:p>
        </w:tc>
        <w:tc>
          <w:tcPr>
            <w:tcBorders/>
            <w:tcW w:w="2126" w:type="dxa"/>
            <w:vAlign w:val="center"/>
            <w:textDirection w:val="lrTb"/>
            <w:noWrap w:val="false"/>
          </w:tcPr>
          <w:p>
            <w:pPr>
              <w:pBdr/>
              <w:spacing w:line="276" w:lineRule="auto"/>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line="276" w:lineRule="auto"/>
              <w:ind/>
              <w:jc w:val="center"/>
              <w:rPr>
                <w:color w:val="000000"/>
              </w:rPr>
            </w:pPr>
            <w:r>
              <w:rPr>
                <w:color w:val="000000"/>
              </w:rPr>
              <w:t xml:space="preserve">Sử dụng chung: 100 m</w:t>
            </w:r>
            <w:r>
              <w:rPr>
                <w:color w:val="000000"/>
                <w:vertAlign w:val="superscript"/>
              </w:rPr>
              <w:t xml:space="preserve">2</w:t>
            </w:r>
            <w:r>
              <w:rPr>
                <w:color w:val="000000"/>
              </w:rPr>
            </w:r>
            <w:r>
              <w:rPr>
                <w:color w:val="000000"/>
              </w:rP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76" w:lineRule="auto"/>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line="276" w:lineRule="auto"/>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line="276" w:lineRule="auto"/>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line="276" w:lineRule="auto"/>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76" w:lineRule="auto"/>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line="276" w:lineRule="auto"/>
              <w:ind/>
              <w:jc w:val="both"/>
              <w:rPr>
                <w:color w:val="000000"/>
              </w:rPr>
            </w:pPr>
            <w:r>
              <w:rPr>
                <w:color w:val="000000"/>
              </w:rPr>
              <w:t xml:space="preserve">Nhận chuyển nhượng đất được Nhà nước giao có thu tiền sử dụng đất.</w:t>
            </w:r>
            <w:r>
              <w:rPr>
                <w:color w:val="000000"/>
              </w:rPr>
            </w:r>
            <w:r>
              <w:rPr>
                <w:color w:val="000000"/>
              </w:rPr>
            </w:r>
          </w:p>
        </w:tc>
      </w:tr>
      <w:tr>
        <w:trPr>
          <w:trHeight w:val="20"/>
        </w:trPr>
        <w:tc>
          <w:tcPr>
            <w:tcBorders/>
            <w:tcW w:w="734" w:type="dxa"/>
            <w:vAlign w:val="center"/>
            <w:vMerge w:val="restart"/>
            <w:textDirection w:val="lrTb"/>
            <w:noWrap w:val="false"/>
          </w:tcPr>
          <w:p>
            <w:pPr>
              <w:pBdr/>
              <w:spacing w:line="276" w:lineRule="auto"/>
              <w:ind/>
              <w:jc w:val="center"/>
              <w:rPr>
                <w:color w:val="000000"/>
              </w:rPr>
            </w:pPr>
            <w:r>
              <w:rPr>
                <w:color w:val="000000"/>
              </w:rPr>
              <w:t xml:space="preserve">-</w:t>
            </w:r>
            <w:r>
              <w:rPr>
                <w:color w:val="000000"/>
              </w:rPr>
            </w:r>
            <w:r>
              <w:rPr>
                <w:color w:val="000000"/>
              </w:rPr>
            </w:r>
          </w:p>
          <w:p>
            <w:pPr>
              <w:pBdr/>
              <w:spacing w:line="276" w:lineRule="auto"/>
              <w:ind/>
              <w:jc w:val="center"/>
              <w:rPr>
                <w:color w:val="000000"/>
              </w:rPr>
            </w:pPr>
            <w:r>
              <w:rPr>
                <w:color w:val="000000"/>
              </w:rPr>
            </w:r>
            <w:r>
              <w:rPr>
                <w:color w:val="000000"/>
              </w:rPr>
            </w:r>
            <w:r>
              <w:rPr>
                <w:color w:val="000000"/>
              </w:rPr>
            </w:r>
          </w:p>
        </w:tc>
        <w:tc>
          <w:tcPr>
            <w:tcBorders/>
            <w:tcW w:w="2522" w:type="dxa"/>
            <w:vAlign w:val="center"/>
            <w:vMerge w:val="restart"/>
            <w:textDirection w:val="lrTb"/>
            <w:noWrap w:val="false"/>
          </w:tcPr>
          <w:p>
            <w:pPr>
              <w:pBdr/>
              <w:spacing w:line="276" w:lineRule="auto"/>
              <w:ind/>
              <w:rPr>
                <w:color w:val="000000"/>
              </w:rPr>
            </w:pPr>
            <w:r>
              <w:rPr>
                <w:color w:val="000000"/>
              </w:rPr>
              <w:t xml:space="preserve">Những Thay đổi sau khi cấp giấy chứng nhận</w:t>
            </w:r>
            <w:r>
              <w:rPr>
                <w:color w:val="000000"/>
              </w:rPr>
            </w:r>
            <w:r>
              <w:rPr>
                <w:color w:val="000000"/>
              </w:rPr>
            </w:r>
          </w:p>
        </w:tc>
        <w:tc>
          <w:tcPr>
            <w:gridSpan w:val="3"/>
            <w:tcBorders/>
            <w:tcW w:w="625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bCs/>
                <w:color w:val="000000"/>
                <w:sz w:val="24"/>
              </w:rPr>
              <w:t xml:space="preserve">Ngày 24/12/2020</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highlight w:val="none"/>
              </w:rPr>
              <w:t xml:space="preserve">Thay đổi số thửa tại trang 2 và trang 3 GCNQSD đất từ thửa đất số 184 (lô 02-C12.12) thành thửa 184 (lô 04-C12.2) theo đơn đăng ký ngày 17/12/2020.</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bCs/>
                <w:color w:val="000000"/>
                <w:sz w:val="24"/>
                <w:highlight w:val="none"/>
              </w:rPr>
              <w:t xml:space="preserve">Ngày 28/11/2025</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highlight w:val="none"/>
              </w:rPr>
              <w:t xml:space="preserve">Chuyển nhượng cho ông Hoàng Đức Quý, CCCD: 0240 8901 1755 và vợ Bà Phạm Thị Mừng, CCCD: 0241 9201 6665, cùng địa chỉ tại Thôn Phố Mới, xã Tân Yên, tỉnh Bắc Ninh theo hồ sơ số 004049.CN.001. Hình thức sử dụng: Chung.</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76" w:lineRule="auto"/>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textDirection w:val="lrTb"/>
            <w:noWrap w:val="false"/>
          </w:tcPr>
          <w:p>
            <w:pPr>
              <w:pBdr/>
              <w:spacing w:line="276" w:lineRule="auto"/>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line="276" w:lineRule="auto"/>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line="276" w:lineRule="auto"/>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line="276" w:lineRule="auto"/>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76" w:lineRule="auto"/>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line="276" w:lineRule="auto"/>
              <w:ind/>
              <w:jc w:val="center"/>
              <w:rPr>
                <w:color w:val="000000"/>
              </w:rPr>
            </w:pPr>
            <w:r>
              <w:rPr>
                <w:color w:val="000000"/>
              </w:rPr>
              <w:t xml:space="preserve">Phố Quận Tường</w:t>
            </w:r>
            <w:r>
              <w:rPr>
                <w:color w:val="000000"/>
              </w:rPr>
            </w:r>
            <w:r>
              <w:rPr>
                <w:color w:val="000000"/>
              </w:rPr>
            </w:r>
          </w:p>
        </w:tc>
        <w:tc>
          <w:tcPr>
            <w:tcBorders/>
            <w:tcW w:w="2126" w:type="dxa"/>
            <w:vAlign w:val="center"/>
            <w:textDirection w:val="lrTb"/>
            <w:noWrap w:val="false"/>
          </w:tcPr>
          <w:p>
            <w:pPr>
              <w:pBdr/>
              <w:spacing w:line="276" w:lineRule="auto"/>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line="276" w:lineRule="auto"/>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76" w:lineRule="auto"/>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line="276" w:lineRule="auto"/>
              <w:ind/>
              <w:jc w:val="center"/>
              <w:rPr>
                <w:color w:val="000000"/>
              </w:rPr>
            </w:pPr>
            <w:r>
              <w:rPr>
                <w:color w:val="000000" w:themeColor="text1"/>
              </w:rPr>
              <w:t xml:space="preserve">6</w:t>
            </w:r>
            <w:r>
              <w:rPr>
                <w:color w:val="000000"/>
              </w:rPr>
            </w:r>
            <w:r>
              <w:rPr>
                <w:color w:val="000000"/>
              </w:rPr>
            </w:r>
          </w:p>
        </w:tc>
        <w:tc>
          <w:tcPr>
            <w:tcBorders/>
            <w:tcW w:w="2126" w:type="dxa"/>
            <w:vAlign w:val="center"/>
            <w:textDirection w:val="lrTb"/>
            <w:noWrap w:val="false"/>
          </w:tcPr>
          <w:p>
            <w:pPr>
              <w:pBdr/>
              <w:spacing w:line="276" w:lineRule="auto"/>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line="276" w:lineRule="auto"/>
              <w:ind/>
              <w:jc w:val="center"/>
              <w:rPr>
                <w:color w:val="000000"/>
              </w:rPr>
            </w:pPr>
            <w:r>
              <w:rPr>
                <w:color w:val="000000" w:themeColor="text1"/>
              </w:rPr>
              <w:t xml:space="preserve">6</w:t>
            </w:r>
            <w:r>
              <w:rPr>
                <w:color w:val="000000"/>
              </w:rPr>
            </w:r>
            <w:r>
              <w:rPr>
                <w:color w:val="000000"/>
              </w:rP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76" w:lineRule="auto"/>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line="276" w:lineRule="auto"/>
              <w:ind/>
              <w:jc w:val="both"/>
              <w:rPr>
                <w:color w:val="000000"/>
              </w:rPr>
            </w:pPr>
            <w:r>
              <w:rPr>
                <w:color w:val="000000" w:themeColor="text1"/>
              </w:rPr>
              <w:t xml:space="preserve">Tài sản cách Ql17 khoảng 500m</w:t>
            </w:r>
            <w:r>
              <w:rPr>
                <w:color w:val="000000"/>
              </w:rPr>
            </w:r>
            <w:r>
              <w:rPr>
                <w:color w:val="000000"/>
              </w:rP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color w:val="000000" w:themeColor="text1"/>
                <w:sz w:val="24"/>
                <w:szCs w:val="24"/>
              </w:rPr>
              <w:t xml:space="preserve">bản</w:t>
            </w: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color w:val="000000" w:themeColor="text1"/>
                <w:sz w:val="24"/>
                <w:szCs w:val="24"/>
              </w:rPr>
              <w:t xml:space="preserve">đồ</w:t>
            </w: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color w:val="000000" w:themeColor="text1"/>
                <w:sz w:val="24"/>
                <w:szCs w:val="24"/>
              </w:rPr>
              <w:t xml:space="preserve">vệ</w:t>
            </w: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color w:val="000000" w:themeColor="text1"/>
                <w:sz w:val="24"/>
                <w:szCs w:val="24"/>
              </w:rPr>
              <w:t xml:space="preserve">tinh</w:t>
            </w: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color w:val="000000" w:themeColor="text1"/>
                <w:sz w:val="24"/>
                <w:szCs w:val="24"/>
              </w:rPr>
              <w:t xml:space="preserve">(</w:t>
            </w:r>
            <w:r>
              <w:rPr>
                <w:rFonts w:ascii="Times New Roman" w:hAnsi="Times New Roman" w:eastAsia="Times New Roman" w:cs="Times New Roman"/>
                <w:color w:val="000000" w:themeColor="text1"/>
                <w:spacing w:val="1"/>
                <w:sz w:val="24"/>
                <w:szCs w:val="24"/>
              </w:rPr>
              <w:t xml:space="preserve">21.383724, 106.122934</w:t>
            </w:r>
            <w:r>
              <w:rPr>
                <w:rFonts w:ascii="Times New Roman" w:hAnsi="Times New Roman" w:eastAsia="Times New Roman" w:cs="Times New Roman"/>
                <w:color w:val="000000" w:themeColor="text1"/>
                <w:sz w:val="24"/>
                <w:szCs w:val="24"/>
              </w:rPr>
              <w:t xml:space="preserve">)</w:t>
            </w:r>
            <w:r>
              <w:rPr>
                <w:rFonts w:ascii="Arial" w:hAnsi="Arial" w:eastAsia="Arial" w:cs="Arial"/>
                <w:sz w:val="21"/>
              </w:rPr>
            </w: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line="276" w:lineRule="auto"/>
              <w:ind/>
              <w:rPr>
                <w:color w:val="000000"/>
              </w:rPr>
            </w:pPr>
            <w:r>
              <w:rPr>
                <w:color w:val="000000"/>
              </w:rPr>
            </w:r>
            <w:r>
              <w:rPr>
                <w:color w:val="000000"/>
              </w:rPr>
              <mc:AlternateContent>
                <mc:Choice Requires="wpg">
                  <w:drawing>
                    <wp:inline xmlns:wp="http://schemas.openxmlformats.org/drawingml/2006/wordprocessingDrawing" distT="0" distB="0" distL="0" distR="0">
                      <wp:extent cx="5437845" cy="3260185"/>
                      <wp:effectExtent l="0" t="0" r="0" b="0"/>
                      <wp:docPr id="5" name=""/>
                      <wp:cNvGraphicFramePr/>
                      <a:graphic xmlns:a="http://schemas.openxmlformats.org/drawingml/2006/main">
                        <a:graphicData uri="http://schemas.openxmlformats.org/drawingml/2006/picture">
                          <pic:pic xmlns:pic="http://schemas.openxmlformats.org/drawingml/2006/picture">
                            <pic:nvPicPr>
                              <pic:cNvPr id="148097683" name="" descr=""/>
                              <pic:cNvPicPr/>
                              <pic:nvPr/>
                            </pic:nvPicPr>
                            <pic:blipFill rotWithShape="1">
                              <a:blip r:embed="rId17"/>
                              <a:stretch/>
                            </pic:blipFill>
                            <pic:spPr bwMode="auto">
                              <a:xfrm flipH="0" flipV="0">
                                <a:off x="0" y="0"/>
                                <a:ext cx="5437845" cy="32601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8.18pt;height:256.71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line="276" w:lineRule="auto"/>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line="276" w:lineRule="auto"/>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76" w:lineRule="auto"/>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line="276" w:lineRule="auto"/>
              <w:ind/>
              <w:jc w:val="center"/>
              <w:rPr>
                <w:color w:val="000000"/>
              </w:rPr>
            </w:pPr>
            <w:r>
              <w:rPr>
                <w:color w:val="000000" w:themeColor="text1"/>
              </w:rPr>
              <w:t xml:space="preserve">100</w:t>
            </w:r>
            <w:r>
              <w:rPr>
                <w:color w:val="000000"/>
              </w:rPr>
            </w:r>
            <w:r>
              <w:rPr>
                <w:color w:val="000000"/>
              </w:rPr>
            </w:r>
          </w:p>
        </w:tc>
        <w:tc>
          <w:tcPr>
            <w:tcBorders/>
            <w:tcW w:w="2126" w:type="dxa"/>
            <w:vAlign w:val="center"/>
            <w:textDirection w:val="lrTb"/>
            <w:noWrap w:val="false"/>
          </w:tcPr>
          <w:p>
            <w:pPr>
              <w:pBdr/>
              <w:spacing w:line="276" w:lineRule="auto"/>
              <w:ind/>
              <w:rPr/>
            </w:pPr>
            <w:r/>
            <w:r/>
          </w:p>
        </w:tc>
        <w:tc>
          <w:tcPr>
            <w:tcBorders/>
            <w:tcW w:w="2007" w:type="dxa"/>
            <w:vAlign w:val="center"/>
            <w:textDirection w:val="lrTb"/>
            <w:noWrap w:val="false"/>
          </w:tcPr>
          <w:p>
            <w:pPr>
              <w:pBdr/>
              <w:spacing w:line="276" w:lineRule="auto"/>
              <w:ind/>
              <w:rPr/>
            </w:pPr>
            <w: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76" w:lineRule="auto"/>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line="276" w:lineRule="auto"/>
              <w:ind/>
              <w:jc w:val="center"/>
              <w:rPr>
                <w:color w:val="000000"/>
              </w:rPr>
            </w:pPr>
            <w:r>
              <w:rPr>
                <w:color w:val="000000" w:themeColor="text1"/>
              </w:rPr>
              <w:t xml:space="preserve">5</w:t>
            </w:r>
            <w:r>
              <w:rPr>
                <w:color w:val="000000"/>
              </w:rPr>
            </w:r>
            <w:r>
              <w:rPr>
                <w:color w:val="000000"/>
              </w:rPr>
            </w:r>
          </w:p>
        </w:tc>
        <w:tc>
          <w:tcPr>
            <w:tcBorders/>
            <w:tcW w:w="2126" w:type="dxa"/>
            <w:vAlign w:val="center"/>
            <w:textDirection w:val="lrTb"/>
            <w:noWrap w:val="false"/>
          </w:tcPr>
          <w:p>
            <w:pPr>
              <w:pBdr/>
              <w:spacing w:line="276" w:lineRule="auto"/>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line="276" w:lineRule="auto"/>
              <w:ind/>
              <w:jc w:val="center"/>
              <w:rPr>
                <w:color w:val="000000" w:themeColor="text1"/>
              </w:rPr>
            </w:pPr>
            <w:r>
              <w:rPr>
                <w:color w:val="000000" w:themeColor="text1"/>
              </w:rPr>
              <w:t xml:space="preserve">20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76" w:lineRule="auto"/>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line="276" w:lineRule="auto"/>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line="276" w:lineRule="auto"/>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line="276" w:lineRule="auto"/>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pPr>
              <w:pBdr/>
              <w:spacing w:line="276" w:lineRule="auto"/>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line="276" w:lineRule="auto"/>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76" w:lineRule="auto"/>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line="276" w:lineRule="auto"/>
              <w:ind/>
              <w:rPr>
                <w:color w:val="000000"/>
              </w:rPr>
            </w:pPr>
            <w:r>
              <w:rPr>
                <w:color w:val="000000"/>
              </w:rPr>
              <w:t xml:space="preserve">Hạ tầng cấp nước: Nước máy, Hạ tầng thoát nước: Rãnh xây,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76" w:lineRule="auto"/>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line="276" w:lineRule="auto"/>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76" w:lineRule="auto"/>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line="276" w:lineRule="auto"/>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line="276" w:lineRule="auto"/>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line="276" w:lineRule="auto"/>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line="276"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76" w:lineRule="auto"/>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line="276" w:lineRule="auto"/>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line="276" w:lineRule="auto"/>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line="276" w:lineRule="auto"/>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line="276" w:lineRule="auto"/>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line="276" w:lineRule="auto"/>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 Đất trống</w:t>
            </w:r>
            <w:r>
              <w:rPr>
                <w:b/>
                <w:bCs/>
                <w:color w:val="000000"/>
              </w:rPr>
            </w:r>
            <w:r>
              <w:rPr>
                <w:b/>
                <w:bCs/>
                <w:color w:val="000000"/>
              </w:rPr>
            </w:r>
          </w:p>
        </w:tc>
      </w:tr>
    </w:tbl>
    <w:p>
      <w:pPr>
        <w:pBdr/>
        <w:spacing w:line="276" w:lineRule="auto"/>
        <w:ind w:left="646"/>
        <w:jc w:val="both"/>
        <w:rPr>
          <w:u w:val="single"/>
        </w:rPr>
      </w:pPr>
      <w:r>
        <w:rPr>
          <w:u w:val="single"/>
        </w:rPr>
      </w:r>
      <w:r>
        <w:rPr>
          <w:u w:val="single"/>
        </w:rPr>
      </w:r>
      <w:r>
        <w:rPr>
          <w:u w:val="single"/>
        </w:rPr>
      </w:r>
    </w:p>
    <w:p>
      <w:pPr>
        <w:pBdr/>
        <w:spacing w:line="276" w:lineRule="auto"/>
        <w:ind w:left="0"/>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76"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76"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bl>
    <w:p>
      <w:pPr>
        <w:pBdr/>
        <w:spacing w:line="276" w:lineRule="auto"/>
        <w:ind w:left="646"/>
        <w:jc w:val="both"/>
        <w:rPr>
          <w:u w:val="single"/>
        </w:rPr>
      </w:pPr>
      <w:r>
        <w:rPr>
          <w:u w:val="single"/>
        </w:rPr>
      </w:r>
      <w:r>
        <w:rPr>
          <w:u w:val="single"/>
        </w:rPr>
      </w:r>
      <w:r>
        <w:rPr>
          <w:u w:val="single"/>
        </w:rPr>
      </w:r>
    </w:p>
    <w:p>
      <w:pPr>
        <w:pBdr/>
        <w:spacing w:line="276"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76"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76"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76"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pPr>
            <w:r>
              <w:t xml:space="preserve">Không</w:t>
            </w: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pPr>
            <w:r>
              <w:t xml:space="preserve">Không</w:t>
            </w: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pPr>
            <w:r>
              <w:t xml:space="preserve">Không</w:t>
            </w: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pPr>
            <w:r>
              <w:t xml:space="preserve">Không</w:t>
            </w: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pPr>
            <w:r>
              <w:t xml:space="preserve">Không</w:t>
            </w: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pPr>
            <w:r>
              <w:t xml:space="preserve">Không</w:t>
            </w: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pPr>
            <w:r>
              <w:t xml:space="preserve">Không</w:t>
            </w: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pPr>
            <w:r>
              <w:t xml:space="preserve">Không</w:t>
            </w: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pPr>
            <w:r>
              <w:t xml:space="preserve">Không</w:t>
            </w: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pPr>
            <w:r>
              <w:t xml:space="preserve">Không</w:t>
            </w: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pPr>
            <w:r>
              <w:t xml:space="preserve">Không</w:t>
            </w: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pPr>
            <w:r>
              <w:t xml:space="preserve">Không</w:t>
            </w: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76"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76"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76" w:lineRule="auto"/>
              <w:ind w:left="144"/>
              <w:jc w:val="center"/>
              <w:rPr/>
            </w:pPr>
            <w:r>
              <w:t xml:space="preserve">Không</w:t>
            </w:r>
            <w:r/>
          </w:p>
        </w:tc>
        <w:tc>
          <w:tcPr>
            <w:tcBorders/>
            <w:tcW w:w="1874" w:type="pct"/>
            <w:vAlign w:val="center"/>
            <w:textDirection w:val="lrTb"/>
            <w:noWrap w:val="false"/>
          </w:tcPr>
          <w:p>
            <w:pPr>
              <w:widowControl w:val="false"/>
              <w:pBdr/>
              <w:spacing w:line="276" w:lineRule="auto"/>
              <w:ind w:left="144"/>
              <w:rPr>
                <w:lang w:eastAsia="ko-KR"/>
              </w:rPr>
            </w:pPr>
            <w:r>
              <w:rPr>
                <w:lang w:eastAsia="ko-KR"/>
              </w:rPr>
            </w:r>
            <w:r>
              <w:rPr>
                <w:lang w:eastAsia="ko-KR"/>
              </w:rPr>
            </w:r>
            <w:r>
              <w:rPr>
                <w:lang w:eastAsia="ko-KR"/>
              </w:rPr>
            </w:r>
          </w:p>
        </w:tc>
      </w:tr>
    </w:tbl>
    <w:p>
      <w:pPr>
        <w:pBdr/>
        <w:spacing w:line="276"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76"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76"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76"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before="23" w:beforeAutospacing="0"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before="23" w:beforeAutospacing="0"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before="23" w:beforeAutospacing="0"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before="23" w:beforeAutospacing="0"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before="23" w:beforeAutospacing="0"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before="23" w:beforeAutospacing="0"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sz w:val="22"/>
                <w:szCs w:val="22"/>
              </w:rPr>
            </w:pPr>
            <w:r>
              <w:rPr>
                <w:color w:val="000000" w:themeColor="text1"/>
                <w:sz w:val="22"/>
                <w:szCs w:val="22"/>
              </w:rPr>
              <w:t xml:space="preserve">Xã Cao Thượng, Huyện Tân Yên, Tỉnh Bắc Giang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sz w:val="22"/>
                <w:szCs w:val="22"/>
              </w:rPr>
            </w:pPr>
            <w:r>
              <w:rPr>
                <w:color w:val="000000" w:themeColor="text1"/>
                <w:sz w:val="22"/>
                <w:szCs w:val="22"/>
              </w:rPr>
              <w:t xml:space="preserve">Thị trấn Cao Thượng, Huyện Tân Yên, Tỉnh Bắc Giang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sz w:val="22"/>
                <w:szCs w:val="22"/>
              </w:rPr>
            </w:pPr>
            <w:r>
              <w:rPr>
                <w:color w:val="000000" w:themeColor="text1"/>
                <w:sz w:val="22"/>
                <w:szCs w:val="22"/>
              </w:rPr>
              <w:t xml:space="preserve">Thị trấn Cao Thượng, Huyện Tân Yên, Tỉnh Bắc Giang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sz w:val="22"/>
                <w:szCs w:val="22"/>
              </w:rPr>
            </w:pPr>
            <w:r>
              <w:rPr>
                <w:color w:val="000000" w:themeColor="text1"/>
                <w:sz w:val="22"/>
                <w:szCs w:val="22"/>
              </w:rPr>
              <w:t xml:space="preserve">Thị trấn Cao Thượng, Huyện Tân Yên, Tỉnh Bắc Giang</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sz w:val="22"/>
                <w:szCs w:val="22"/>
              </w:rPr>
            </w:pPr>
            <w:r>
              <w:rPr>
                <w:color w:val="000000" w:themeColor="text1"/>
                <w:sz w:val="22"/>
                <w:szCs w:val="22"/>
              </w:rPr>
              <w:t xml:space="preserve">https://batdongsan.com.vn/ban-dat-nen-du-an-xa-cao-thuong-prj-khu-do-thi-an-huy-cao-thuong/lo-goc-130m2-tai-kdt-tt-bac-gig-gia-phat-mai-pr41937878</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sz w:val="22"/>
                <w:szCs w:val="22"/>
              </w:rPr>
            </w:pPr>
            <w:r>
              <w:rPr>
                <w:color w:val="000000" w:themeColor="text1"/>
                <w:sz w:val="22"/>
                <w:szCs w:val="22"/>
              </w:rPr>
              <w:t xml:space="preserve">https://batdongsan.com.vn/ban-dat-nen-du-an-duong-hoang-quoc-viet-xa-cao-thuong-prj-khu-do-thi-an-huy-cao-thuong/b-biet-thu-9-ty-290-m2-gia-sieu-hoi-pr43803016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sz w:val="22"/>
                <w:szCs w:val="22"/>
              </w:rPr>
            </w:pPr>
            <w:r>
              <w:rPr>
                <w:color w:val="000000" w:themeColor="text1"/>
                <w:sz w:val="22"/>
                <w:szCs w:val="22"/>
              </w:rPr>
              <w:t xml:space="preserve">https://www.facebook.com/share/p/1L2EiJ4cVr/</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sz w:val="22"/>
                <w:szCs w:val="22"/>
              </w:rPr>
            </w:pPr>
            <w:r>
              <w:rPr>
                <w:color w:val="000000" w:themeColor="text1"/>
                <w:sz w:val="22"/>
                <w:szCs w:val="22"/>
              </w:rPr>
              <w:t xml:space="preserve">0917746969</w:t>
            </w:r>
            <w:r>
              <w:rPr>
                <w:sz w:val="22"/>
                <w:szCs w:val="22"/>
              </w:rPr>
              <w:t xml:space="preserve"> </w:t>
            </w:r>
            <w:r>
              <w:rPr>
                <w:sz w:val="22"/>
                <w:szCs w:val="22"/>
              </w:rPr>
              <w:b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sz w:val="22"/>
                <w:szCs w:val="22"/>
              </w:rPr>
            </w:pPr>
            <w:r>
              <w:rPr>
                <w:color w:val="000000" w:themeColor="text1"/>
                <w:sz w:val="22"/>
                <w:szCs w:val="22"/>
              </w:rPr>
              <w:t xml:space="preserve">0969163310</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sz w:val="22"/>
                <w:szCs w:val="22"/>
              </w:rPr>
            </w:pPr>
            <w:r>
              <w:rPr>
                <w:color w:val="000000" w:themeColor="text1"/>
                <w:sz w:val="22"/>
                <w:szCs w:val="22"/>
              </w:rPr>
              <w:t xml:space="preserve">0977578988</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Tài sản tại: Xã Cao Thượng, Huyện Tân Yên, Tỉnh Bắc Giang, tài sản cách DT295 khoảng 150m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Tài sản tại: Thị trấn Cao Thượng, Huyện Tân Yên, Tỉnh Bắc Giang, Tài sản cách DT295 khoảng 400m,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Tài sản tại: Thị trấn Cao Thượng, Huyện Tân Yên, Tỉnh Bắc Giang, Tài sản cách đường DT295 khoảng 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Tài sản tại: Thị trấn Cao Thượng, Huyện Tân Yên, Tỉnh Bắc Giang, tài sản cách đường DT295 khoảng 100mm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129,8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290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91,3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8,86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14,65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29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18,26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rFonts w:ascii="Times New Roman" w:hAnsi="Times New Roman" w:cs="Times New Roman"/>
                <w:sz w:val="22"/>
                <w:szCs w:val="22"/>
              </w:rPr>
            </w:pPr>
            <w:r>
              <w:rPr>
                <w:rFonts w:ascii="Times New Roman" w:hAnsi="Times New Roman" w:eastAsia="Times New Roman" w:cs="Times New Roman"/>
                <w:sz w:val="22"/>
                <w:szCs w:val="22"/>
              </w:rPr>
              <w:t xml:space="preserve">22</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rFonts w:ascii="Times New Roman" w:hAnsi="Times New Roman" w:cs="Times New Roman"/>
                <w:sz w:val="22"/>
                <w:szCs w:val="22"/>
              </w:rPr>
            </w:pPr>
            <w:r>
              <w:rPr>
                <w:rFonts w:ascii="Times New Roman" w:hAnsi="Times New Roman" w:eastAsia="Times New Roman" w:cs="Times New Roman"/>
                <w:sz w:val="22"/>
                <w:szCs w:val="22"/>
              </w:rPr>
              <w:t xml:space="preserve">Công trình xây dựng trên đất</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rPr>
                <w:rFonts w:ascii="Times New Roman" w:hAnsi="Times New Roman" w:cs="Times New Roman"/>
                <w:sz w:val="22"/>
                <w:szCs w:val="22"/>
              </w:rPr>
            </w:pPr>
            <w:r>
              <w:rPr>
                <w:rFonts w:ascii="Times New Roman" w:hAnsi="Times New Roman" w:eastAsia="Times New Roman" w:cs="Times New Roman"/>
                <w:sz w:val="22"/>
                <w:szCs w:val="22"/>
              </w:rPr>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rPr>
                <w:rFonts w:ascii="Times New Roman" w:hAnsi="Times New Roman" w:cs="Times New Roman"/>
                <w:sz w:val="22"/>
                <w:szCs w:val="22"/>
              </w:rPr>
            </w:pPr>
            <w:r>
              <w:rPr>
                <w:rFonts w:ascii="Times New Roman" w:hAnsi="Times New Roman" w:eastAsia="Times New Roman" w:cs="Times New Roman"/>
                <w:sz w:val="22"/>
                <w:szCs w:val="22"/>
              </w:rPr>
              <w:t xml:space="preserve">Đất trống</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rPr>
                <w:rFonts w:ascii="Times New Roman" w:hAnsi="Times New Roman" w:cs="Times New Roman"/>
                <w:sz w:val="22"/>
                <w:szCs w:val="22"/>
              </w:rPr>
            </w:pPr>
            <w:r>
              <w:rPr>
                <w:rFonts w:ascii="Times New Roman" w:hAnsi="Times New Roman" w:eastAsia="Times New Roman" w:cs="Times New Roman"/>
                <w:sz w:val="22"/>
                <w:szCs w:val="22"/>
              </w:rPr>
            </w:r>
            <w:r>
              <w:rPr>
                <w:rFonts w:ascii="Times New Roman" w:hAnsi="Times New Roman" w:eastAsia="Times New Roman" w:cs="Times New Roman"/>
                <w:sz w:val="22"/>
                <w:szCs w:val="22"/>
              </w:rPr>
              <w:t xml:space="preserve">Đất trống</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rPr>
                <w:rFonts w:ascii="Times New Roman" w:hAnsi="Times New Roman" w:cs="Times New Roman"/>
                <w:sz w:val="22"/>
                <w:szCs w:val="22"/>
              </w:rPr>
            </w:pPr>
            <w:r>
              <w:rPr>
                <w:rFonts w:ascii="Times New Roman" w:hAnsi="Times New Roman" w:eastAsia="Times New Roman" w:cs="Times New Roman"/>
                <w:sz w:val="22"/>
                <w:szCs w:val="22"/>
              </w:rPr>
            </w:r>
            <w:r>
              <w:rPr>
                <w:rFonts w:ascii="Times New Roman" w:hAnsi="Times New Roman" w:eastAsia="Times New Roman" w:cs="Times New Roman"/>
                <w:sz w:val="22"/>
                <w:szCs w:val="22"/>
              </w:rPr>
              <w:t xml:space="preserve">Đất trống</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5.350.000.000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9.570.000.000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3.150.000.000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5.350.000.000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8.995.800.000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2.929.500.000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5.350.000.000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8.995.800.000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2.929.500.000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41.217.257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31.020.000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32.086.528</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before="23" w:beforeAutospacing="0" w:line="276" w:lineRule="auto"/>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before="23" w:beforeAutospacing="0" w:line="276"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before="23" w:beforeAutospacing="0"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76"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76"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1765"/>
        <w:gridCol w:w="1030"/>
        <w:gridCol w:w="1522"/>
        <w:gridCol w:w="1522"/>
        <w:gridCol w:w="1522"/>
        <w:gridCol w:w="1522"/>
      </w:tblGrid>
      <w:tr>
        <w:trPr>
          <w:trHeight w:val="20"/>
          <w:tblHeader/>
        </w:trPr>
        <w:tc>
          <w:tcPr>
            <w:shd w:val="clear" w:color="000000" w:fill="ffffff"/>
            <w:tcBorders/>
            <w:tcW w:w="675" w:type="dxa"/>
            <w:vAlign w:val="center"/>
            <w:textDirection w:val="lrTb"/>
            <w:noWrap w:val="false"/>
          </w:tcPr>
          <w:p>
            <w:pPr>
              <w:pBdr/>
              <w:spacing w:before="17" w:beforeAutospacing="0"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before="17" w:beforeAutospacing="0" w:line="276" w:lineRule="auto"/>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val="false"/>
          </w:tcPr>
          <w:p>
            <w:pPr>
              <w:pBdr/>
              <w:spacing w:before="17" w:beforeAutospacing="0"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before="17" w:beforeAutospacing="0" w:line="276" w:lineRule="auto"/>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0"/>
                <w:szCs w:val="20"/>
              </w:rPr>
            </w:pPr>
            <w:r>
              <w:rPr>
                <w:color w:val="000000" w:themeColor="text1"/>
                <w:sz w:val="22"/>
                <w:szCs w:val="22"/>
              </w:rPr>
              <w:t xml:space="preserve">5.350.000.000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0"/>
                <w:szCs w:val="20"/>
              </w:rPr>
            </w:pPr>
            <w:r>
              <w:rPr>
                <w:color w:val="000000" w:themeColor="text1"/>
                <w:sz w:val="22"/>
                <w:szCs w:val="22"/>
              </w:rPr>
              <w:t xml:space="preserve">8.995.800.000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0"/>
                <w:szCs w:val="20"/>
              </w:rPr>
            </w:pPr>
            <w:r>
              <w:rPr>
                <w:color w:val="000000" w:themeColor="text1"/>
                <w:sz w:val="22"/>
                <w:szCs w:val="22"/>
              </w:rPr>
              <w:t xml:space="preserve">2.929.500.000</w:t>
            </w:r>
            <w:r>
              <w:rPr>
                <w:color w:val="000000"/>
                <w:sz w:val="20"/>
                <w:szCs w:val="20"/>
              </w:rPr>
            </w:r>
            <w:r>
              <w:rPr>
                <w:color w:val="000000"/>
                <w:sz w:val="20"/>
                <w:szCs w:val="20"/>
              </w:rPr>
            </w:r>
          </w:p>
        </w:tc>
      </w:tr>
      <w:tr>
        <w:trPr>
          <w:trHeight w:val="20"/>
        </w:trPr>
        <w:tc>
          <w:tcPr>
            <w:shd w:val="clear" w:color="000000" w:fill="ffffff"/>
            <w:tcBorders/>
            <w:tcW w:w="675" w:type="dxa"/>
            <w:vAlign w:val="center"/>
            <w:textDirection w:val="lrTb"/>
            <w:noWrap w:val="false"/>
          </w:tcPr>
          <w:p>
            <w:pPr>
              <w:pBdr/>
              <w:spacing w:before="17" w:beforeAutospacing="0"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before="17" w:beforeAutospacing="0" w:line="276" w:lineRule="auto"/>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41.217.257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31.020.000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32.086.528</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val="false"/>
          </w:tcPr>
          <w:p>
            <w:pPr>
              <w:pBdr/>
              <w:spacing w:before="17" w:beforeAutospacing="0"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before="17" w:beforeAutospacing="0"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before="17" w:beforeAutospacing="0"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41.217.257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31.020.000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32.086.528</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before="17" w:beforeAutospacing="0"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41.217.257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31.020.000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32.086.528</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before="17" w:beforeAutospacing="0"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41.217.257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31.020.000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32.086.528</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before="17" w:beforeAutospacing="0"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Tài sản tại: Xã Cao Thượng, Huyện Tân Yên, Tỉnh Bắc Giang, tài sản cách DT295 khoảng 150m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Tài sản tại: Thị trấn Cao Thượng, Huyện Tân Yên, Tỉnh Bắc Giang, Tài sản cách DT295 khoảng 400m,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Tài sản tại: Thị trấn Cao Thượng, Huyện Tân Yên, Tỉnh Bắc Giang, Tài sản cách đường DT295 khoảng 300m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Tài sản tại: Thị trấn Cao Thượng, Huyện Tân Yên, Tỉnh Bắc Giang, tài sản cách đường DT295 khoảng 100mm</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41.217.257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31.020.000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32.086.528</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before="17" w:beforeAutospacing="0"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41.217.257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31.020.000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32.086.528</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before="17" w:beforeAutospacing="0"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41.217.257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31.020.000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32.086.528</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before="17" w:beforeAutospacing="0"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41.217.257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31.020.000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32.086.528</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before="17" w:beforeAutospacing="0"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41.217.257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31.020.000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32.086.528</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before="17" w:beforeAutospacing="0" w:line="276" w:lineRule="auto"/>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129,8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290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91.3</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1.236.518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3.102.000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42.453.775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34.122.000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32.086.528</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before="17" w:beforeAutospacing="0"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8,86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-2.060.863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-2.171.400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40.392.912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31.950.600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32.086.528</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before="17" w:beforeAutospacing="0"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-6.182.589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34.210.323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31.950.600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32.086.528</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before="17" w:beforeAutospacing="0"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930.600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34.210.323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32.881.200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32.086.528</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before="17" w:beforeAutospacing="0"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34.210.323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32.881.200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themeColor="text1"/>
                <w:sz w:val="22"/>
                <w:szCs w:val="22"/>
              </w:rPr>
              <w:t xml:space="preserve">32.086.528</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pPr>
              <w:pBdr/>
              <w:spacing w:before="17" w:beforeAutospacing="0" w:line="276" w:lineRule="auto"/>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before="17" w:beforeAutospacing="0" w:line="276" w:lineRule="auto"/>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before="17" w:beforeAutospacing="0" w:line="276" w:lineRule="auto"/>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b/>
                <w:bCs/>
                <w:color w:val="000000" w:themeColor="text1"/>
                <w:sz w:val="22"/>
                <w:szCs w:val="22"/>
              </w:rPr>
              <w:t xml:space="preserve">34.210.323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b/>
                <w:bCs/>
                <w:color w:val="000000" w:themeColor="text1"/>
                <w:sz w:val="22"/>
                <w:szCs w:val="22"/>
              </w:rPr>
              <w:t xml:space="preserve">32.881.200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b/>
                <w:bCs/>
                <w:color w:val="000000" w:themeColor="text1"/>
                <w:sz w:val="22"/>
                <w:szCs w:val="22"/>
              </w:rPr>
              <w:t xml:space="preserve">32.086.528</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before="17" w:beforeAutospacing="0" w:line="276" w:lineRule="auto"/>
              <w:ind/>
              <w:jc w:val="center"/>
              <w:rPr>
                <w:b/>
                <w:bCs/>
                <w:color w:val="000000"/>
                <w:sz w:val="22"/>
                <w:szCs w:val="22"/>
              </w:rPr>
            </w:pPr>
            <w:r>
              <w:rPr>
                <w:b/>
                <w:bCs/>
                <w:color w:val="000000" w:themeColor="text1"/>
                <w:sz w:val="22"/>
                <w:szCs w:val="22"/>
              </w:rPr>
              <w:t xml:space="preserve">33.059.350</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3,48%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-0,54%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themeColor="text1"/>
                <w:sz w:val="22"/>
                <w:szCs w:val="22"/>
              </w:rPr>
              <w:t xml:space="preserve">-2,94%</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pPr>
              <w:pBdr/>
              <w:spacing w:before="17" w:beforeAutospacing="0" w:line="276" w:lineRule="auto"/>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before="17" w:beforeAutospacing="0"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before="17" w:beforeAutospacing="0"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9.479.970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6.204.000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sz w:val="22"/>
                <w:szCs w:val="22"/>
              </w:rPr>
            </w:pPr>
            <w:r>
              <w:rPr>
                <w:color w:val="000000" w:themeColor="text1"/>
                <w:sz w:val="22"/>
                <w:szCs w:val="22"/>
              </w:rPr>
              <w:t xml:space="preserve">0</w:t>
            </w:r>
            <w:r>
              <w:rPr>
                <w:sz w:val="22"/>
                <w:szCs w:val="22"/>
              </w:rPr>
            </w:r>
            <w:r>
              <w:rPr>
                <w:sz w:val="22"/>
                <w:szCs w:val="22"/>
              </w:rPr>
            </w:r>
          </w:p>
        </w:tc>
      </w:tr>
      <w:tr>
        <w:trPr>
          <w:trHeight w:val="20"/>
        </w:trPr>
        <w:tc>
          <w:tcPr>
            <w:shd w:val="clear" w:color="000000" w:fill="ffffff"/>
            <w:tcBorders/>
            <w:tcW w:w="675"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sz w:val="22"/>
                <w:szCs w:val="22"/>
              </w:rPr>
            </w:pPr>
            <w:r>
              <w:rPr>
                <w:color w:val="000000" w:themeColor="text1"/>
                <w:sz w:val="22"/>
                <w:szCs w:val="22"/>
              </w:rPr>
              <w:t xml:space="preserve">0% - 0%</w:t>
            </w:r>
            <w:r>
              <w:rPr>
                <w:sz w:val="22"/>
                <w:szCs w:val="22"/>
              </w:rPr>
            </w:r>
            <w:r>
              <w:rPr>
                <w:sz w:val="22"/>
                <w:szCs w:val="22"/>
              </w:rPr>
            </w:r>
          </w:p>
        </w:tc>
      </w:tr>
      <w:tr>
        <w:trPr>
          <w:trHeight w:val="20"/>
        </w:trPr>
        <w:tc>
          <w:tcPr>
            <w:shd w:val="clear" w:color="000000" w:fill="ffffff"/>
            <w:tcBorders/>
            <w:tcW w:w="675"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before="17" w:beforeAutospacing="0" w:line="276"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sz w:val="22"/>
                <w:szCs w:val="22"/>
              </w:rPr>
            </w:pPr>
            <w:r>
              <w:rPr>
                <w:color w:val="000000" w:themeColor="text1"/>
                <w:sz w:val="22"/>
                <w:szCs w:val="22"/>
              </w:rPr>
              <w:t xml:space="preserve">7.006.934</w:t>
            </w:r>
            <w:r>
              <w:rPr>
                <w:sz w:val="22"/>
                <w:szCs w:val="22"/>
              </w:rPr>
            </w:r>
            <w:r>
              <w:rPr>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sz w:val="22"/>
                <w:szCs w:val="22"/>
              </w:rPr>
            </w:pPr>
            <w:r>
              <w:rPr>
                <w:color w:val="000000" w:themeColor="text1"/>
                <w:sz w:val="22"/>
                <w:szCs w:val="22"/>
              </w:rPr>
              <w:t xml:space="preserve">1.861.200</w:t>
            </w:r>
            <w:r>
              <w:rPr>
                <w:sz w:val="22"/>
                <w:szCs w:val="22"/>
              </w:rPr>
            </w:r>
            <w:r>
              <w:rPr>
                <w:sz w:val="22"/>
                <w:szCs w:val="22"/>
              </w:rPr>
            </w:r>
          </w:p>
        </w:tc>
        <w:tc>
          <w:tcPr>
            <w:shd w:val="clear" w:color="000000" w:fill="ffffff"/>
            <w:tcBorders/>
            <w:tcW w:w="1522" w:type="dxa"/>
            <w:vAlign w:val="center"/>
            <w:textDirection w:val="lrTb"/>
            <w:noWrap/>
          </w:tcPr>
          <w:p>
            <w:pPr>
              <w:pBdr/>
              <w:spacing w:before="17" w:beforeAutospacing="0" w:line="276" w:lineRule="auto"/>
              <w:ind/>
              <w:jc w:val="center"/>
              <w:rPr>
                <w:sz w:val="22"/>
                <w:szCs w:val="22"/>
              </w:rPr>
            </w:pPr>
            <w:r>
              <w:rPr>
                <w:color w:val="000000" w:themeColor="text1"/>
                <w:sz w:val="22"/>
                <w:szCs w:val="22"/>
              </w:rPr>
              <w:t xml:space="preserve">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-2,94</w:t>
      </w:r>
      <w:r>
        <w:t xml:space="preserve">% </w:t>
      </w:r>
      <w:r>
        <w:t xml:space="preserve">đến</w:t>
      </w:r>
      <w:r>
        <w:t xml:space="preserve"> </w:t>
      </w:r>
      <w:r>
        <w:t xml:space="preserve"> </w:t>
      </w:r>
      <w:r>
        <w:t xml:space="preserve">3,48</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line="276" w:lineRule="auto"/>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line="276" w:lineRule="auto"/>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line="276" w:lineRule="auto"/>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line="276" w:lineRule="auto"/>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line="276" w:lineRule="auto"/>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line="276" w:lineRule="auto"/>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276" w:lineRule="auto"/>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276"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276" w:lineRule="auto"/>
              <w:ind/>
              <w:jc w:val="center"/>
              <w:rPr>
                <w:color w:val="000000"/>
              </w:rPr>
            </w:pPr>
            <w:r>
              <w:rPr>
                <w:color w:val="000000"/>
              </w:rPr>
              <w:t xml:space="preserve">34.210.323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276" w:lineRule="auto"/>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76" w:lineRule="auto"/>
              <w:ind/>
              <w:jc w:val="center"/>
              <w:rPr>
                <w:color w:val="000000"/>
              </w:rPr>
            </w:pPr>
            <w:r>
              <w:rPr>
                <w:color w:val="000000"/>
              </w:rPr>
              <w:t xml:space="preserve">11.405.722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276" w:lineRule="auto"/>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276"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276" w:lineRule="auto"/>
              <w:ind/>
              <w:jc w:val="center"/>
              <w:rPr>
                <w:color w:val="000000"/>
              </w:rPr>
            </w:pPr>
            <w:r>
              <w:rPr>
                <w:color w:val="000000"/>
              </w:rPr>
              <w:t xml:space="preserve">32.881.200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76" w:lineRule="auto"/>
              <w:ind/>
              <w:jc w:val="center"/>
              <w:rPr>
                <w:color w:val="000000"/>
              </w:rPr>
            </w:pPr>
            <w:r>
              <w:rPr>
                <w:color w:val="000000"/>
              </w:rPr>
              <w:t xml:space="preserve">10.959.304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276" w:lineRule="auto"/>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276"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276" w:lineRule="auto"/>
              <w:ind/>
              <w:jc w:val="center"/>
              <w:rPr>
                <w:color w:val="000000"/>
              </w:rPr>
            </w:pPr>
            <w:r>
              <w:rPr>
                <w:color w:val="000000"/>
              </w:rPr>
              <w:t xml:space="preserve">32.086.528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276"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76" w:lineRule="auto"/>
              <w:ind/>
              <w:jc w:val="center"/>
              <w:rPr>
                <w:color w:val="000000"/>
              </w:rPr>
            </w:pPr>
            <w:r>
              <w:rPr>
                <w:color w:val="000000"/>
              </w:rPr>
              <w:t xml:space="preserve">10.694.440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line="276" w:lineRule="auto"/>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76" w:lineRule="auto"/>
              <w:ind/>
              <w:jc w:val="center"/>
              <w:rPr>
                <w:b/>
                <w:bCs/>
                <w:color w:val="000000"/>
              </w:rPr>
            </w:pPr>
            <w:r>
              <w:rPr>
                <w:b/>
                <w:bCs/>
                <w:color w:val="000000" w:themeColor="text1"/>
                <w:lang w:val="vi-VN"/>
              </w:rPr>
              <w:t xml:space="preserve">33.059.466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line="276" w:lineRule="auto"/>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76" w:lineRule="auto"/>
              <w:ind/>
              <w:jc w:val="center"/>
              <w:rPr>
                <w:b/>
                <w:bCs/>
                <w:color w:val="000000"/>
              </w:rPr>
            </w:pPr>
            <w:r>
              <w:rPr>
                <w:b/>
                <w:bCs/>
                <w:color w:val="000000" w:themeColor="text1"/>
                <w:lang w:val="vi-VN"/>
              </w:rPr>
              <w:t xml:space="preserve">33.100.000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33.100.000</w:t>
      </w:r>
      <w:r>
        <w:rPr>
          <w:b/>
          <w:bCs/>
          <w:color w:val="000000" w:themeColor="text1"/>
        </w:rPr>
        <w:t xml:space="preserve"> </w:t>
      </w:r>
      <w:r>
        <w:rPr>
          <w:b/>
          <w:bCs/>
        </w:rPr>
        <w:t xml:space="preserve">đồng</w:t>
      </w:r>
      <w:r>
        <w:rPr>
          <w:b/>
          <w:bCs/>
        </w:rPr>
        <w:t xml:space="preserve">/m².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r>
        <w:rPr>
          <w:highlight w:val="none"/>
        </w:rPr>
      </w:r>
    </w:p>
    <w:tbl>
      <w:tblPr>
        <w:tblW w:w="5148"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025"/>
        <w:gridCol w:w="1802"/>
        <w:gridCol w:w="2581"/>
        <w:gridCol w:w="2447"/>
      </w:tblGrid>
      <w:tr>
        <w:trPr>
          <w:trHeight w:val="20"/>
        </w:trPr>
        <w:tc>
          <w:tcPr>
            <w:shd w:val="clear" w:color="000000" w:fill="ffffff"/>
            <w:tcBorders/>
            <w:tcW w:w="952" w:type="dxa"/>
            <w:vAlign w:val="center"/>
            <w:textDirection w:val="lrTb"/>
            <w:noWrap w:val="false"/>
          </w:tcPr>
          <w:p>
            <w:pPr>
              <w:pBdr/>
              <w:spacing w:after="40" w:before="45" w:beforeAutospacing="1" w:line="276"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5" w:beforeAutospacing="1" w:line="276"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5" w:beforeAutospacing="1" w:line="276"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5" w:beforeAutospacing="1" w:line="276"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447" w:type="dxa"/>
            <w:vAlign w:val="center"/>
            <w:textDirection w:val="lrTb"/>
            <w:noWrap w:val="false"/>
          </w:tcPr>
          <w:p>
            <w:pPr>
              <w:pBdr/>
              <w:spacing w:after="40" w:before="45" w:beforeAutospacing="1" w:line="276"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5" w:beforeAutospacing="1" w:line="276"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5" w:beforeAutospacing="1" w:line="276" w:lineRule="auto"/>
              <w:ind/>
              <w:jc w:val="both"/>
              <w:rPr>
                <w:b/>
                <w:bCs/>
              </w:rPr>
            </w:pPr>
            <w:r>
              <w:rPr>
                <w:b/>
                <w:bCs/>
                <w:color w:val="000000"/>
              </w:rPr>
              <w:t xml:space="preserve">Quyền sử dụng đất tại thửa đất số 184 (Lô 04-C12.12), tờ bản đồ số 45 có địa chỉ tại Phố Quận Tường, khu Đô thị An Huy, thị trấn Cao Thượng, huyện Tân Yên, tỉnh Bắc Giang (nay là xã Tân Yên, tỉnh Bắc Ninh) theo Giấy chứng</w:t>
            </w:r>
            <w:r>
              <w:rPr>
                <w:b/>
                <w:bCs/>
                <w:color w:val="000000"/>
              </w:rPr>
              <w:t xml:space="preserve"> nhận Quyền sử dụng đất quyền sở hữu nhà ở và tài sản khác gắn liền với đất số CS 817614, số vào sổ cấp GCN: CH 05142 do UBND huyện Tân Yên cấp ngày 30/9/2019. Chủ sở hữu thửa đất nói trên là ông Hoàng Đức Quý và bà Phạm Thị Mừng (cập nhật ngày 28/11/2025)</w:t>
            </w:r>
            <w:r>
              <w:rPr>
                <w:b/>
                <w:bCs/>
              </w:rPr>
              <w:t xml:space="preserve">.</w:t>
            </w:r>
            <w:r>
              <w:rPr>
                <w:b/>
                <w:bCs/>
              </w:rPr>
            </w:r>
            <w:r>
              <w:rPr>
                <w:b/>
                <w:bCs/>
              </w:rPr>
            </w:r>
          </w:p>
        </w:tc>
        <w:tc>
          <w:tcPr>
            <w:shd w:val="clear" w:color="000000" w:fill="ffffff"/>
            <w:tcBorders/>
            <w:tcW w:w="2447" w:type="dxa"/>
            <w:vAlign w:val="center"/>
            <w:textDirection w:val="lrTb"/>
            <w:noWrap w:val="false"/>
          </w:tcPr>
          <w:p>
            <w:pPr>
              <w:pBdr/>
              <w:spacing w:after="40" w:before="45" w:beforeAutospacing="1" w:line="276"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5" w:beforeAutospacing="1" w:line="276" w:lineRule="auto"/>
              <w:ind/>
              <w:jc w:val="center"/>
              <w:rPr>
                <w:b w:val="0"/>
                <w:bCs w:val="0"/>
              </w:rPr>
            </w:pPr>
            <w:r>
              <w:rPr>
                <w:b w:val="0"/>
                <w:bCs w:val="0"/>
              </w:rPr>
              <w:t xml:space="preserve">1</w:t>
            </w:r>
            <w:r>
              <w:rPr>
                <w:b w:val="0"/>
                <w:bCs w:val="0"/>
              </w:rPr>
            </w:r>
            <w:r>
              <w:rPr>
                <w:b w:val="0"/>
                <w:bCs w:val="0"/>
              </w:rPr>
            </w:r>
          </w:p>
        </w:tc>
        <w:tc>
          <w:tcPr>
            <w:shd w:val="clear" w:color="000000" w:fill="ffffff"/>
            <w:tcBorders/>
            <w:tcW w:w="2025" w:type="dxa"/>
            <w:vAlign w:val="center"/>
            <w:textDirection w:val="lrTb"/>
            <w:noWrap w:val="false"/>
          </w:tcPr>
          <w:p>
            <w:pPr>
              <w:pBdr/>
              <w:spacing w:after="40" w:before="45" w:beforeAutospacing="1" w:line="276" w:lineRule="auto"/>
              <w:ind/>
              <w:rPr>
                <w:b w:val="0"/>
                <w:bCs w:val="0"/>
              </w:rPr>
            </w:pPr>
            <w:r>
              <w:rPr>
                <w:b w:val="0"/>
                <w:bCs w:val="0"/>
              </w:rPr>
              <w:t xml:space="preserve">Đất ở tại đô thị</w:t>
            </w:r>
            <w:r>
              <w:rPr>
                <w:b w:val="0"/>
                <w:bCs w:val="0"/>
              </w:rPr>
            </w:r>
            <w:r>
              <w:rPr>
                <w:b w:val="0"/>
                <w:bCs w:val="0"/>
              </w:rPr>
            </w:r>
          </w:p>
        </w:tc>
        <w:tc>
          <w:tcPr>
            <w:tcBorders/>
            <w:tcW w:w="1802" w:type="dxa"/>
            <w:vAlign w:val="center"/>
            <w:textDirection w:val="lrTb"/>
            <w:noWrap/>
          </w:tcPr>
          <w:p>
            <w:pPr>
              <w:pBdr/>
              <w:spacing w:after="40" w:before="45" w:beforeAutospacing="1" w:line="276" w:lineRule="auto"/>
              <w:ind/>
              <w:jc w:val="center"/>
              <w:rPr>
                <w:color w:val="000000"/>
              </w:rPr>
            </w:pPr>
            <w:r>
              <w:rPr>
                <w:color w:val="000000" w:themeColor="text1"/>
              </w:rPr>
              <w:t xml:space="preserve">100</w:t>
            </w:r>
            <w:r>
              <w:rPr>
                <w:color w:val="000000"/>
              </w:rPr>
            </w:r>
            <w:r>
              <w:rPr>
                <w:color w:val="000000"/>
              </w:rPr>
            </w:r>
          </w:p>
        </w:tc>
        <w:tc>
          <w:tcPr>
            <w:shd w:val="clear" w:color="000000" w:fill="ffffff"/>
            <w:tcBorders/>
            <w:tcW w:w="2581" w:type="dxa"/>
            <w:vAlign w:val="center"/>
            <w:textDirection w:val="lrTb"/>
            <w:noWrap w:val="false"/>
          </w:tcPr>
          <w:p>
            <w:pPr>
              <w:pBdr/>
              <w:spacing w:after="40" w:before="45" w:beforeAutospacing="1" w:line="276" w:lineRule="auto"/>
              <w:ind/>
              <w:jc w:val="center"/>
              <w:rPr/>
            </w:pPr>
            <w:r>
              <w:rPr>
                <w:color w:val="000000" w:themeColor="text1"/>
              </w:rPr>
              <w:t xml:space="preserve">33.100.000</w:t>
            </w:r>
            <w:r/>
          </w:p>
        </w:tc>
        <w:tc>
          <w:tcPr>
            <w:shd w:val="clear" w:color="000000" w:fill="ffffff"/>
            <w:tcBorders/>
            <w:tcW w:w="2447" w:type="dxa"/>
            <w:vAlign w:val="center"/>
            <w:textDirection w:val="lrTb"/>
            <w:noWrap w:val="false"/>
          </w:tcPr>
          <w:p>
            <w:pPr>
              <w:pBdr/>
              <w:spacing w:after="40" w:before="45" w:beforeAutospacing="1" w:line="276" w:lineRule="auto"/>
              <w:ind/>
              <w:jc w:val="center"/>
              <w:rPr/>
            </w:pPr>
            <w:r>
              <w:rPr>
                <w:color w:val="000000" w:themeColor="text1"/>
              </w:rPr>
            </w:r>
            <w:r>
              <w:rPr>
                <w:color w:val="000000" w:themeColor="text1"/>
              </w:rPr>
              <w:t xml:space="preserve">3.310.000.000</w:t>
            </w:r>
            <w:r/>
          </w:p>
        </w:tc>
      </w:tr>
      <w:tr>
        <w:trPr>
          <w:trHeight w:val="20"/>
        </w:trPr>
        <w:tc>
          <w:tcPr>
            <w:gridSpan w:val="4"/>
            <w:tcBorders/>
            <w:tcW w:w="7361" w:type="dxa"/>
            <w:vAlign w:val="center"/>
            <w:textDirection w:val="lrTb"/>
            <w:noWrap/>
          </w:tcPr>
          <w:p>
            <w:pPr>
              <w:pBdr/>
              <w:spacing w:after="40" w:before="45" w:beforeAutospacing="1" w:line="276" w:lineRule="auto"/>
              <w:ind/>
              <w:jc w:val="center"/>
              <w:rPr>
                <w:b/>
                <w:bCs/>
                <w:color w:val="000000"/>
              </w:rPr>
            </w:pPr>
            <w:r>
              <w:rPr>
                <w:b/>
                <w:bCs/>
                <w:color w:val="000000"/>
              </w:rPr>
              <w:t xml:space="preserve">TỔNG CỘNG</w:t>
            </w:r>
            <w:r>
              <w:rPr>
                <w:b/>
                <w:bCs/>
                <w:color w:val="000000"/>
              </w:rPr>
            </w:r>
            <w:r>
              <w:rPr>
                <w:b/>
                <w:bCs/>
                <w:color w:val="000000"/>
              </w:rPr>
            </w:r>
          </w:p>
        </w:tc>
        <w:tc>
          <w:tcPr>
            <w:tcBorders/>
            <w:tcW w:w="2447" w:type="dxa"/>
            <w:vAlign w:val="center"/>
            <w:textDirection w:val="lrTb"/>
            <w:noWrap/>
          </w:tcPr>
          <w:p>
            <w:pPr>
              <w:pBdr/>
              <w:spacing w:after="40" w:before="45" w:beforeAutospacing="1" w:line="276" w:lineRule="auto"/>
              <w:ind/>
              <w:jc w:val="center"/>
              <w:rPr>
                <w:b/>
                <w:bCs/>
                <w:color w:val="000000"/>
              </w:rPr>
            </w:pPr>
            <w:r>
              <w:rPr>
                <w:b/>
                <w:bCs/>
              </w:rPr>
              <w:t xml:space="preserve">3.310.000.000</w:t>
            </w:r>
            <w:r>
              <w:rPr>
                <w:b/>
                <w:bCs/>
                <w:color w:val="000000"/>
              </w:rPr>
            </w:r>
            <w:r>
              <w:rPr>
                <w:b/>
                <w:bCs/>
                <w:color w:val="000000"/>
              </w:rPr>
            </w:r>
          </w:p>
        </w:tc>
      </w:tr>
      <w:tr>
        <w:trPr>
          <w:trHeight w:val="20"/>
        </w:trPr>
        <w:tc>
          <w:tcPr>
            <w:gridSpan w:val="5"/>
            <w:tcBorders/>
            <w:tcW w:w="9808" w:type="dxa"/>
            <w:vAlign w:val="center"/>
            <w:textDirection w:val="lrTb"/>
            <w:noWrap w:val="false"/>
          </w:tcPr>
          <w:p>
            <w:pPr>
              <w:pBdr/>
              <w:spacing w:after="40" w:before="45" w:beforeAutospacing="1" w:line="276"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ba trăm mười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76"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76"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76"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276"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276"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276"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276"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76"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76"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276"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76"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276"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276"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276"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276"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276"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276"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76"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276"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76"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76"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276"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76"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76"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76"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lang w:val="vi-VN"/>
        </w:rPr>
      </w:pPr>
      <w:r>
        <w:rPr>
          <w:highlight w:val="none"/>
          <w:lang w:val="vi-VN"/>
        </w:rPr>
      </w:r>
      <w:r>
        <w:rPr>
          <w:lang w:val="vi-VN"/>
        </w:rPr>
      </w:r>
      <w:r>
        <w:rPr>
          <w:lang w:val="vi-VN"/>
        </w:rPr>
      </w:r>
    </w:p>
    <w:p>
      <w:pPr>
        <w:pStyle w:val="1025"/>
        <w:pBdr/>
        <w:tabs>
          <w:tab w:val="left" w:leader="none" w:pos="993"/>
        </w:tabs>
        <w:spacing w:after="120" w:before="120" w:line="276"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275/2026/0138/VFI-CT.27.A</w:t>
      </w:r>
      <w:r>
        <w:rPr>
          <w:color w:val="ff0000"/>
          <w:lang w:val="vi-VN"/>
        </w:rPr>
        <w:t xml:space="preserve"> </w:t>
      </w:r>
      <w:r>
        <w:rPr>
          <w:color w:val="000000" w:themeColor="text1"/>
        </w:rPr>
        <w:t xml:space="preserve">ngày 20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Nguyễn Thị Thùy</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X15.1419</w:t>
            </w:r>
            <w:r>
              <w:rPr>
                <w:rFonts w:eastAsia="Calibri"/>
                <w:bCs/>
                <w:lang w:val="pt-BR"/>
              </w:rPr>
            </w:r>
            <w:r>
              <w:rPr>
                <w:rFonts w:eastAsia="Calibri"/>
                <w:bCs/>
                <w:lang w:val="pt-BR"/>
              </w:rPr>
            </w:r>
          </w:p>
        </w:tc>
        <w:tc>
          <w:tcPr>
            <w:tcBorders/>
            <w:tcW w:w="2445" w:type="pct"/>
            <w:vAlign w:val="center"/>
            <w:textDirection w:val="lrTb"/>
            <w:noWrap w:val="false"/>
          </w:tcPr>
          <w:p>
            <w:pPr>
              <w:pBdr/>
              <w:spacing w:line="276" w:lineRule="auto"/>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ind/>
        <w:rPr/>
      </w:pPr>
      <w:r/>
      <w:r/>
    </w:p>
    <w:tbl>
      <w:tblPr>
        <w:tblW w:w="4806" w:type="pct"/>
        <w:tblBorders/>
        <w:tblLook w:val="01E0" w:firstRow="1" w:lastRow="1" w:firstColumn="1" w:lastColumn="1" w:noHBand="0" w:noVBand="0"/>
      </w:tblPr>
      <w:tblGrid>
        <w:gridCol w:w="4678"/>
        <w:gridCol w:w="4477"/>
      </w:tblGrid>
      <w:tr>
        <w:trPr>
          <w:trHeight w:val="20"/>
        </w:trPr>
        <w:tc>
          <w:tcPr>
            <w:gridSpan w:val="2"/>
            <w:tcBorders/>
            <w:tcW w:w="9155" w:type="dxa"/>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r>
      <w:tr>
        <w:trPr>
          <w:trHeight w:val="1430"/>
        </w:trPr>
        <w:tc>
          <w:tcPr>
            <w:gridSpan w:val="2"/>
            <w:tcBorders/>
            <w:tcW w:w="9155" w:type="dxa"/>
            <w:vAlign w:val="center"/>
            <w:textDirection w:val="lrTb"/>
            <w:noWrap w:val="false"/>
          </w:tcPr>
          <w:p>
            <w:pPr>
              <w:pBdr/>
              <w:spacing w:line="276" w:lineRule="auto"/>
              <w:ind/>
              <w:rPr/>
            </w:pPr>
            <w:r/>
            <w:r/>
          </w:p>
        </w:tc>
      </w:tr>
      <w:tr>
        <w:trPr>
          <w:trHeight w:val="20"/>
        </w:trPr>
        <w:tc>
          <w:tcPr>
            <w:gridSpan w:val="2"/>
            <w:tcBorders/>
            <w:tcW w:w="9155" w:type="dxa"/>
            <w:vAlign w:val="center"/>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Nguyễn Thị Thùy Dung</w:t>
            </w:r>
            <w:r>
              <w:rPr>
                <w:rFonts w:eastAsia="Calibri"/>
                <w:b/>
                <w:color w:val="000000" w:themeColor="text1"/>
                <w:lang w:val="pt-BR"/>
              </w:rPr>
            </w:r>
            <w:r>
              <w:rPr>
                <w:rFonts w:eastAsia="Calibri"/>
                <w:b/>
                <w:color w:val="000000" w:themeColor="text1"/>
                <w:lang w:val="pt-BR"/>
              </w:rPr>
            </w:r>
          </w:p>
        </w:tc>
      </w:tr>
    </w:tbl>
    <w:p>
      <w:pPr>
        <w:pBdr/>
        <w:shd w:val="nil" w:color="auto"/>
        <w:spacing/>
        <w:ind/>
        <w:rPr>
          <w:b/>
          <w:bCs/>
          <w:u w:val="single"/>
          <w:lang w:val="vi-VN"/>
        </w:rPr>
      </w:pPr>
      <w:r>
        <w:rPr>
          <w:b/>
          <w:highlight w:val="none"/>
          <w:lang w:val="pt-BR"/>
        </w:rPr>
        <w:br w:type="page" w:clear="all"/>
      </w:r>
      <w:r>
        <w:rPr>
          <w:b/>
          <w:highlight w:val="none"/>
          <w:lang w:val="pt-BR"/>
        </w:rPr>
      </w:r>
      <w:r>
        <w:rPr>
          <w:b/>
          <w:bCs/>
          <w:u w:val="single"/>
          <w:lang w:val="vi-VN"/>
        </w:rPr>
      </w:r>
    </w:p>
    <w:p>
      <w:pPr>
        <w:pBdr/>
        <w:spacing w:after="200" w:line="276" w:lineRule="auto"/>
        <w:ind/>
        <w:jc w:val="center"/>
        <w:rPr>
          <w:b/>
          <w:bCs/>
          <w:highlight w:val="none"/>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bCs/>
          <w:highlight w:val="none"/>
          <w:lang w:val="pt-BR"/>
        </w:rPr>
      </w:r>
    </w:p>
    <w:p>
      <w:pPr>
        <w:pBdr/>
        <w:spacing w:line="276" w:lineRule="auto"/>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275/2026/0138/VFI-BC.27.A"</w:t>
      </w:r>
      <w:r>
        <w:rPr>
          <w:i/>
          <w:lang w:val="pt-BR"/>
        </w:rPr>
        <w:t xml:space="preserve"> </w:t>
      </w:r>
      <w:r>
        <w:rPr>
          <w:i/>
          <w:lang w:val="pt-BR"/>
        </w:rPr>
        <w:t xml:space="preserve">20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line="276" w:lineRule="auto"/>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line="276" w:lineRule="auto"/>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line="276" w:lineRule="auto"/>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line="276" w:lineRule="auto"/>
              <w:ind/>
              <w:jc w:val="center"/>
              <w:rPr>
                <w:i/>
                <w:lang w:val="pt-BR"/>
              </w:rPr>
            </w:pPr>
            <w:r>
              <w:rPr>
                <w:i/>
                <w:lang w:val="pt-BR"/>
              </w:rPr>
            </w:r>
            <w:r>
              <mc:AlternateContent>
                <mc:Choice Requires="wpg">
                  <w:drawing>
                    <wp:inline xmlns:wp="http://schemas.openxmlformats.org/drawingml/2006/wordprocessingDrawing" distT="0" distB="0" distL="0" distR="0">
                      <wp:extent cx="996341" cy="210477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528556" name=""/>
                              <pic:cNvPicPr>
                                <a:picLocks noChangeAspect="1"/>
                              </pic:cNvPicPr>
                              <pic:nvPr/>
                            </pic:nvPicPr>
                            <pic:blipFill rotWithShape="1">
                              <a:blip r:embed="rId18"/>
                              <a:stretch/>
                            </pic:blipFill>
                            <pic:spPr bwMode="auto">
                              <a:xfrm flipH="0" flipV="0">
                                <a:off x="0" y="0"/>
                                <a:ext cx="996341" cy="21047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78.45pt;height:165.73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line="276" w:lineRule="auto"/>
              <w:ind/>
              <w:jc w:val="center"/>
              <w:rPr>
                <w:i/>
                <w:lang w:val="pt-BR"/>
              </w:rPr>
            </w:pPr>
            <w:r>
              <w:rPr>
                <w:i/>
                <w:lang w:val="pt-BR"/>
              </w:rPr>
            </w:r>
            <w:r>
              <mc:AlternateContent>
                <mc:Choice Requires="wpg">
                  <w:drawing>
                    <wp:inline xmlns:wp="http://schemas.openxmlformats.org/drawingml/2006/wordprocessingDrawing" distT="0" distB="0" distL="0" distR="0">
                      <wp:extent cx="2736532" cy="205239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841396" name=""/>
                              <pic:cNvPicPr>
                                <a:picLocks noChangeAspect="1"/>
                              </pic:cNvPicPr>
                              <pic:nvPr/>
                            </pic:nvPicPr>
                            <pic:blipFill rotWithShape="1">
                              <a:blip r:embed="rId19"/>
                              <a:stretch/>
                            </pic:blipFill>
                            <pic:spPr bwMode="auto">
                              <a:xfrm flipH="0" flipV="0">
                                <a:off x="0" y="0"/>
                                <a:ext cx="2736531" cy="20523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5.47pt;height:161.61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line="276" w:lineRule="auto"/>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line="276" w:lineRule="auto"/>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line="276" w:lineRule="auto"/>
              <w:ind/>
              <w:jc w:val="center"/>
              <w:rPr>
                <w:i/>
                <w:lang w:val="pt-BR"/>
              </w:rPr>
            </w:pPr>
            <w:r>
              <w:rPr>
                <w:i/>
                <w:lang w:val="pt-BR"/>
              </w:rPr>
            </w:r>
            <w:r>
              <mc:AlternateContent>
                <mc:Choice Requires="wpg">
                  <w:drawing>
                    <wp:inline xmlns:wp="http://schemas.openxmlformats.org/drawingml/2006/wordprocessingDrawing" distT="0" distB="0" distL="0" distR="0">
                      <wp:extent cx="2714795" cy="203609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989924" name=""/>
                              <pic:cNvPicPr>
                                <a:picLocks noChangeAspect="1"/>
                              </pic:cNvPicPr>
                              <pic:nvPr/>
                            </pic:nvPicPr>
                            <pic:blipFill rotWithShape="1">
                              <a:blip r:embed="rId20"/>
                              <a:stretch/>
                            </pic:blipFill>
                            <pic:spPr bwMode="auto">
                              <a:xfrm flipH="0" flipV="0">
                                <a:off x="0" y="0"/>
                                <a:ext cx="2714794" cy="20360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3.76pt;height:160.32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line="276" w:lineRule="auto"/>
              <w:ind/>
              <w:jc w:val="center"/>
              <w:rPr>
                <w:i/>
                <w:lang w:val="pt-BR"/>
              </w:rPr>
            </w:pPr>
            <w:r>
              <w:rPr>
                <w:i/>
                <w:lang w:val="pt-BR"/>
              </w:rPr>
            </w:r>
            <w:r>
              <mc:AlternateContent>
                <mc:Choice Requires="wpg">
                  <w:drawing>
                    <wp:inline xmlns:wp="http://schemas.openxmlformats.org/drawingml/2006/wordprocessingDrawing" distT="0" distB="0" distL="0" distR="0">
                      <wp:extent cx="2693442" cy="202008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343354" name=""/>
                              <pic:cNvPicPr>
                                <a:picLocks noChangeAspect="1"/>
                              </pic:cNvPicPr>
                              <pic:nvPr/>
                            </pic:nvPicPr>
                            <pic:blipFill rotWithShape="1">
                              <a:blip r:embed="rId21"/>
                              <a:stretch/>
                            </pic:blipFill>
                            <pic:spPr bwMode="auto">
                              <a:xfrm flipH="0" flipV="0">
                                <a:off x="0" y="0"/>
                                <a:ext cx="2693441" cy="20200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2.08pt;height:159.06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line="276" w:lineRule="auto"/>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line="276" w:lineRule="auto"/>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line="276" w:lineRule="auto"/>
              <w:ind/>
              <w:jc w:val="center"/>
              <w:rPr>
                <w:i/>
                <w:lang w:val="pt-BR"/>
              </w:rPr>
            </w:pPr>
            <w:r>
              <w:rPr>
                <w:i/>
                <w:lang w:val="pt-BR"/>
              </w:rPr>
            </w:r>
            <w:r>
              <mc:AlternateContent>
                <mc:Choice Requires="wpg">
                  <w:drawing>
                    <wp:inline xmlns:wp="http://schemas.openxmlformats.org/drawingml/2006/wordprocessingDrawing" distT="0" distB="0" distL="0" distR="0">
                      <wp:extent cx="2780580" cy="208543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980411" name=""/>
                              <pic:cNvPicPr>
                                <a:picLocks noChangeAspect="1"/>
                              </pic:cNvPicPr>
                              <pic:nvPr/>
                            </pic:nvPicPr>
                            <pic:blipFill rotWithShape="1">
                              <a:blip r:embed="rId22"/>
                              <a:stretch/>
                            </pic:blipFill>
                            <pic:spPr bwMode="auto">
                              <a:xfrm flipH="0" flipV="0">
                                <a:off x="0" y="0"/>
                                <a:ext cx="2780579" cy="20854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8.94pt;height:164.21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line="276" w:lineRule="auto"/>
              <w:ind/>
              <w:jc w:val="center"/>
              <w:rPr>
                <w:b/>
                <w:bCs/>
                <w:i/>
                <w:lang w:val="pt-BR"/>
              </w:rPr>
            </w:pPr>
            <w:r>
              <w:rPr>
                <w:i/>
                <w:lang w:val="pt-BR"/>
              </w:rPr>
            </w:r>
            <w:r>
              <mc:AlternateContent>
                <mc:Choice Requires="wpg">
                  <w:drawing>
                    <wp:inline xmlns:wp="http://schemas.openxmlformats.org/drawingml/2006/wordprocessingDrawing" distT="0" distB="0" distL="0" distR="0">
                      <wp:extent cx="2754928" cy="206619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982743" name=""/>
                              <pic:cNvPicPr>
                                <a:picLocks noChangeAspect="1"/>
                              </pic:cNvPicPr>
                              <pic:nvPr/>
                            </pic:nvPicPr>
                            <pic:blipFill rotWithShape="1">
                              <a:blip r:embed="rId23"/>
                              <a:stretch/>
                            </pic:blipFill>
                            <pic:spPr bwMode="auto">
                              <a:xfrm flipH="0" flipV="0">
                                <a:off x="0" y="0"/>
                                <a:ext cx="2754928" cy="20661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6.92pt;height:162.69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line="276" w:lineRule="auto"/>
        <w:ind/>
        <w:rPr/>
      </w:pPr>
      <w:r/>
      <w:r/>
    </w:p>
    <w:p>
      <w:pPr>
        <w:pBdr/>
        <w:spacing w:after="200" w:line="276" w:lineRule="auto"/>
        <w:ind/>
        <w:rPr>
          <w:highlight w:val="none"/>
        </w:rPr>
      </w:pPr>
      <w:r>
        <w:br w:type="page" w:clear="all"/>
      </w:r>
      <w:r>
        <w:rPr>
          <w:highlight w:val="none"/>
        </w:rPr>
      </w:r>
      <w:r>
        <w:rPr>
          <w:highlight w:val="none"/>
        </w:rPr>
      </w:r>
    </w:p>
    <w:p>
      <w:pPr>
        <w:pBdr/>
        <w:shd w:val="nil" w:color="auto"/>
        <w:spacing/>
        <w:ind/>
        <w:rPr/>
      </w:pPr>
      <w:r/>
      <w:r/>
    </w:p>
    <w:p>
      <w:pPr>
        <w:pBdr/>
        <w:spacing w:after="200" w:line="276" w:lineRule="auto"/>
        <w:ind/>
        <w:jc w:val="center"/>
        <w:rPr>
          <w:b/>
          <w:bCs/>
          <w:highlight w:val="none"/>
        </w:rPr>
      </w:pPr>
      <w:r>
        <w:rPr>
          <w:b/>
          <w:bCs/>
          <w:highlight w:val="none"/>
        </w:rPr>
        <w:t xml:space="preserve">Giấy Chứng nhận Quyền sử dụng đất</w: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6048375" cy="8503001"/>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86103" name=""/>
                        <pic:cNvPicPr>
                          <a:picLocks noChangeAspect="1"/>
                        </pic:cNvPicPr>
                        <pic:nvPr/>
                      </pic:nvPicPr>
                      <pic:blipFill rotWithShape="1">
                        <a:blip r:embed="rId24"/>
                        <a:stretch/>
                      </pic:blipFill>
                      <pic:spPr bwMode="auto">
                        <a:xfrm>
                          <a:off x="0" y="0"/>
                          <a:ext cx="6048374" cy="8503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669.53pt;mso-wrap-distance-left:0.00pt;mso-wrap-distance-top:0.00pt;mso-wrap-distance-right:0.00pt;mso-wrap-distance-bottom:0.00pt;z-index:1;" stroked="false">
                <v:imagedata r:id="rId24" o:title=""/>
                <o:lock v:ext="edit" rotation="t"/>
              </v:shape>
            </w:pict>
          </mc:Fallback>
        </mc:AlternateConten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6048375" cy="850257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816194" name=""/>
                        <pic:cNvPicPr>
                          <a:picLocks noChangeAspect="1"/>
                        </pic:cNvPicPr>
                        <pic:nvPr/>
                      </pic:nvPicPr>
                      <pic:blipFill rotWithShape="1">
                        <a:blip r:embed="rId25"/>
                        <a:stretch/>
                      </pic:blipFill>
                      <pic:spPr bwMode="auto">
                        <a:xfrm>
                          <a:off x="0" y="0"/>
                          <a:ext cx="6048374" cy="85025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669.49pt;mso-wrap-distance-left:0.00pt;mso-wrap-distance-top:0.00pt;mso-wrap-distance-right:0.00pt;mso-wrap-distance-bottom:0.00pt;z-index:1;" stroked="false">
                <v:imagedata r:id="rId25" o:title=""/>
                <o:lock v:ext="edit" rotation="t"/>
              </v:shape>
            </w:pict>
          </mc:Fallback>
        </mc:AlternateContent>
      </w:r>
      <w:r>
        <w:rPr>
          <w:b/>
          <w:bCs/>
          <w:highlight w:val="none"/>
        </w:rPr>
      </w:r>
      <w:r>
        <w:rPr>
          <w:b/>
          <w:bCs/>
          <w:highlight w:val="none"/>
        </w:rPr>
      </w:r>
    </w:p>
    <w:p>
      <w:pPr>
        <w:pBdr/>
        <w:spacing w:after="200" w:line="276" w:lineRule="auto"/>
        <w:ind/>
        <w:rPr/>
      </w:pPr>
      <w:r>
        <w:rPr>
          <w:highlight w:val="none"/>
        </w:rPr>
      </w:r>
      <w:r>
        <w:rPr>
          <w:highlight w:val="none"/>
        </w:rPr>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line="276" w:lineRule="auto"/>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275/2026/0138/VFI-BC.27.A"</w:t>
      </w:r>
      <w:r>
        <w:rPr>
          <w:i/>
          <w:lang w:val="pt-BR"/>
        </w:rPr>
        <w:t xml:space="preserve"> </w:t>
      </w:r>
      <w:r>
        <w:rPr>
          <w:i/>
          <w:lang w:val="pt-BR"/>
        </w:rPr>
        <w:t xml:space="preserve">20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line="276" w:lineRule="auto"/>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line="276" w:lineRule="auto"/>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https://batdongsan.com.vn/ban-dat-nen-du-an-xa-cao-thuong-prj-khu-do-thi-an-huy-cao-thuong/lo-goc-130m2-tai-kdt-tt-bac-gig-gia-phat-mai-pr41937878</w:t>
            </w:r>
            <w:r>
              <w:rPr>
                <w:color w:val="000000" w:themeColor="text1"/>
                <w:sz w:val="22"/>
                <w:szCs w:val="22"/>
              </w:rPr>
              <w:br/>
              <w:t xml:space="preserve">0917746969</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(129.8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Thị trấn Cao Thượng, Huyện Tân Yên, Tỉnh Bắc Giang, khoảng cách ra đường chính Tài sản cách DT295 khoảng 400m, độ rộng đường trước mặt tài sản 8m, mặt tiền 8.86m, 21.382878094956286, 106.12563012467895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129.8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8.86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72031"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47203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94.65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103598"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310359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44.38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tbl>
      <w:tblPr>
        <w:tblInd w:w="108" w:type="dxa"/>
        <w:tblW w:w="9059" w:type="dxa"/>
        <w:tblBorders/>
        <w:tblLook w:val="04A0" w:firstRow="1" w:lastRow="0" w:firstColumn="1" w:lastColumn="0" w:noHBand="0" w:noVBand="1"/>
      </w:tblPr>
      <w:tblGrid>
        <w:gridCol w:w="4358"/>
        <w:gridCol w:w="4701"/>
      </w:tblGrid>
      <w:tr>
        <w:trPr>
          <w:trHeight w:val="1940"/>
        </w:trPr>
        <w:tc>
          <w:tcPr>
            <w:tcBorders/>
            <w:tcW w:w="4358" w:type="dxa"/>
            <w:vAlign w:val="center"/>
            <w:textDirection w:val="lrTb"/>
            <w:noWrap w:val="false"/>
          </w:tcPr>
          <w:p>
            <w:pPr>
              <w:pBdr/>
              <w:spacing w:line="240" w:lineRule="auto"/>
              <w:ind/>
              <w:jc w:val="center"/>
              <w:rPr>
                <w:b/>
                <w:bCs/>
              </w:rPr>
            </w:pPr>
            <w:r>
              <w:rPr>
                <w:b/>
                <w:bCs/>
              </w:rPr>
            </w:r>
            <w:r>
              <w:rPr>
                <w:b/>
                <w:bCs/>
              </w:rPr>
            </w:r>
            <w:r>
              <w:rPr>
                <w:b/>
                <w:bCs/>
              </w:rPr>
            </w:r>
          </w:p>
        </w:tc>
        <w:tc>
          <w:tcPr>
            <w:tcBorders/>
            <w:tcW w:w="4701" w:type="dxa"/>
            <w:vAlign w:val="center"/>
            <w:textDirection w:val="lrTb"/>
            <w:noWrap/>
          </w:tcPr>
          <w:p>
            <w:pPr>
              <w:pBdr/>
              <w:spacing w:line="240" w:lineRule="auto"/>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line="240" w:lineRule="auto"/>
              <w:ind/>
              <w:jc w:val="center"/>
              <w:rPr>
                <w:b/>
                <w:bCs/>
              </w:rPr>
            </w:pPr>
            <w:r>
              <w:rPr>
                <w:b/>
                <w:bCs/>
              </w:rPr>
            </w:r>
            <w:r>
              <w:rPr>
                <w:b/>
                <w:bCs/>
              </w:rPr>
            </w:r>
            <w:r>
              <w:rPr>
                <w:b/>
                <w:bCs/>
              </w:rPr>
            </w:r>
          </w:p>
          <w:p>
            <w:pPr>
              <w:pBdr/>
              <w:spacing w:line="240" w:lineRule="auto"/>
              <w:ind/>
              <w:jc w:val="center"/>
              <w:rPr>
                <w:b/>
                <w:bCs/>
              </w:rPr>
            </w:pPr>
            <w:r>
              <w:rPr>
                <w:b/>
                <w:bCs/>
              </w:rPr>
            </w:r>
            <w:r>
              <w:rPr>
                <w:b/>
                <w:bCs/>
              </w:rPr>
            </w:r>
            <w:r>
              <w:rPr>
                <w:b/>
                <w:bCs/>
              </w:rPr>
            </w:r>
          </w:p>
        </w:tc>
      </w:tr>
      <w:tr>
        <w:trPr>
          <w:trHeight w:val="425"/>
        </w:trPr>
        <w:tc>
          <w:tcPr>
            <w:tcBorders/>
            <w:tcW w:w="4358" w:type="dxa"/>
            <w:vAlign w:val="center"/>
            <w:textDirection w:val="lrTb"/>
            <w:noWrap w:val="false"/>
          </w:tcPr>
          <w:p>
            <w:pPr>
              <w:pBdr/>
              <w:spacing w:line="240" w:lineRule="auto"/>
              <w:ind/>
              <w:jc w:val="center"/>
              <w:rPr>
                <w:b/>
                <w:bCs/>
              </w:rPr>
            </w:pPr>
            <w:r>
              <w:rPr>
                <w:b/>
                <w:bCs/>
              </w:rPr>
            </w:r>
            <w:r>
              <w:rPr>
                <w:b/>
                <w:bCs/>
              </w:rPr>
            </w:r>
            <w:r>
              <w:rPr>
                <w:b/>
                <w:bCs/>
              </w:rPr>
            </w:r>
          </w:p>
        </w:tc>
        <w:tc>
          <w:tcPr>
            <w:tcBorders/>
            <w:tcW w:w="4701" w:type="dxa"/>
            <w:vAlign w:val="center"/>
            <w:textDirection w:val="lrTb"/>
            <w:noWrap/>
          </w:tcPr>
          <w:p>
            <w:pPr>
              <w:pBdr/>
              <w:spacing w:line="240" w:lineRule="auto"/>
              <w:ind/>
              <w:jc w:val="center"/>
              <w:rPr/>
            </w:pPr>
            <w:r>
              <w:t xml:space="preserve">Nguyễn Thị Thùy Dung</w:t>
            </w:r>
            <w:r/>
          </w:p>
        </w:tc>
      </w:tr>
    </w:tbl>
    <w:p>
      <w:pPr>
        <w:pBdr/>
        <w:shd w:val="nil" w:color="auto"/>
        <w:spacing/>
        <w:ind/>
        <w:rPr>
          <w:lang w:val="pt-BR"/>
        </w:rPr>
      </w:pPr>
      <w:r>
        <w:rPr>
          <w:b/>
          <w:bCs/>
          <w:iCs/>
          <w:highlight w:val="none"/>
          <w:lang w:val="pt-BR"/>
        </w:rPr>
        <w:br w:type="page" w:clear="all"/>
      </w:r>
      <w:r>
        <w:rPr>
          <w:b/>
          <w:bCs/>
          <w:iCs/>
          <w:highlight w:val="none"/>
          <w:lang w:val="pt-BR"/>
        </w:rPr>
      </w:r>
      <w:r>
        <w:rPr>
          <w:lang w:val="pt-BR"/>
        </w:rPr>
      </w:r>
    </w:p>
    <w:p>
      <w:pPr>
        <w:pBdr/>
        <w:spacing w:after="200" w:line="276" w:lineRule="auto"/>
        <w:ind/>
        <w:jc w:val="center"/>
        <w:rPr>
          <w:b/>
          <w:bCs/>
          <w:iCs/>
          <w:highlight w:val="none"/>
          <w:lang w:val="pt-BR"/>
        </w:rPr>
      </w:pPr>
      <w:r>
        <w:rPr>
          <w:b/>
          <w:bCs/>
          <w:iCs/>
          <w:lang w:val="pt-BR"/>
        </w:rPr>
        <w:t xml:space="preserve">TSSS2</w:t>
      </w:r>
      <w:r>
        <w:rPr>
          <w:iCs/>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https://batdongsan.com.vn/ban-dat-nen-du-an-duong-hoang-quoc-viet-xa-cao-thuong-prj-khu-do-thi-an-huy-cao-thuong/b-biet-thu-9-ty-290-m2-gia-sieu-hoi-pr43803016</w:t>
            </w:r>
            <w:r>
              <w:rPr>
                <w:color w:val="000000" w:themeColor="text1"/>
                <w:sz w:val="22"/>
                <w:szCs w:val="22"/>
              </w:rPr>
              <w:br/>
              <w:t xml:space="preserve">0969163310</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8.995.800.000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(290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Thị trấn Cao Thượng, Huyện Tân Yên, Tỉnh Bắc Giang, khoảng cách ra đường chính Tài sản cách đường DT295 khoảng 300m, độ rộng đường trước mặt tài sản 8m, mặt tiền 10m, 21.382505300934657, 106.12755441852447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63918"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16391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06.61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806643"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48066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78.48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line="276" w:lineRule="auto"/>
              <w:ind/>
              <w:jc w:val="center"/>
              <w:rPr>
                <w:b/>
                <w:bCs/>
              </w:rPr>
            </w:pPr>
            <w:r>
              <w:rPr>
                <w:b/>
                <w:bCs/>
              </w:rPr>
            </w:r>
            <w:r>
              <w:rPr>
                <w:b/>
                <w:bCs/>
              </w:rPr>
            </w:r>
            <w:r>
              <w:rPr>
                <w:b/>
                <w:bCs/>
              </w:rPr>
            </w:r>
          </w:p>
        </w:tc>
        <w:tc>
          <w:tcPr>
            <w:tcBorders/>
            <w:tcW w:w="4776" w:type="dxa"/>
            <w:vAlign w:val="center"/>
            <w:textDirection w:val="lrTb"/>
            <w:noWrap/>
          </w:tcPr>
          <w:p>
            <w:pPr>
              <w:pBdr/>
              <w:spacing w:line="276" w:lineRule="auto"/>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line="276" w:lineRule="auto"/>
              <w:ind/>
              <w:jc w:val="center"/>
              <w:rPr>
                <w:b/>
                <w:bCs/>
              </w:rPr>
            </w:pPr>
            <w:r>
              <w:rPr>
                <w:b/>
                <w:bCs/>
              </w:rPr>
            </w:r>
            <w:r>
              <w:rPr>
                <w:b/>
                <w:bCs/>
              </w:rPr>
            </w:r>
            <w:r>
              <w:rPr>
                <w:b/>
                <w:bCs/>
              </w:rPr>
            </w:r>
          </w:p>
          <w:p>
            <w:pPr>
              <w:pBdr/>
              <w:spacing w:line="276" w:lineRule="auto"/>
              <w:ind/>
              <w:jc w:val="center"/>
              <w:rPr>
                <w:b/>
                <w:bCs/>
              </w:rPr>
            </w:pPr>
            <w:r>
              <w:rPr>
                <w:b/>
                <w:bCs/>
              </w:rPr>
            </w:r>
            <w:r>
              <w:rPr>
                <w:b/>
                <w:bCs/>
              </w:rPr>
            </w:r>
            <w:r>
              <w:rPr>
                <w:b/>
                <w:bCs/>
              </w:rPr>
            </w:r>
          </w:p>
          <w:p>
            <w:pPr>
              <w:pBdr/>
              <w:spacing w:line="276" w:lineRule="auto"/>
              <w:ind/>
              <w:jc w:val="center"/>
              <w:rPr>
                <w:b/>
                <w:bCs/>
              </w:rPr>
            </w:pPr>
            <w:r>
              <w:rPr>
                <w:b/>
                <w:bCs/>
              </w:rPr>
            </w:r>
            <w:r>
              <w:rPr>
                <w:b/>
                <w:bCs/>
              </w:rPr>
            </w:r>
            <w:r>
              <w:rPr>
                <w:b/>
                <w:bCs/>
              </w:rPr>
            </w:r>
          </w:p>
        </w:tc>
      </w:tr>
      <w:tr>
        <w:trPr>
          <w:trHeight w:val="322"/>
        </w:trPr>
        <w:tc>
          <w:tcPr>
            <w:tcBorders/>
            <w:tcW w:w="4427" w:type="dxa"/>
            <w:vAlign w:val="center"/>
            <w:textDirection w:val="lrTb"/>
            <w:noWrap w:val="false"/>
          </w:tcPr>
          <w:p>
            <w:pPr>
              <w:pBdr/>
              <w:spacing w:line="276" w:lineRule="auto"/>
              <w:ind/>
              <w:jc w:val="center"/>
              <w:rPr>
                <w:b/>
                <w:bCs/>
              </w:rPr>
            </w:pPr>
            <w:r>
              <w:rPr>
                <w:b/>
                <w:bCs/>
              </w:rPr>
            </w:r>
            <w:r>
              <w:rPr>
                <w:b/>
                <w:bCs/>
              </w:rPr>
            </w:r>
            <w:r>
              <w:rPr>
                <w:b/>
                <w:bCs/>
              </w:rPr>
            </w:r>
          </w:p>
        </w:tc>
        <w:tc>
          <w:tcPr>
            <w:tcBorders/>
            <w:tcW w:w="4776" w:type="dxa"/>
            <w:vAlign w:val="center"/>
            <w:textDirection w:val="lrTb"/>
            <w:noWrap/>
          </w:tcPr>
          <w:p>
            <w:pPr>
              <w:pBdr/>
              <w:spacing w:line="276" w:lineRule="auto"/>
              <w:ind/>
              <w:jc w:val="center"/>
              <w:rPr/>
            </w:pPr>
            <w:r/>
            <w:r/>
          </w:p>
          <w:p>
            <w:pPr>
              <w:pBdr/>
              <w:spacing w:line="276" w:lineRule="auto"/>
              <w:ind/>
              <w:jc w:val="center"/>
              <w:rPr/>
            </w:pPr>
            <w:r>
              <w:t xml:space="preserve">Nguyễn Thị Thùy Dung</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https://www.facebook.com/share/p/1L2EiJ4cVr/</w:t>
            </w:r>
            <w:r>
              <w:rPr>
                <w:color w:val="000000" w:themeColor="text1"/>
                <w:sz w:val="22"/>
                <w:szCs w:val="22"/>
              </w:rPr>
              <w:br/>
            </w:r>
            <w:r>
              <w:rPr>
                <w:sz w:val="22"/>
                <w:szCs w:val="22"/>
              </w:rPr>
              <w:t xml:space="preserve">SĐT: </w:t>
            </w:r>
            <w:r>
              <w:rPr>
                <w:color w:val="000000" w:themeColor="text1"/>
                <w:sz w:val="22"/>
                <w:szCs w:val="22"/>
              </w:rPr>
              <w:t xml:space="preserve">0977578988</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2.929.500.000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(91.3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Thị trấn Cao Thượng, Huyện Tân Yên, Tỉnh Bắc Giang, khoảng cách ra đường chính Tài sản cách đường DT295 khoảng 100mm, độ rộng đường trước mặt tài sản 8m, mặt tiền 5m, 21.385172298058787, 106.12514065935876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91.3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363845"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36384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43.61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44953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344953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71.62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line="276" w:lineRule="auto"/>
              <w:ind/>
              <w:jc w:val="center"/>
              <w:rPr>
                <w:b/>
                <w:bCs/>
              </w:rPr>
            </w:pPr>
            <w:r>
              <w:rPr>
                <w:b/>
                <w:bCs/>
              </w:rPr>
            </w:r>
            <w:r>
              <w:rPr>
                <w:b/>
                <w:bCs/>
              </w:rPr>
            </w:r>
            <w:r>
              <w:rPr>
                <w:b/>
                <w:bCs/>
              </w:rPr>
            </w:r>
          </w:p>
        </w:tc>
        <w:tc>
          <w:tcPr>
            <w:tcBorders/>
            <w:tcW w:w="4776" w:type="dxa"/>
            <w:vAlign w:val="center"/>
            <w:textDirection w:val="lrTb"/>
            <w:noWrap/>
          </w:tcPr>
          <w:p>
            <w:pPr>
              <w:pBdr/>
              <w:spacing w:line="276" w:lineRule="auto"/>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line="276" w:lineRule="auto"/>
              <w:ind/>
              <w:jc w:val="center"/>
              <w:rPr>
                <w:b/>
                <w:bCs/>
              </w:rPr>
            </w:pPr>
            <w:r>
              <w:rPr>
                <w:b/>
                <w:bCs/>
              </w:rPr>
            </w:r>
            <w:r>
              <w:rPr>
                <w:b/>
                <w:bCs/>
              </w:rPr>
            </w:r>
            <w:r>
              <w:rPr>
                <w:b/>
                <w:bCs/>
              </w:rPr>
            </w:r>
          </w:p>
        </w:tc>
        <w:tc>
          <w:tcPr>
            <w:tcBorders/>
            <w:tcW w:w="4776" w:type="dxa"/>
            <w:vAlign w:val="center"/>
            <w:textDirection w:val="lrTb"/>
            <w:noWrap/>
          </w:tcPr>
          <w:p>
            <w:pPr>
              <w:pBdr/>
              <w:spacing w:line="276" w:lineRule="auto"/>
              <w:ind/>
              <w:jc w:val="center"/>
              <w:rPr/>
            </w:pPr>
            <w:r/>
            <w:r/>
          </w:p>
          <w:p>
            <w:pPr>
              <w:pBdr/>
              <w:spacing w:line="276" w:lineRule="auto"/>
              <w:ind/>
              <w:jc w:val="center"/>
              <w:rPr/>
            </w:pPr>
            <w:r/>
            <w:r/>
          </w:p>
          <w:p>
            <w:pPr>
              <w:pBdr/>
              <w:spacing w:line="276" w:lineRule="auto"/>
              <w:ind/>
              <w:jc w:val="center"/>
              <w:rPr/>
            </w:pPr>
            <w:r/>
            <w:r/>
          </w:p>
          <w:p>
            <w:pPr>
              <w:pBdr/>
              <w:spacing w:line="276" w:lineRule="auto"/>
              <w:ind/>
              <w:jc w:val="center"/>
              <w:rPr/>
            </w:pPr>
            <w:r>
              <w:t xml:space="preserve">Nguyễn Thị Thùy Dung</w:t>
            </w:r>
            <w:r/>
          </w:p>
        </w:tc>
      </w:tr>
      <w:tr>
        <w:trPr>
          <w:trHeight w:val="312"/>
        </w:trPr>
        <w:tc>
          <w:tcPr>
            <w:tcBorders/>
            <w:tcW w:w="4427" w:type="dxa"/>
            <w:vAlign w:val="bottom"/>
            <w:textDirection w:val="lrTb"/>
            <w:noWrap w:val="false"/>
          </w:tcPr>
          <w:p>
            <w:pPr>
              <w:pBdr/>
              <w:spacing w:line="276" w:lineRule="auto"/>
              <w:ind/>
              <w:jc w:val="center"/>
              <w:rPr>
                <w:b/>
                <w:bCs/>
              </w:rPr>
            </w:pPr>
            <w:r>
              <w:rPr>
                <w:b/>
                <w:bCs/>
              </w:rPr>
            </w:r>
            <w:r>
              <w:rPr>
                <w:b/>
                <w:bCs/>
              </w:rPr>
            </w:r>
            <w:r>
              <w:rPr>
                <w:b/>
                <w:bCs/>
              </w:rPr>
            </w:r>
          </w:p>
        </w:tc>
        <w:tc>
          <w:tcPr>
            <w:tcBorders/>
            <w:tcW w:w="4776" w:type="dxa"/>
            <w:vAlign w:val="center"/>
            <w:textDirection w:val="lrTb"/>
            <w:noWrap/>
          </w:tcPr>
          <w:p>
            <w:pPr>
              <w:pBdr/>
              <w:spacing w:line="276" w:lineRule="auto"/>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Vũ Văn Quân - Tổng giám đốc</cp:lastModifiedBy>
  <cp:revision>272</cp:revision>
  <dcterms:created xsi:type="dcterms:W3CDTF">2025-09-15T09:58:00Z</dcterms:created>
  <dcterms:modified xsi:type="dcterms:W3CDTF">2026-01-21T09:25:45Z</dcterms:modified>
</cp:coreProperties>
</file>