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OOk</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-50460</wp:posOffset>
                </wp:positionH>
                <wp:positionV relativeFrom="paragraph">
                  <wp:posOffset>116554</wp:posOffset>
                </wp:positionV>
                <wp:extent cx="5876925" cy="3506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76924" cy="3506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275/2026/0186/VFI-CT.17.A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VĂN THUỲ</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w:t>
                            </w:r>
                            <w:r>
                              <w:rPr>
                                <w:color w:val="000000"/>
                              </w:rPr>
                              <w:t xml:space="preserve">cư số 704 - Đơn nguyên 2 tại thửa đất số: 03, tờ bản đồ số: 84 có địa chỉ: Chung cư 3.10HH-NO, Khu hỗn hợp văn phòng cho thuê và nhà ở, lô đất 3.10-NO Lê Văn Lương, phường Nhân Chính, quận Thanh Xuân, thành phố Hà Nội (</w:t>
                            </w:r>
                            <w:r>
                              <w:rPr>
                                <w:i/>
                                <w:iCs/>
                                <w:color w:val="000000"/>
                              </w:rPr>
                              <w:t xml:space="preserve">nay là phường Thanh Xuân, thành phố H</w:t>
                            </w:r>
                            <w:r>
                              <w:rPr>
                                <w:i/>
                                <w:iCs/>
                                <w:color w:val="000000"/>
                              </w:rPr>
                              <w:t xml:space="preserve">à Nội)</w:t>
                            </w:r>
                            <w:r>
                              <w:rPr>
                                <w:color w:val="000000"/>
                              </w:rPr>
                              <w:t xml:space="preserve"> theo 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3.97pt;mso-position-horizontal:absolute;mso-position-vertical-relative:text;margin-top:9.18pt;mso-position-vertical:absolute;width:462.75pt;height:276.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275/2026/0186/VFI-CT.17.A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VĂN THUỲ</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w:t>
                      </w:r>
                      <w:r>
                        <w:rPr>
                          <w:color w:val="000000"/>
                        </w:rPr>
                        <w:t xml:space="preserve">cư số 704 - Đơn nguyên 2 tại thửa đất số: 03, tờ bản đồ số: 84 có địa chỉ: Chung cư 3.10HH-NO, Khu hỗn hợp văn phòng cho thuê và nhà ở, lô đất 3.10-NO Lê Văn Lương, phường Nhân Chính, quận Thanh Xuân, thành phố Hà Nội (</w:t>
                      </w:r>
                      <w:r>
                        <w:rPr>
                          <w:i/>
                          <w:iCs/>
                          <w:color w:val="000000"/>
                        </w:rPr>
                        <w:t xml:space="preserve">nay là phường Thanh Xuân, thành phố H</w:t>
                      </w:r>
                      <w:r>
                        <w:rPr>
                          <w:i/>
                          <w:iCs/>
                          <w:color w:val="000000"/>
                        </w:rPr>
                        <w:t xml:space="preserve">à Nội)</w:t>
                      </w:r>
                      <w:r>
                        <w:rPr>
                          <w:color w:val="000000"/>
                        </w:rPr>
                        <w:t xml:space="preserve"> theo 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576"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0314" w:type="dxa"/>
        <w:tblBorders/>
        <w:tblLayout w:type="fixed"/>
        <w:tblLook w:val="04A0" w:firstRow="1" w:lastRow="0" w:firstColumn="1" w:lastColumn="0" w:noHBand="0" w:noVBand="1"/>
      </w:tblPr>
      <w:tblGrid>
        <w:gridCol w:w="216"/>
        <w:gridCol w:w="1728"/>
        <w:gridCol w:w="8370"/>
      </w:tblGrid>
      <w:tr>
        <w:trPr>
          <w:gridBefore w:val="1"/>
          <w:trHeight w:val="1152"/>
        </w:trPr>
        <w:tc>
          <w:tcPr>
            <w:tcBorders/>
            <w:tcW w:w="1728"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856674"/>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65934" name="Picture 3" descr="Logo, company name&#10;&#10;Description automatically generated"/>
                              <pic:cNvPicPr>
                                <a:picLocks noChangeAspect="1"/>
                              </pic:cNvPicPr>
                              <pic:nvPr/>
                            </pic:nvPicPr>
                            <pic:blipFill rotWithShape="1">
                              <a:blip r:embed="rId14"/>
                              <a:stretch/>
                            </pic:blipFill>
                            <pic:spPr bwMode="auto">
                              <a:xfrm flipH="0" flipV="0">
                                <a:off x="0" y="0"/>
                                <a:ext cx="1017904" cy="85667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67.45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p>
      <w:pPr>
        <w:pBdr/>
        <w:spacing/>
        <w:ind/>
        <w:rPr>
          <w:sz w:val="14"/>
          <w:szCs w:val="14"/>
        </w:rPr>
      </w:pPr>
      <w:r>
        <w:rPr>
          <w:sz w:val="14"/>
          <w:szCs w:val="14"/>
        </w:rPr>
      </w:r>
      <w:r>
        <w:rPr>
          <w:sz w:val="14"/>
          <w:szCs w:val="14"/>
        </w:rPr>
      </w:r>
      <w:r>
        <w:rPr>
          <w:sz w:val="14"/>
          <w:szCs w:val="14"/>
        </w:rPr>
      </w:r>
    </w:p>
    <w:tbl>
      <w:tblPr>
        <w:tblStyle w:val="1029"/>
        <w:tblInd w:w="-162" w:type="dxa"/>
        <w:tblW w:w="0" w:type="auto"/>
        <w:tblBorders/>
        <w:tblLayout w:type="fixed"/>
        <w:tblLook w:val="04A0" w:firstRow="1" w:lastRow="0" w:firstColumn="1" w:lastColumn="0" w:noHBand="0" w:noVBand="1"/>
      </w:tblPr>
      <w:tblGrid>
        <w:gridCol w:w="4905"/>
        <w:gridCol w:w="5193"/>
      </w:tblGrid>
      <w:tr>
        <w:trPr>
          <w:trHeight w:val="0"/>
        </w:trPr>
        <w:tc>
          <w:tcPr>
            <w:tcBorders>
              <w:top w:val="none" w:color="000000" w:sz="4" w:space="0"/>
              <w:left w:val="none" w:color="000000" w:sz="4" w:space="0"/>
              <w:bottom w:val="none" w:color="000000" w:sz="4" w:space="0"/>
              <w:right w:val="none" w:color="000000" w:sz="4" w:space="0"/>
            </w:tcBorders>
            <w:tcW w:w="490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  275/2026/0186/VFI-CT.17.A</w:t>
            </w:r>
            <w:r>
              <w:rPr>
                <w:color w:val="000000" w:themeColor="text1"/>
                <w:sz w:val="24"/>
                <w:szCs w:val="24"/>
              </w:rPr>
            </w:r>
            <w:r>
              <w:rPr>
                <w:color w:val="000000" w:themeColor="text1"/>
                <w:sz w:val="24"/>
                <w:szCs w:val="24"/>
              </w:rPr>
            </w:r>
          </w:p>
        </w:tc>
        <w:tc>
          <w:tcPr>
            <w:tcBorders>
              <w:top w:val="none" w:color="000000" w:sz="4" w:space="0"/>
              <w:left w:val="none" w:color="000000" w:sz="4" w:space="0"/>
              <w:bottom w:val="none" w:color="000000" w:sz="4" w:space="0"/>
              <w:right w:val="none" w:color="000000" w:sz="4" w:space="0"/>
            </w:tcBorders>
            <w:tcW w:w="5193"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01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2"/>
          <w:szCs w:val="2"/>
          <w:highlight w:val="none"/>
          <w:lang w:val="vi-VN"/>
        </w:rPr>
      </w:pPr>
      <w:r>
        <w:rPr>
          <w:rStyle w:val="1023"/>
          <w:rFonts w:ascii="Times New Roman" w:hAnsi="Times New Roman"/>
          <w:b/>
          <w:bCs/>
          <w:color w:val="auto"/>
          <w:sz w:val="2"/>
          <w:szCs w:val="2"/>
          <w:highlight w:val="none"/>
          <w:lang w:val="vi-VN"/>
        </w:rPr>
      </w:r>
      <w:r>
        <w:rPr>
          <w:rStyle w:val="1023"/>
          <w:rFonts w:ascii="Times New Roman" w:hAnsi="Times New Roman"/>
          <w:b/>
          <w:bCs/>
          <w:color w:val="auto"/>
          <w:sz w:val="2"/>
          <w:szCs w:val="2"/>
          <w:highlight w:val="none"/>
          <w:lang w:val="vi-VN"/>
        </w:rPr>
      </w:r>
      <w:r>
        <w:rPr>
          <w:rStyle w:val="1023"/>
          <w:rFonts w:ascii="Times New Roman" w:hAnsi="Times New Roman"/>
          <w:b/>
          <w:bCs/>
          <w:color w:val="auto"/>
          <w:sz w:val="2"/>
          <w:szCs w:val="2"/>
          <w:highlight w:val="none"/>
          <w:lang w:val="vi-VN"/>
        </w:rPr>
      </w:r>
    </w:p>
    <w:p>
      <w:pPr>
        <w:pStyle w:val="1024"/>
        <w:pBdr/>
        <w:spacing w:after="120" w:before="200" w:line="288" w:lineRule="auto"/>
        <w:ind/>
        <w:jc w:val="center"/>
        <w:rPr>
          <w:rStyle w:val="1023"/>
          <w:rFonts w:ascii="Times New Roman" w:hAnsi="Times New Roman"/>
          <w:b/>
          <w:bCs/>
          <w:color w:val="auto"/>
          <w:sz w:val="30"/>
          <w:szCs w:val="30"/>
          <w:highlight w:val="none"/>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highlight w:val="none"/>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THUỲ</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275/2026/0186/VFI-HĐTĐ.17.A</w:t>
      </w:r>
      <w:r>
        <w:rPr>
          <w:spacing w:val="-4"/>
          <w:lang w:val="vi-VN"/>
        </w:rPr>
        <w:t xml:space="preserve"> ký ngày </w:t>
      </w:r>
      <w:r>
        <w:rPr>
          <w:color w:val="000000" w:themeColor="text1"/>
          <w:spacing w:val="-4"/>
        </w:rPr>
        <w:t xml:space="preserve">20 tháng 01 năm 2026</w:t>
      </w:r>
      <w:r>
        <w:rPr>
          <w:spacing w:val="-4"/>
          <w:lang w:val="vi-VN"/>
        </w:rPr>
        <w:t xml:space="preserve"> </w:t>
      </w:r>
      <w:r>
        <w:rPr>
          <w:spacing w:val="-4"/>
          <w:lang w:val="vi-VN"/>
        </w:rPr>
        <w:t xml:space="preserve">giữa </w:t>
      </w:r>
      <w:r>
        <w:rPr>
          <w:bCs/>
        </w:rPr>
        <w:t xml:space="preserve">ông Nguyễn Văn Thuỳ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275/2026/0186/VFI-BC.17.A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17" w:type="pct"/>
        <w:tblBorders/>
        <w:tblLayout w:type="fixed"/>
        <w:tblLook w:val="04A0" w:firstRow="1" w:lastRow="0" w:firstColumn="1" w:lastColumn="0" w:noHBand="0" w:noVBand="1"/>
      </w:tblPr>
      <w:tblGrid>
        <w:gridCol w:w="1780"/>
        <w:gridCol w:w="487"/>
        <w:gridCol w:w="7578"/>
      </w:tblGrid>
      <w:tr>
        <w:trPr>
          <w:trHeight w:val="20"/>
        </w:trPr>
        <w:tc>
          <w:tcPr>
            <w:shd w:val="clear" w:color="auto" w:fill="auto"/>
            <w:tcBorders/>
            <w:tcW w:w="172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VĂN THUỲ</w:t>
            </w:r>
            <w:r>
              <w:rPr>
                <w:b/>
                <w:bCs/>
              </w:rPr>
            </w:r>
            <w:r/>
          </w:p>
        </w:tc>
      </w:tr>
      <w:tr>
        <w:trPr>
          <w:trHeight w:val="20"/>
        </w:trPr>
        <w:tc>
          <w:tcPr>
            <w:shd w:val="clear" w:color="auto" w:fill="auto"/>
            <w:tcBorders/>
            <w:tcW w:w="172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015084008159</w:t>
            </w:r>
            <w:r>
              <w:rPr>
                <w:color w:val="ff0000"/>
                <w:lang w:val="pt-BR"/>
              </w:rPr>
            </w:r>
            <w:r>
              <w:rPr>
                <w:color w:val="ff0000"/>
                <w:lang w:val="pt-BR"/>
              </w:rPr>
            </w:r>
          </w:p>
        </w:tc>
      </w:tr>
      <w:tr>
        <w:trPr>
          <w:trHeight w:val="20"/>
        </w:trPr>
        <w:tc>
          <w:tcPr>
            <w:shd w:val="clear" w:color="auto" w:fill="auto"/>
            <w:tcBorders/>
            <w:tcW w:w="172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19/04/1984</w:t>
            </w:r>
            <w:r>
              <w:rPr>
                <w:color w:val="ff0000"/>
                <w:lang w:val="pt-BR"/>
              </w:rPr>
            </w:r>
            <w:r>
              <w:rPr>
                <w:color w:val="ff0000"/>
                <w:lang w:val="pt-BR"/>
              </w:rPr>
            </w:r>
          </w:p>
        </w:tc>
      </w:tr>
      <w:tr>
        <w:trPr>
          <w:trHeight w:val="20"/>
        </w:trPr>
        <w:tc>
          <w:tcPr>
            <w:shd w:val="clear" w:color="auto" w:fill="auto"/>
            <w:tcBorders/>
            <w:tcW w:w="172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Tiên Phú, xã Văn Phú, thành phố Yên Bái, tỉnh Yên Bái (</w:t>
            </w:r>
            <w:r>
              <w:rPr>
                <w:i/>
                <w:iCs/>
                <w:color w:val="000000" w:themeColor="text1"/>
                <w:lang w:val="vi-VN"/>
              </w:rPr>
              <w:t xml:space="preserve">nay là phường Văn Phú, tỉnh Lào Cai)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85" w:type="dxa"/>
        <w:tblBorders/>
        <w:tblLayout w:type="fixed"/>
        <w:tblLook w:val="04A0" w:firstRow="1" w:lastRow="0" w:firstColumn="1" w:lastColumn="0" w:noHBand="0" w:noVBand="1"/>
      </w:tblPr>
      <w:tblGrid>
        <w:gridCol w:w="1998"/>
        <w:gridCol w:w="289"/>
        <w:gridCol w:w="7398"/>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398"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98"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98"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sở hữu căn hộ chung </w:t>
      </w:r>
      <w:r>
        <w:rPr>
          <w:color w:val="000000"/>
        </w:rPr>
        <w:t xml:space="preserve">cư số 704 - Đơn nguyên 2 tại thửa đất số: 03, tờ bản đồ số: 84 có địa chỉ: Chung cư 3.10HH-NO, Khu hỗn hợp văn phòng cho thuê và nhà ở, lô đất 3.10-NO Lê Văn Lương, phường Nhân Chính, quận Thanh Xuân, thành phố Hà Nội (</w:t>
      </w:r>
      <w:r>
        <w:rPr>
          <w:i/>
          <w:iCs/>
          <w:color w:val="000000"/>
        </w:rPr>
        <w:t xml:space="preserve">nay là phường Thanh Xuân, thành phố H</w:t>
      </w:r>
      <w:r>
        <w:rPr>
          <w:i/>
          <w:iCs/>
          <w:color w:val="000000"/>
        </w:rPr>
        <w:t xml:space="preserve">à Nội)</w:t>
      </w:r>
      <w:r>
        <w:rPr>
          <w:color w:val="000000"/>
        </w:rPr>
        <w:t xml:space="preserve"> theo 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Ind w:w="-125" w:type="dxa"/>
        <w:tblW w:w="503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67"/>
        <w:gridCol w:w="1965"/>
        <w:gridCol w:w="2808"/>
        <w:gridCol w:w="2225"/>
        <w:gridCol w:w="2206"/>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90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280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 sử dụng</w:t>
            </w:r>
            <w:r>
              <w:rPr>
                <w:b/>
                <w:bCs/>
              </w:rPr>
              <w:t xml:space="preserve"> (m²)</w:t>
            </w:r>
            <w:r>
              <w:rPr>
                <w:b/>
                <w:bCs/>
              </w:rPr>
            </w:r>
            <w:r>
              <w:rPr>
                <w:b/>
                <w:bCs/>
              </w:rPr>
            </w:r>
          </w:p>
        </w:tc>
        <w:tc>
          <w:tcPr>
            <w:shd w:val="clear" w:color="000000" w:fill="ffffff"/>
            <w:tcBorders/>
            <w:tcW w:w="216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42"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9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sở hữu căn hộ chung </w:t>
            </w:r>
            <w:r>
              <w:rPr>
                <w:b/>
                <w:bCs/>
                <w:color w:val="000000"/>
              </w:rPr>
              <w:t xml:space="preserve">cư số 704 - Đơn nguyên 2 tại thửa đất số: 03, tờ bản đồ số: 84 có địa chỉ: Chung cư 3.10HH-NO, Khu hỗn hợp văn phòng cho thuê và nhà ở, lô đất 3.10-NO Lê Văn Lương, phường Nhân Chính, quận Thanh Xuân, thành phố Hà Nội (</w:t>
            </w:r>
            <w:r>
              <w:rPr>
                <w:b/>
                <w:bCs/>
                <w:i/>
                <w:iCs/>
                <w:color w:val="000000"/>
              </w:rPr>
              <w:t xml:space="preserve">nay là phường Thanh Xuân, thành phố H</w:t>
            </w:r>
            <w:r>
              <w:rPr>
                <w:b/>
                <w:bCs/>
                <w:i/>
                <w:iCs/>
                <w:color w:val="000000"/>
              </w:rPr>
              <w:t xml:space="preserve">à Nội)</w:t>
            </w:r>
            <w:r>
              <w:rPr>
                <w:b/>
                <w:bCs/>
                <w:color w:val="000000"/>
              </w:rPr>
              <w:t xml:space="preserve"> theo 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b/>
                <w:bCs/>
              </w:rPr>
              <w:t xml:space="preserve">.</w:t>
            </w:r>
            <w:r>
              <w:rPr>
                <w:b/>
                <w:bCs/>
              </w:rPr>
            </w:r>
            <w:r>
              <w:rPr>
                <w:b/>
                <w:bCs/>
              </w:rPr>
            </w:r>
          </w:p>
        </w:tc>
        <w:tc>
          <w:tcPr>
            <w:shd w:val="clear" w:color="000000" w:fill="ffffff"/>
            <w:tcBorders/>
            <w:tcW w:w="214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90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2808" w:type="dxa"/>
            <w:vAlign w:val="center"/>
            <w:textDirection w:val="lrTb"/>
            <w:noWrap/>
          </w:tcPr>
          <w:p>
            <w:pPr>
              <w:pBdr/>
              <w:spacing w:after="40" w:before="40" w:line="288" w:lineRule="auto"/>
              <w:ind/>
              <w:jc w:val="center"/>
              <w:rPr>
                <w:color w:val="000000"/>
              </w:rPr>
            </w:pPr>
            <w:r>
              <w:rPr>
                <w:color w:val="000000" w:themeColor="text1"/>
              </w:rPr>
              <w:t xml:space="preserve">65,4</w:t>
            </w:r>
            <w:r>
              <w:rPr>
                <w:color w:val="000000"/>
              </w:rPr>
            </w:r>
            <w:r>
              <w:rPr>
                <w:color w:val="000000"/>
              </w:rPr>
            </w:r>
          </w:p>
        </w:tc>
        <w:tc>
          <w:tcPr>
            <w:shd w:val="clear" w:color="000000" w:fill="ffffff"/>
            <w:tcBorders/>
            <w:tcW w:w="2160" w:type="dxa"/>
            <w:vAlign w:val="center"/>
            <w:textDirection w:val="lrTb"/>
            <w:noWrap w:val="false"/>
          </w:tcPr>
          <w:p>
            <w:pPr>
              <w:pBdr/>
              <w:spacing w:after="40" w:before="40" w:line="288" w:lineRule="auto"/>
              <w:ind/>
              <w:jc w:val="center"/>
              <w:rPr/>
            </w:pPr>
            <w:r>
              <w:rPr>
                <w:color w:val="000000" w:themeColor="text1"/>
              </w:rPr>
              <w:t xml:space="preserve">100.000.000</w:t>
            </w:r>
            <w:r/>
          </w:p>
        </w:tc>
        <w:tc>
          <w:tcPr>
            <w:shd w:val="clear" w:color="000000" w:fill="ffffff"/>
            <w:tcBorders/>
            <w:tcW w:w="2142" w:type="dxa"/>
            <w:vAlign w:val="center"/>
            <w:textDirection w:val="lrTb"/>
            <w:noWrap w:val="false"/>
          </w:tcPr>
          <w:p>
            <w:pPr>
              <w:pBdr/>
              <w:spacing w:after="40" w:before="40" w:line="288" w:lineRule="auto"/>
              <w:ind/>
              <w:jc w:val="right"/>
              <w:rPr/>
            </w:pPr>
            <w:r>
              <w:rPr>
                <w:color w:val="000000" w:themeColor="text1"/>
              </w:rPr>
              <w:t xml:space="preserve">6.540.000.000</w:t>
            </w:r>
            <w:r/>
          </w:p>
        </w:tc>
      </w:tr>
      <w:tr>
        <w:trPr>
          <w:trHeight w:val="20"/>
        </w:trPr>
        <w:tc>
          <w:tcPr>
            <w:gridSpan w:val="4"/>
            <w:tcBorders/>
            <w:tcW w:w="766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42" w:type="dxa"/>
            <w:vAlign w:val="center"/>
            <w:textDirection w:val="lrTb"/>
            <w:noWrap/>
          </w:tcPr>
          <w:p>
            <w:pPr>
              <w:pBdr/>
              <w:spacing w:after="40" w:before="40" w:line="288" w:lineRule="auto"/>
              <w:ind/>
              <w:jc w:val="right"/>
              <w:rPr>
                <w:b/>
                <w:bCs/>
                <w:color w:val="000000"/>
              </w:rPr>
            </w:pPr>
            <w:r>
              <w:t xml:space="preserve">6.540.000.000</w:t>
            </w:r>
            <w:r>
              <w:rPr>
                <w:b/>
                <w:bCs/>
                <w:color w:val="000000"/>
              </w:rPr>
            </w:r>
            <w:r>
              <w:rPr>
                <w:b/>
                <w:bCs/>
                <w:color w:val="000000"/>
              </w:rPr>
            </w:r>
          </w:p>
        </w:tc>
      </w:tr>
      <w:tr>
        <w:trPr>
          <w:trHeight w:val="20"/>
        </w:trPr>
        <w:tc>
          <w:tcPr>
            <w:gridSpan w:val="4"/>
            <w:tcBorders/>
            <w:tcW w:w="766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42" w:type="dxa"/>
            <w:vAlign w:val="center"/>
            <w:textDirection w:val="lrTb"/>
            <w:noWrap/>
          </w:tcPr>
          <w:p>
            <w:pPr>
              <w:pBdr/>
              <w:spacing w:after="40" w:before="40" w:line="288" w:lineRule="auto"/>
              <w:ind/>
              <w:jc w:val="right"/>
              <w:rPr>
                <w:b/>
                <w:bCs/>
                <w:color w:val="000000"/>
              </w:rPr>
            </w:pPr>
            <w:r>
              <w:rPr>
                <w:b/>
                <w:bCs/>
                <w:color w:val="000000"/>
              </w:rPr>
              <w:t xml:space="preserve">6.540.000.000</w:t>
            </w:r>
            <w:r>
              <w:rPr>
                <w:b/>
                <w:bCs/>
                <w:color w:val="000000"/>
              </w:rPr>
            </w:r>
            <w:r>
              <w:rPr>
                <w:b/>
                <w:bCs/>
                <w:color w:val="000000"/>
              </w:rPr>
            </w:r>
          </w:p>
        </w:tc>
      </w:tr>
      <w:tr>
        <w:trPr>
          <w:trHeight w:val="20"/>
        </w:trPr>
        <w:tc>
          <w:tcPr>
            <w:gridSpan w:val="5"/>
            <w:tcBorders/>
            <w:tcW w:w="987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bốn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608"/>
        <w:gridCol w:w="5220"/>
      </w:tblGrid>
      <w:tr>
        <w:trPr>
          <w:trHeight w:val="20"/>
        </w:trPr>
        <w:tc>
          <w:tcPr>
            <w:tcBorders/>
            <w:tcW w:w="460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0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2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0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2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8" w:type="dxa"/>
        <w:tblBorders/>
        <w:tblLayout w:type="fixed"/>
        <w:tblLook w:val="04A0" w:firstRow="1" w:lastRow="0" w:firstColumn="1" w:lastColumn="0" w:noHBand="0" w:noVBand="1"/>
      </w:tblPr>
      <w:tblGrid>
        <w:gridCol w:w="1638"/>
        <w:gridCol w:w="8460"/>
      </w:tblGrid>
      <w:tr>
        <w:trPr>
          <w:trHeight w:val="1545"/>
        </w:trPr>
        <w:tc>
          <w:tcPr>
            <w:tcBorders/>
            <w:tcW w:w="16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6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fr-FR"/>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fr-FR"/>
              </w:rPr>
            </w:r>
            <w:r>
              <w:rPr>
                <w:lang w:val="fr-FR"/>
              </w:rPr>
            </w:r>
          </w:p>
          <w:p>
            <w:pPr>
              <w:pBdr/>
              <w:spacing w:line="276" w:lineRule="auto"/>
              <w:ind/>
              <w:jc w:val="both"/>
              <w:rPr>
                <w:lang w:val="da-DK"/>
              </w:rPr>
            </w:pPr>
            <w:r>
              <w:rPr>
                <w:lang w:val="fr-FR"/>
              </w:rPr>
            </w:r>
            <w:r>
              <w:rPr>
                <w:lang w:val="da-DK"/>
              </w:rPr>
              <w:t xml:space="preserve">Website: ilotus.com.vn</w:t>
            </w:r>
            <w:r>
              <w:rPr>
                <w:lang w:val="da-DK"/>
              </w:rPr>
            </w:r>
            <w:r>
              <w:rPr>
                <w:lang w:val="da-DK"/>
              </w:rPr>
            </w:r>
          </w:p>
        </w:tc>
      </w:tr>
    </w:tbl>
    <w:p>
      <w:pPr>
        <w:pBdr/>
        <w:spacing/>
        <w:ind/>
        <w:rPr>
          <w:sz w:val="16"/>
          <w:szCs w:val="16"/>
        </w:rPr>
      </w:pPr>
      <w:r>
        <w:rPr>
          <w:sz w:val="16"/>
          <w:szCs w:val="16"/>
        </w:rPr>
      </w:r>
      <w:r>
        <w:rPr>
          <w:sz w:val="16"/>
          <w:szCs w:val="16"/>
        </w:rPr>
      </w:r>
      <w:r>
        <w:rPr>
          <w:sz w:val="16"/>
          <w:szCs w:val="16"/>
        </w:rPr>
      </w:r>
    </w:p>
    <w:tbl>
      <w:tblPr>
        <w:tblStyle w:val="1029"/>
        <w:tblInd w:w="-252" w:type="dxa"/>
        <w:tblW w:w="0" w:type="auto"/>
        <w:tblBorders/>
        <w:tblLayout w:type="fixed"/>
        <w:tblLook w:val="04A0" w:firstRow="1" w:lastRow="0" w:firstColumn="1" w:lastColumn="0" w:noHBand="0" w:noVBand="1"/>
      </w:tblPr>
      <w:tblGrid>
        <w:gridCol w:w="4905"/>
        <w:gridCol w:w="5193"/>
      </w:tblGrid>
      <w:tr>
        <w:trPr/>
        <w:tc>
          <w:tcPr>
            <w:tcBorders>
              <w:top w:val="none" w:color="000000" w:sz="4" w:space="0"/>
              <w:left w:val="none" w:color="000000" w:sz="4" w:space="0"/>
              <w:bottom w:val="none" w:color="000000" w:sz="4" w:space="0"/>
              <w:right w:val="none" w:color="000000" w:sz="4" w:space="0"/>
            </w:tcBorders>
            <w:tcW w:w="490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275/2026/0186/VFI-CT.17.A</w:t>
            </w:r>
            <w:r>
              <w:rPr>
                <w:color w:val="000000" w:themeColor="text1"/>
                <w:sz w:val="24"/>
                <w:szCs w:val="24"/>
              </w:rPr>
            </w:r>
            <w:r>
              <w:rPr>
                <w:color w:val="000000" w:themeColor="text1"/>
                <w:sz w:val="24"/>
                <w:szCs w:val="24"/>
              </w:rPr>
            </w:r>
          </w:p>
        </w:tc>
        <w:tc>
          <w:tcPr>
            <w:tcBorders>
              <w:top w:val="none" w:color="000000" w:sz="4" w:space="0"/>
              <w:left w:val="none" w:color="000000" w:sz="4" w:space="0"/>
              <w:bottom w:val="none" w:color="000000" w:sz="4" w:space="0"/>
              <w:right w:val="none" w:color="000000" w:sz="4" w:space="0"/>
            </w:tcBorders>
            <w:tcW w:w="5193"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01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r>
        <w:rPr>
          <w:b/>
          <w:bCs/>
          <w:iCs/>
          <w:sz w:val="30"/>
          <w:szCs w:val="30"/>
          <w:highlight w:val="none"/>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275/2026/0186/VFI-CT.17.A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75" w:type="dxa"/>
        <w:tblBorders/>
        <w:tblLayout w:type="fixed"/>
        <w:tblLook w:val="04A0" w:firstRow="1" w:lastRow="0" w:firstColumn="1" w:lastColumn="0" w:noHBand="0" w:noVBand="1"/>
      </w:tblPr>
      <w:tblGrid>
        <w:gridCol w:w="1998"/>
        <w:gridCol w:w="289"/>
        <w:gridCol w:w="7488"/>
      </w:tblGrid>
      <w:tr>
        <w:trPr>
          <w:trHeight w:val="20"/>
        </w:trPr>
        <w:tc>
          <w:tcPr>
            <w:tcBorders/>
            <w:tcW w:w="1998" w:type="dxa"/>
            <w:vAlign w:val="center"/>
            <w:textDirection w:val="lrTb"/>
            <w:noWrap w:val="false"/>
          </w:tcPr>
          <w:p>
            <w:pPr>
              <w:pBdr/>
              <w:spacing w:after="60" w:before="60" w:line="283" w:lineRule="atLeast"/>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pPr>
              <w:pBdr/>
              <w:spacing w:after="60" w:before="60" w:line="283" w:lineRule="atLeast"/>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83" w:lineRule="atLeast"/>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pPr>
              <w:pBdr/>
              <w:spacing w:after="60" w:before="60" w:line="283" w:lineRule="atLeast"/>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83" w:lineRule="atLeast"/>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 </w:t>
            </w:r>
            <w:r>
              <w:rPr>
                <w:bCs/>
                <w:lang w:val="pt-BR"/>
              </w:rPr>
            </w:r>
            <w:r>
              <w:rPr>
                <w:bCs/>
                <w:lang w:val="pt-BR"/>
              </w:rPr>
            </w:r>
          </w:p>
        </w:tc>
        <w:tc>
          <w:tcPr>
            <w:tcBorders/>
            <w:tcW w:w="7488" w:type="dxa"/>
            <w:vAlign w:val="center"/>
            <w:textDirection w:val="lrTb"/>
            <w:noWrap w:val="false"/>
          </w:tcPr>
          <w:p>
            <w:pPr>
              <w:pBdr/>
              <w:tabs>
                <w:tab w:val="left" w:leader="none" w:pos="3382"/>
              </w:tabs>
              <w:spacing w:after="60" w:before="60" w:line="283" w:lineRule="atLeast"/>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83" w:lineRule="atLeast"/>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pPr>
              <w:pBdr/>
              <w:spacing w:after="60" w:before="60" w:line="283" w:lineRule="atLeast"/>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83" w:lineRule="atLeast"/>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pPr>
              <w:pBdr/>
              <w:spacing w:after="60" w:before="60" w:line="283" w:lineRule="atLeast"/>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83" w:lineRule="atLeast"/>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83" w:lineRule="atLeast"/>
              <w:ind/>
              <w:rPr>
                <w:bCs/>
              </w:rPr>
            </w:pPr>
            <w:r>
              <w:rPr>
                <w:bCs/>
              </w:rPr>
              <w:t xml:space="preserve">:</w:t>
            </w:r>
            <w:r>
              <w:rPr>
                <w:bCs/>
              </w:rPr>
            </w:r>
            <w:r>
              <w:rPr>
                <w:bCs/>
              </w:rPr>
            </w:r>
          </w:p>
        </w:tc>
        <w:tc>
          <w:tcPr>
            <w:tcBorders/>
            <w:tcW w:w="7488" w:type="dxa"/>
            <w:vAlign w:val="center"/>
            <w:textDirection w:val="lrTb"/>
            <w:noWrap w:val="false"/>
          </w:tcPr>
          <w:p>
            <w:pPr>
              <w:pBdr/>
              <w:spacing w:after="60" w:before="60" w:line="283" w:lineRule="atLeast"/>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83" w:lineRule="atLeast"/>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83" w:lineRule="atLeast"/>
              <w:ind/>
              <w:rPr>
                <w:bCs/>
              </w:rPr>
            </w:pPr>
            <w:r>
              <w:rPr>
                <w:bCs/>
              </w:rPr>
              <w:t xml:space="preserve">:</w:t>
            </w:r>
            <w:r>
              <w:rPr>
                <w:bCs/>
              </w:rPr>
            </w:r>
            <w:r>
              <w:rPr>
                <w:bCs/>
              </w:rPr>
            </w:r>
          </w:p>
        </w:tc>
        <w:tc>
          <w:tcPr>
            <w:tcBorders/>
            <w:tcW w:w="7488" w:type="dxa"/>
            <w:vAlign w:val="center"/>
            <w:textDirection w:val="lrTb"/>
            <w:noWrap w:val="false"/>
          </w:tcPr>
          <w:p>
            <w:pPr>
              <w:pBdr/>
              <w:spacing w:after="60" w:before="60" w:line="283" w:lineRule="atLeast"/>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83" w:lineRule="atLeast"/>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3" w:lineRule="atLeast"/>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line="283" w:lineRule="atLeast"/>
              <w:ind/>
              <w:rPr/>
            </w:pPr>
            <w:r>
              <w:rPr>
                <w:b/>
                <w:bCs/>
              </w:rPr>
            </w:r>
            <w:r>
              <w:rPr>
                <w:rFonts w:ascii="Times New Roman Bold" w:hAnsi="Times New Roman Bold"/>
                <w:b/>
                <w:color w:val="000000" w:themeColor="text1"/>
                <w:lang w:val="pt-BR"/>
              </w:rPr>
              <w:t xml:space="preserve">ÔNG NGUYỄN VĂN THUỲ</w:t>
            </w:r>
            <w:r/>
          </w:p>
        </w:tc>
      </w:tr>
      <w:tr>
        <w:trPr>
          <w:trHeight w:val="20"/>
        </w:trPr>
        <w:tc>
          <w:tcPr>
            <w:tcBorders/>
            <w:tcW w:w="2518" w:type="dxa"/>
            <w:vAlign w:val="center"/>
            <w:textDirection w:val="lrTb"/>
            <w:noWrap w:val="false"/>
          </w:tcPr>
          <w:p>
            <w:pPr>
              <w:pBdr/>
              <w:spacing w:after="40" w:before="40" w:line="283" w:lineRule="atLeast"/>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3" w:lineRule="atLeast"/>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83" w:lineRule="atLeast"/>
              <w:ind/>
              <w:jc w:val="both"/>
              <w:rPr>
                <w:color w:val="ff0000"/>
                <w:lang w:val="pt-BR"/>
              </w:rPr>
            </w:pPr>
            <w:r>
              <w:rPr>
                <w:color w:val="000000" w:themeColor="text1"/>
                <w:lang w:val="vi-VN"/>
              </w:rPr>
              <w:t xml:space="preserve">015084008159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83" w:lineRule="atLeast"/>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3" w:lineRule="atLeast"/>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83" w:lineRule="atLeast"/>
              <w:ind/>
              <w:jc w:val="both"/>
              <w:rPr>
                <w:color w:val="ff0000"/>
                <w:lang w:val="pt-BR"/>
              </w:rPr>
            </w:pPr>
            <w:r>
              <w:rPr>
                <w:color w:val="000000" w:themeColor="text1"/>
                <w:lang w:val="vi-VN"/>
              </w:rPr>
              <w:t xml:space="preserve">19/04/1984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83" w:lineRule="atLeast"/>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3" w:lineRule="atLeast"/>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83" w:lineRule="atLeast"/>
              <w:ind/>
              <w:jc w:val="both"/>
              <w:rPr>
                <w:color w:val="ff0000"/>
                <w:lang w:val="pt-BR"/>
              </w:rPr>
            </w:pPr>
            <w:r>
              <w:rPr>
                <w:color w:val="000000" w:themeColor="text1"/>
                <w:lang w:val="vi-VN"/>
              </w:rPr>
              <w:t xml:space="preserve">Thôn Tiên Phú, xã Văn Phú, thành phố Yên Bái, tỉnh Yên Bái (</w:t>
            </w:r>
            <w:r>
              <w:rPr>
                <w:i/>
                <w:iCs/>
                <w:color w:val="000000" w:themeColor="text1"/>
                <w:lang w:val="vi-VN"/>
              </w:rPr>
              <w:t xml:space="preserve">nay là phường Văn Phú, tỉnh Lào Cai)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83" w:lineRule="atLeast"/>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3" w:lineRule="atLeast"/>
              <w:ind/>
              <w:jc w:val="both"/>
              <w:rPr>
                <w:b/>
                <w:bCs/>
                <w:spacing w:val="2"/>
                <w:lang w:val="vi-VN"/>
              </w:rPr>
            </w:pPr>
            <w:r>
              <w:rPr>
                <w:bCs/>
                <w:color w:val="000000" w:themeColor="text1"/>
                <w:lang w:val="pt-BR"/>
              </w:rPr>
            </w:r>
            <w:r>
              <w:rPr>
                <w:color w:val="000000"/>
              </w:rPr>
              <w:t xml:space="preserve">Quyền sở hữu căn hộ chung </w:t>
            </w:r>
            <w:r>
              <w:rPr>
                <w:color w:val="000000"/>
              </w:rPr>
              <w:t xml:space="preserve">cư số 704 - Đơn nguyên 2 tại thửa đất số: 03, tờ bản đồ số: 84 có địa chỉ: Chung cư 3.10HH-NO, Khu hỗn hợp văn phòng cho thuê và nhà ở, lô đất 3.10-NO Lê Văn Lương, phường Nhân Chính, quận Thanh Xuân, thành phố Hà Nội </w:t>
            </w:r>
            <w:r>
              <w:rPr>
                <w:i/>
                <w:iCs/>
                <w:color w:val="000000"/>
              </w:rPr>
              <w:t xml:space="preserve">(nay là phường Thanh Xuân, thành phố H</w:t>
            </w:r>
            <w:r>
              <w:rPr>
                <w:i/>
                <w:iCs/>
                <w:color w:val="000000"/>
              </w:rPr>
              <w:t xml:space="preserve">à Nội) </w:t>
            </w:r>
            <w:r>
              <w:rPr>
                <w:color w:val="000000"/>
              </w:rPr>
              <w:t xml:space="preserve">theo 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83" w:lineRule="atLeast"/>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83" w:lineRule="atLeast"/>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83" w:lineRule="atLeast"/>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83" w:lineRule="atLeast"/>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83" w:lineRule="atLeast"/>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3" w:lineRule="atLeast"/>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83" w:lineRule="atLeast"/>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3" w:lineRule="atLeast"/>
              <w:ind/>
              <w:jc w:val="both"/>
              <w:rPr>
                <w:color w:val="ee0000"/>
                <w:lang w:val="pt-BR"/>
              </w:rPr>
            </w:pPr>
            <w:r>
              <w:rPr>
                <w:color w:val="000000" w:themeColor="text1"/>
                <w:lang w:val="pt-BR"/>
              </w:rPr>
              <w:t xml:space="preserve"> Phường Thanh Xuân,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83" w:lineRule="atLeast"/>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line="283" w:lineRule="atLeast"/>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21.003972222222, 105.80322222222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bCs/>
          <w:lang w:val="pt-BR"/>
        </w:rPr>
      </w:pPr>
      <w:r>
        <w:rPr>
          <w:b/>
          <w:highlight w:val="none"/>
          <w:lang w:val="pt-BR"/>
        </w:rPr>
      </w:r>
      <w:r>
        <w:rPr>
          <w:b/>
          <w:highlight w:val="none"/>
          <w:lang w:val="pt-BR"/>
        </w:rPr>
      </w:r>
      <w:r>
        <w:rPr>
          <w:b/>
          <w:bCs/>
          <w:lang w:val="pt-BR"/>
        </w:rPr>
      </w:r>
    </w:p>
    <w:p>
      <w:pPr>
        <w:pStyle w:val="1025"/>
        <w:pBdr/>
        <w:tabs>
          <w:tab w:val="left" w:leader="none" w:pos="993"/>
        </w:tabs>
        <w:spacing w:after="120" w:before="120" w:line="276" w:lineRule="auto"/>
        <w:ind w:left="0"/>
        <w:jc w:val="both"/>
        <w:rPr>
          <w:b/>
          <w:bCs/>
          <w:highlight w:val="none"/>
          <w:lang w:val="pt-BR"/>
        </w:rPr>
      </w:pPr>
      <w:r>
        <w:rPr>
          <w:b/>
          <w:highlight w:val="none"/>
          <w:lang w:val="pt-BR"/>
        </w:rPr>
      </w:r>
      <w:r>
        <w:rPr>
          <w:b/>
          <w:highlight w:val="none"/>
          <w:lang w:val="pt-BR"/>
        </w:rPr>
      </w:r>
      <w:r>
        <w:rPr>
          <w:b/>
          <w:bCs/>
          <w:highlight w:val="none"/>
          <w:lang w:val="pt-BR"/>
        </w:rPr>
      </w:r>
    </w:p>
    <w:p>
      <w:pPr>
        <w:pStyle w:val="1025"/>
        <w:pBdr/>
        <w:tabs>
          <w:tab w:val="left" w:leader="none" w:pos="993"/>
        </w:tabs>
        <w:spacing w:after="120" w:before="120" w:line="276" w:lineRule="auto"/>
        <w:ind w:left="0"/>
        <w:jc w:val="both"/>
        <w:rPr>
          <w:b/>
          <w:bCs/>
          <w:highlight w:val="none"/>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bCs/>
          <w:highlight w:val="none"/>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275/2026/0186/VFI-HĐTĐ.17.A</w:t>
      </w:r>
      <w:r>
        <w:rPr>
          <w:spacing w:val="-4"/>
          <w:lang w:val="vi-VN"/>
        </w:rPr>
        <w:t xml:space="preserve"> ký ngày </w:t>
      </w:r>
      <w:r>
        <w:rPr>
          <w:color w:val="000000" w:themeColor="text1"/>
          <w:spacing w:val="-4"/>
        </w:rPr>
        <w:t xml:space="preserve">20 tháng 01 năm 2026</w:t>
      </w:r>
      <w:r>
        <w:rPr>
          <w:spacing w:val="-4"/>
          <w:lang w:val="vi-VN"/>
        </w:rPr>
        <w:t xml:space="preserve"> </w:t>
      </w:r>
      <w:r>
        <w:rPr>
          <w:spacing w:val="-4"/>
          <w:lang w:val="vi-VN"/>
        </w:rPr>
        <w:t xml:space="preserve">giữa </w:t>
      </w:r>
      <w:r>
        <w:rPr>
          <w:bCs/>
        </w:rPr>
        <w:t xml:space="preserve">ông Nguyễn Văn Thuỳ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b/>
          <w:bCs/>
          <w:shd w:val="clear" w:color="auto" w:fill="ffffff"/>
        </w:rPr>
        <w:t xml:space="preserve">Thị trường bất động sản Hà Nội quý III/2025: Giao dịch căn hộ thứ cấp lập đỉnh, đất nền tiếp tục trầm lắng.</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Thị trường bất động sản Hà Nội trong quý III/2025 ghi nhận sự phân hóa rõ nét: giao dịch căn hộ thứ cấp tăng mạnh, trong khi đất nền và nhà </w:t>
      </w:r>
      <w:r>
        <w:rPr>
          <w:shd w:val="clear" w:color="auto" w:fill="ffffff"/>
        </w:rPr>
        <w:t xml:space="preserve">thổ cư tiếp tục sụt giảm do giá neo cao và thanh khoản yếu.</w:t>
        <w:br/>
        <w:t xml:space="preserve">Căn hộ thứ cấp dẫn dắt thị trường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Theo báo cáo Tổng quan thị trường căn hộ thứ cấp và thổ cư Hà Nội quý III/2025 của Trung tâm Nghiên cứu thị trường và Am hiểu khách hàng One Mount Group, quý vừa </w:t>
      </w:r>
      <w:r>
        <w:rPr>
          <w:shd w:val="clear" w:color="auto" w:fill="ffffff"/>
        </w:rPr>
        <w:t xml:space="preserve">qua, dòng tiền tiếp tục tập trung mạnh vào phân khúc chung cư - cả sơ cấp lẫn thứ cấp.</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Toàn thị trường ghi nhận khoảng10.700 giao dịch căn hộ thứ cấp, tăng 14% so với cùng kỳ năm trước và đạt mức cao nhất trong vòng hai năm. Tổng lượng giao dịch cao tầng l</w:t>
      </w:r>
      <w:r>
        <w:rPr>
          <w:shd w:val="clear" w:color="auto" w:fill="ffffff"/>
        </w:rPr>
        <w:t xml:space="preserve">ên tới 20.800 căn, trong khi nhà thổ cư chỉ đạt 6.100 giao dịch, giảm 39% so với cùng kỳ 2024.</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Ở mảng sơ cấp, Hà Nội và khu vực lân cận ghi nhận 10.100 căn hộ chung cư được tiêu thụ. Khu Đông (Hà Nội) cùng Văn Giang (Hưng Yên) nổi lên với 8.200 căn giao dị</w:t>
      </w:r>
      <w:r>
        <w:rPr>
          <w:shd w:val="clear" w:color="auto" w:fill="ffffff"/>
        </w:rPr>
        <w:t xml:space="preserve">ch, cao nhất trong hai năm, nhờ mặt bằng giá thấp và hạ tầng giao thông được đầu tư mạnh. Giá căn hộ sơ cấp và thứ cấp tại khu vực này dao động 60–70 triệu đồng/m², thấp nhất thị trường.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Khu Tây Hà Nội cũng ghi nhận 7.500 giao dịch, song chủ yếu tập trung </w:t>
      </w:r>
      <w:r>
        <w:rPr>
          <w:shd w:val="clear" w:color="auto" w:fill="ffffff"/>
        </w:rPr>
        <w:t xml:space="preserve">ở loại hình thứ cấp do nguồn cung sơ cấp khan hiếm. Giá hàng thứ cấp vẫn thấp hơn hàng mở bán mới, giúp duy trì thanh khoản tương đối ổn định.</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One Mount Group cho biết, khu Đông là điểm sáng lớn nhất khigiao dịch thứ cấp tăng 56%, chiếm 37% tổng thị phần (</w:t>
      </w:r>
      <w:r>
        <w:rPr>
          <w:shd w:val="clear" w:color="auto" w:fill="ffffff"/>
        </w:rPr>
        <w:t xml:space="preserve">tăng từ 24% trong quý II). Trong khi đó, khu Tây giảm 11%, dù vẫn dẫn đầu về tổng lượng giao dịch với 5.200 căn, chiếm 43% thị phần.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Giá bán trung bình tại khu Đông đạt 76 triệu đồng/m², có xu hướng tăng nhưng vẫn thấp hơn đáng kể so với khu trung tâm và p</w:t>
      </w:r>
      <w:r>
        <w:rPr>
          <w:shd w:val="clear" w:color="auto" w:fill="ffffff"/>
        </w:rPr>
        <w:t xml:space="preserve">hía Tây. Hạ tầng đang được đẩy mạnh đầu tư - đặc biệt là các dự án giao thông kết nối với nội đô - giúp cải thiện thanh khoản đáng kể.</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Ngược lại, khu Tây dù có nhu cầu ở thực ổn định nhưng tốc độ phát triển hạ tầng chưa theo kịp đà đô thị hóa, khiến một bộ</w:t>
      </w:r>
      <w:r>
        <w:rPr>
          <w:shd w:val="clear" w:color="auto" w:fill="ffffff"/>
        </w:rPr>
        <w:t xml:space="preserve"> phận khách hàng chuyển hướng sang khu vực phía Đông.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Dự báo: Giao dịch thứ cấp cao tầng tiếp tục tăng năm 2026</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Từ năm 2023 đến nay, Vinhomes Ocean Park và Vinhomes Smart City vẫn là hai tâm điểm dẫn dắt thị trường thứ cấp Hà Nội.</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Trong quý III/2025, Vinho</w:t>
      </w:r>
      <w:r>
        <w:rPr>
          <w:shd w:val="clear" w:color="auto" w:fill="ffffff"/>
        </w:rPr>
        <w:t xml:space="preserve">mes Smart City ghi nhận 1.500 giao dịch, tăng 34% so với cùng kỳ 2024, chiếm 30% tổng giao dịch khu Tây. Trong khi đó, Vinhomes Ocean Park đạt 3.200 giao dịch, tăng 66% so với cùng kỳ, chiếm gần 80% giao dịch chung cư thứ cấp khu Đông.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Dù giá bán có xu hướ</w:t>
      </w:r>
      <w:r>
        <w:rPr>
          <w:shd w:val="clear" w:color="auto" w:fill="ffffff"/>
        </w:rPr>
        <w:t xml:space="preserve">ng tăng, các căn hộ 2 phòng ngủ tại Ocean Park hiện chỉ từ 3,5 tỷ đồng, thấp hơn mặt bằng chung khu Đông (khoảng 5,3 tỷ đồng cho căn 70m²), giúp duy trì sức hút mạnh mẽ.</w:t>
        <w:br/>
        <w:t xml:space="preserve">Trong năm 2024, hai đại đô thị này chiếm tới 83% tổng lượng giao dịch sơ cấp cao tầng </w:t>
      </w:r>
      <w:r>
        <w:rPr>
          <w:shd w:val="clear" w:color="auto" w:fill="ffffff"/>
        </w:rPr>
        <w:t xml:space="preserve">tại Hà Nội, với tỷ lệ hấp thụ đạt 92%. Bước sang năm 2025, làn sóng bán lại từ các nhà đầu tư mua trước đó khiến giao dịch thứ cấp tại đây tăng vọt, góp phần giữ nhịp sôi động cho toàn thị trường.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Theo dự báo của One Mount Group, lượng giao dịch thứ cấp tr</w:t>
      </w:r>
      <w:r>
        <w:rPr>
          <w:shd w:val="clear" w:color="auto" w:fill="ffffff"/>
        </w:rPr>
        <w:t xml:space="preserve">ong phân khúc cao tầng sẽ tiếp tục tăng khoảng 4,5% trong năm 2026, nhờ các phân khu sắp bàn giao tại Vinhomes Ocean Park và Vinhomes Smart City. Hai đại đô thị này được kỳ vọng duy trì vai trò đầu tàu, khi phần lớn các khu mới sẽ hoàn thiện và bàn giao tr</w:t>
      </w:r>
      <w:r>
        <w:rPr>
          <w:shd w:val="clear" w:color="auto" w:fill="ffffff"/>
        </w:rPr>
        <w:t xml:space="preserve">ong giai đoạn 2026–2028, hứa hẹn tiếp tục tạo thanh khoản mạnh cho thị trường Hà Nội.</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https://thuonghieucongluan.com.vn/thi-truong-bat-dong-san-ha-noi-quy-iii-2025-giao-dich-can-ho-thu-cap-lap-dinh-dat-nen-tiep-tuc-tram-lang-a290098.html)</w:t>
      </w:r>
      <w:r>
        <w:rPr>
          <w:bCs/>
          <w:i/>
        </w:rPr>
      </w:r>
      <w:r>
        <w:rPr>
          <w:bCs/>
          <w:i/>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13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gridCol w:w="1134"/>
        <w:gridCol w:w="1134"/>
        <w:gridCol w:w="1134"/>
        <w:gridCol w:w="1134"/>
      </w:tblGrid>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spacing/>
              <w:ind/>
              <w:jc w:val="both"/>
              <w:rPr>
                <w:b/>
                <w:bCs/>
                <w:color w:val="000000"/>
              </w:rPr>
            </w:pPr>
            <w:r>
              <w:rPr>
                <w:b/>
                <w:bCs/>
                <w:color w:val="000000"/>
              </w:rPr>
            </w:r>
            <w:r>
              <w:rPr>
                <w:b/>
                <w:bCs/>
                <w:color w:val="000000"/>
              </w:rPr>
              <w:t xml:space="preserve">Quyền sở hữu căn hộ chung </w:t>
            </w:r>
            <w:r>
              <w:rPr>
                <w:b/>
                <w:bCs/>
                <w:color w:val="000000"/>
              </w:rPr>
              <w:t xml:space="preserve">cư số 704 - Đơn nguyên 2 tại thửa đất số: 03, tờ bản đồ số: 84 có địa chỉ: Chung cư 3.10HH-NO, Khu hỗn hợp văn phòng cho thuê và nhà ở, lô đất 3.10-NO Lê Văn Lương, phường Nhân Chính, quận Thanh Xuân, thành phố Hà Nội (n</w:t>
            </w:r>
            <w:r>
              <w:rPr>
                <w:b/>
                <w:bCs/>
                <w:i/>
                <w:iCs/>
                <w:color w:val="000000"/>
              </w:rPr>
              <w:t xml:space="preserve">ay là phường Thanh Xuân, thành phố H</w:t>
            </w:r>
            <w:r>
              <w:rPr>
                <w:b/>
                <w:bCs/>
                <w:i/>
                <w:iCs/>
                <w:color w:val="000000"/>
              </w:rPr>
              <w:t xml:space="preserve">à Nội</w:t>
            </w:r>
            <w:r>
              <w:rPr>
                <w:b/>
                <w:bCs/>
                <w:color w:val="000000"/>
              </w:rPr>
              <w:t xml:space="preserve">) theo 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b/>
                <w:bCs/>
                <w:color w:val="000000"/>
              </w:rPr>
              <w:t xml:space="preserve">.</w:t>
            </w:r>
            <w:r>
              <w:rPr>
                <w:b/>
                <w:bCs/>
                <w:color w:val="000000"/>
              </w:rPr>
            </w:r>
            <w:r>
              <w:rPr>
                <w:b/>
                <w:bCs/>
                <w:color w:val="00000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4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03</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4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r>
            <w:r>
              <w:rPr>
                <w:b w:val="0"/>
                <w:bCs w:val="0"/>
                <w:color w:val="000000"/>
              </w:rPr>
              <w:t xml:space="preserve">Chung cư 3.10HH-NO, Khu hỗn hợp văn phòng cho thuê và nhà ở, lô đất 3.10-NO Lê Văn Lương, phường Nhân Chính, quận Thanh Xuân, thành phố Hà Nội (</w:t>
            </w:r>
            <w:r>
              <w:rPr>
                <w:b w:val="0"/>
                <w:bCs w:val="0"/>
                <w:i/>
                <w:iCs/>
                <w:color w:val="000000"/>
              </w:rPr>
              <w:t xml:space="preserve">nay là phường Thanh Xuân, thành phố H</w:t>
            </w:r>
            <w:r>
              <w:rPr>
                <w:b w:val="0"/>
                <w:bCs w:val="0"/>
                <w:i/>
                <w:iCs/>
                <w:color w:val="000000"/>
              </w:rPr>
              <w:t xml:space="preserve">à Nội</w:t>
            </w:r>
            <w:r>
              <w:rPr>
                <w:b w:val="0"/>
                <w:bCs w:val="0"/>
                <w:color w:val="000000"/>
              </w:rPr>
              <w:t xml:space="preserve">)</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3.188</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tại ở đô thị</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Nguồn gốc sử dụng:</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Nhà nước giao đất có thu tiền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vMerge w:val="restart"/>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(20.995064610597, 105.94557136411078)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color w:val="000000"/>
              </w:rPr>
              <mc:AlternateContent>
                <mc:Choice Requires="wpg">
                  <w:drawing>
                    <wp:inline xmlns:wp="http://schemas.openxmlformats.org/drawingml/2006/wordprocessingDrawing" distT="0" distB="0" distL="0" distR="0">
                      <wp:extent cx="5293272" cy="2573987"/>
                      <wp:effectExtent l="0" t="0" r="0" b="0"/>
                      <wp:docPr id="5" name=""/>
                      <wp:cNvGraphicFramePr/>
                      <a:graphic xmlns:a="http://schemas.openxmlformats.org/drawingml/2006/main">
                        <a:graphicData uri="http://schemas.openxmlformats.org/drawingml/2006/picture">
                          <pic:pic xmlns:pic="http://schemas.openxmlformats.org/drawingml/2006/picture">
                            <pic:nvPicPr>
                              <pic:cNvPr id="69521785" name="" descr=""/>
                              <pic:cNvPicPr/>
                              <pic:nvPr/>
                            </pic:nvPicPr>
                            <pic:blipFill rotWithShape="1">
                              <a:blip r:embed="rId17"/>
                              <a:stretch/>
                            </pic:blipFill>
                            <pic:spPr bwMode="auto">
                              <a:xfrm rot="0" flipH="0" flipV="0">
                                <a:off x="0" y="0"/>
                                <a:ext cx="5293271" cy="25739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6.79pt;height:202.68pt;mso-wrap-distance-left:0.00pt;mso-wrap-distance-top:0.00pt;mso-wrap-distance-right:0.00pt;mso-wrap-distance-bottom:0.00pt;rotation:0;z-index:1;" stroked="false">
                      <v:imagedata r:id="rId17"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thông thuỷ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65,4</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tim tường (m²):</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rPr>
            </w:pPr>
            <w:r>
              <w:rPr>
                <w:rFonts w:ascii="Times New Roman" w:hAnsi="Times New Roman" w:eastAsia="Times New Roman" w:cs="Times New Roman"/>
                <w:b w:val="0"/>
                <w:bCs w:val="0"/>
                <w:color w:val="000000"/>
                <w:sz w:val="24"/>
              </w:rPr>
              <w:t xml:space="preserve">Tài sản là CHCC </w:t>
            </w:r>
            <w:r>
              <w:rPr>
                <w:b w:val="0"/>
                <w:bCs w:val="0"/>
                <w:color w:val="000000"/>
              </w:rPr>
              <w:t xml:space="preserve">số 704 - Đơn nguyên 2</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15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07/25</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nhà vệ sinh, phòng khách + nhà bếp</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bl>
    <w:p>
      <w:pPr>
        <w:pBdr/>
        <w:spacing w:line="235" w:lineRule="auto"/>
        <w:ind w:left="646"/>
        <w:jc w:val="both"/>
        <w:rPr>
          <w:sz w:val="18"/>
          <w:szCs w:val="18"/>
          <w:u w:val="single"/>
        </w:rPr>
      </w:pPr>
      <w:r>
        <w:rPr>
          <w:sz w:val="18"/>
          <w:szCs w:val="18"/>
          <w:u w:val="single"/>
        </w:rPr>
      </w:r>
      <w:r>
        <w:rPr>
          <w:sz w:val="18"/>
          <w:szCs w:val="18"/>
          <w:u w:val="single"/>
        </w:rPr>
      </w:r>
      <w:r>
        <w:rPr>
          <w:sz w:val="18"/>
          <w:szCs w:val="18"/>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594"/>
        <w:gridCol w:w="1663"/>
        <w:gridCol w:w="2297"/>
        <w:gridCol w:w="2466"/>
        <w:gridCol w:w="1371"/>
        <w:gridCol w:w="1617"/>
      </w:tblGrid>
      <w:tr>
        <w:trPr>
          <w:jc w:val="center"/>
        </w:trPr>
        <w:tc>
          <w:tcPr>
            <w:tcBorders/>
            <w:tcW w:w="594" w:type="dxa"/>
            <w:vAlign w:val="center"/>
            <w:textDirection w:val="lrTb"/>
            <w:noWrap w:val="false"/>
          </w:tcPr>
          <w:p>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29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466"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17"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594"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22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r>
            <w:r>
              <w:rPr>
                <w:b w:val="0"/>
                <w:bCs w:val="0"/>
                <w:color w:val="000000"/>
              </w:rPr>
              <w:t xml:space="preserve">Chung cư 3.10HH-NO, Khu hỗn hợp văn phòng cho thuê và nhà ở, lô đất 3.10-NO Lê Văn Lương, phường Nhân Chính, quận Thanh Xuân, thành phố Hà Nội (nay là phường Thanh Xuân, thành phố H</w:t>
            </w:r>
            <w:r>
              <w:rPr>
                <w:b w:val="0"/>
                <w:bCs w:val="0"/>
                <w:color w:val="000000"/>
              </w:rPr>
              <w:t xml:space="preserve">à Nội)</w:t>
            </w:r>
            <w:r>
              <w:t xml:space="preserve"> </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c>
          <w:tcPr>
            <w:tcBorders/>
            <w:tcW w:w="24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r>
            <w:r>
              <w:rPr>
                <w:b w:val="0"/>
                <w:bCs w:val="0"/>
                <w:color w:val="000000"/>
              </w:rPr>
              <w:t xml:space="preserve">Chung cư 3.10HH-NO, Khu hỗn hợp văn phòng cho thuê và nhà ở, lô đất 3.10-NO Lê Văn Lương, phường Nhân Chính, quận Thanh Xuân, thành phố Hà Nội (nay là phường Thanh Xuân, thành phố H</w:t>
            </w:r>
            <w:r>
              <w:rPr>
                <w:b w:val="0"/>
                <w:bCs w:val="0"/>
                <w:color w:val="000000"/>
              </w:rPr>
              <w:t xml:space="preserve">à Nội)</w:t>
            </w:r>
            <w:r>
              <w:t xml:space="preserve"> ✔</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2297" w:type="dxa"/>
            <w:vAlign w:val="center"/>
            <w:textDirection w:val="lrTb"/>
            <w:noWrap w:val="false"/>
          </w:tcPr>
          <w:p>
            <w:pPr>
              <w:pBdr/>
              <w:spacing/>
              <w:ind/>
              <w:jc w:val="center"/>
              <w:rPr/>
            </w:pPr>
            <w:r>
              <w:t xml:space="preserve">Phường Nhân Chính, Quận Thanh Xuân, Thành phố Hà Nội</w:t>
            </w:r>
            <w:r/>
          </w:p>
        </w:tc>
        <w:tc>
          <w:tcPr>
            <w:tcBorders/>
            <w:tcW w:w="2466" w:type="dxa"/>
            <w:vAlign w:val="center"/>
            <w:textDirection w:val="lrTb"/>
            <w:noWrap w:val="false"/>
          </w:tcPr>
          <w:p>
            <w:pPr>
              <w:pBdr/>
              <w:spacing/>
              <w:ind/>
              <w:jc w:val="center"/>
              <w:rPr/>
            </w:pPr>
            <w:r>
              <w:t xml:space="preserve">Phường Nhân Chính, Quận Thanh Xuân, Thành phố Hà Nội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229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46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2297" w:type="dxa"/>
            <w:vAlign w:val="center"/>
            <w:textDirection w:val="lrTb"/>
            <w:noWrap w:val="false"/>
          </w:tcPr>
          <w:p>
            <w:pPr>
              <w:pBdr/>
              <w:spacing/>
              <w:ind/>
              <w:jc w:val="center"/>
              <w:rPr/>
            </w:pPr>
            <w:r>
              <w:t xml:space="preserve">Đất ở tại đô thị</w:t>
            </w:r>
            <w:r/>
          </w:p>
        </w:tc>
        <w:tc>
          <w:tcPr>
            <w:tcBorders/>
            <w:tcW w:w="2466"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2297" w:type="dxa"/>
            <w:vAlign w:val="center"/>
            <w:textDirection w:val="lrTb"/>
            <w:noWrap w:val="false"/>
          </w:tcPr>
          <w:p>
            <w:pPr>
              <w:pBdr/>
              <w:spacing/>
              <w:ind/>
              <w:jc w:val="center"/>
              <w:rPr/>
            </w:pPr>
            <w:r>
              <w:t xml:space="preserve">Lâu dài</w:t>
            </w:r>
            <w:r/>
          </w:p>
        </w:tc>
        <w:tc>
          <w:tcPr>
            <w:tcBorders/>
            <w:tcW w:w="2466"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2297" w:type="dxa"/>
            <w:vAlign w:val="center"/>
            <w:textDirection w:val="lrTb"/>
            <w:noWrap w:val="false"/>
          </w:tcPr>
          <w:p>
            <w:pPr>
              <w:pBdr/>
              <w:spacing/>
              <w:ind/>
              <w:jc w:val="center"/>
              <w:rPr/>
            </w:pPr>
            <w:r>
              <w:t xml:space="preserve">VT1</w:t>
            </w:r>
            <w:r/>
          </w:p>
        </w:tc>
        <w:tc>
          <w:tcPr>
            <w:tcBorders/>
            <w:tcW w:w="2466"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2297" w:type="dxa"/>
            <w:vAlign w:val="center"/>
            <w:textDirection w:val="lrTb"/>
            <w:noWrap w:val="false"/>
          </w:tcPr>
          <w:p>
            <w:pPr>
              <w:pBdr/>
              <w:spacing/>
              <w:ind/>
              <w:jc w:val="center"/>
              <w:rPr/>
            </w:pPr>
            <w:r>
              <w:t xml:space="preserve">Đường nhựa có vỉa hè</w:t>
            </w:r>
            <w:r/>
          </w:p>
        </w:tc>
        <w:tc>
          <w:tcPr>
            <w:tcBorders/>
            <w:tcW w:w="2466"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2297" w:type="dxa"/>
            <w:vAlign w:val="center"/>
            <w:textDirection w:val="lrTb"/>
            <w:noWrap w:val="false"/>
          </w:tcPr>
          <w:p>
            <w:pPr>
              <w:pBdr/>
              <w:spacing/>
              <w:ind/>
              <w:jc w:val="center"/>
              <w:rPr/>
            </w:pPr>
            <w:r>
              <w:t xml:space="preserve">8 </w:t>
            </w:r>
            <w:r/>
          </w:p>
        </w:tc>
        <w:tc>
          <w:tcPr>
            <w:tcBorders/>
            <w:tcW w:w="2466" w:type="dxa"/>
            <w:vAlign w:val="center"/>
            <w:textDirection w:val="lrTb"/>
            <w:noWrap w:val="false"/>
          </w:tcPr>
          <w:p>
            <w:pPr>
              <w:pBdr/>
              <w:spacing/>
              <w:ind/>
              <w:jc w:val="center"/>
              <w:rPr/>
            </w:pPr>
            <w:r>
              <w:t xml:space="preserve">8</w:t>
            </w:r>
            <w:r>
              <w:t xml:space="preserve">✔</w:t>
            </w:r>
            <w:r/>
          </w:p>
        </w:tc>
        <w:tc>
          <w:tcPr>
            <w:tcBorders/>
            <w:tcW w:w="1371" w:type="dxa"/>
            <w:vAlign w:val="center"/>
            <w:textDirection w:val="lrTb"/>
            <w:noWrap w:val="false"/>
          </w:tcPr>
          <w:p>
            <w:pPr>
              <w:pBdr/>
              <w:spacing/>
              <w:ind/>
              <w:jc w:val="center"/>
              <w:rPr/>
            </w:pPr>
            <w:r>
              <w:t xml:space="preserve">0</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2297" w:type="dxa"/>
            <w:vAlign w:val="center"/>
            <w:textDirection w:val="lrTb"/>
            <w:noWrap w:val="false"/>
          </w:tcPr>
          <w:p>
            <w:pPr>
              <w:pBdr/>
              <w:spacing/>
              <w:ind/>
              <w:jc w:val="center"/>
              <w:rPr/>
            </w:pPr>
            <w:r>
              <w:t xml:space="preserve">Hạ tầng khu đô thị, khu phân lô/tái định cư </w:t>
            </w:r>
            <w:r/>
          </w:p>
        </w:tc>
        <w:tc>
          <w:tcPr>
            <w:tcBorders/>
            <w:tcW w:w="2466"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2297" w:type="dxa"/>
            <w:vAlign w:val="center"/>
            <w:textDirection w:val="lrTb"/>
            <w:noWrap w:val="false"/>
          </w:tcPr>
          <w:p>
            <w:pPr>
              <w:pBdr/>
              <w:spacing/>
              <w:ind/>
              <w:jc w:val="center"/>
              <w:rPr/>
            </w:pPr>
            <w:r>
              <w:t xml:space="preserve">Tốt ✔</w:t>
            </w:r>
            <w:r/>
          </w:p>
        </w:tc>
        <w:tc>
          <w:tcPr>
            <w:tcBorders/>
            <w:tcW w:w="2466" w:type="dxa"/>
            <w:vAlign w:val="center"/>
            <w:textDirection w:val="lrTb"/>
            <w:noWrap w:val="false"/>
          </w:tcPr>
          <w:p>
            <w:pPr>
              <w:pBdr/>
              <w:spacing/>
              <w:ind/>
              <w:jc w:val="center"/>
              <w:rPr/>
            </w:pPr>
            <w:r>
              <w:t xml:space="preserve">Tốt</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 sử dụng</w:t>
            </w:r>
            <w:r/>
          </w:p>
        </w:tc>
        <w:tc>
          <w:tcPr>
            <w:tcBorders/>
            <w:tcW w:w="2297" w:type="dxa"/>
            <w:vAlign w:val="center"/>
            <w:textDirection w:val="lrTb"/>
            <w:noWrap w:val="false"/>
          </w:tcPr>
          <w:p>
            <w:pPr>
              <w:pBdr/>
              <w:spacing/>
              <w:ind/>
              <w:jc w:val="center"/>
              <w:rPr/>
            </w:pPr>
            <w:r>
              <w:t xml:space="preserve">65,4 </w:t>
            </w:r>
            <w:r/>
          </w:p>
        </w:tc>
        <w:tc>
          <w:tcPr>
            <w:tcBorders/>
            <w:tcW w:w="2466" w:type="dxa"/>
            <w:vAlign w:val="center"/>
            <w:textDirection w:val="lrTb"/>
            <w:noWrap w:val="false"/>
          </w:tcPr>
          <w:p>
            <w:pPr>
              <w:pBdr/>
              <w:spacing/>
              <w:ind/>
              <w:jc w:val="center"/>
              <w:rPr/>
            </w:pPr>
            <w:r>
              <w:t xml:space="preserve">65,4 ✔</w:t>
            </w:r>
            <w:r/>
          </w:p>
        </w:tc>
        <w:tc>
          <w:tcPr>
            <w:tcBorders/>
            <w:tcW w:w="1371" w:type="dxa"/>
            <w:vAlign w:val="center"/>
            <w:textDirection w:val="lrTb"/>
            <w:noWrap w:val="false"/>
          </w:tcPr>
          <w:p>
            <w:pPr>
              <w:pBdr/>
              <w:spacing/>
              <w:ind/>
              <w:jc w:val="center"/>
              <w:rPr/>
            </w:pPr>
            <w:r>
              <w:t xml:space="preserve">0</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2297" w:type="dxa"/>
            <w:vAlign w:val="center"/>
            <w:textDirection w:val="lrTb"/>
            <w:noWrap w:val="false"/>
          </w:tcPr>
          <w:p>
            <w:pPr>
              <w:pBdr/>
              <w:spacing/>
              <w:ind/>
              <w:jc w:val="center"/>
              <w:rPr/>
            </w:pPr>
            <w:r>
              <w:t xml:space="preserve">Tiếp giáp 1 mặt tiền</w:t>
            </w:r>
            <w:r/>
          </w:p>
        </w:tc>
        <w:tc>
          <w:tcPr>
            <w:tcBorders/>
            <w:tcW w:w="2466"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2297" w:type="dxa"/>
            <w:vAlign w:val="center"/>
            <w:textDirection w:val="lrTb"/>
            <w:noWrap w:val="false"/>
          </w:tcPr>
          <w:p>
            <w:pPr>
              <w:pBdr/>
              <w:spacing/>
              <w:ind/>
              <w:jc w:val="center"/>
              <w:rPr/>
            </w:pPr>
            <w:r>
              <w:t xml:space="preserve">Hình chữ nhật</w:t>
            </w:r>
            <w:r/>
          </w:p>
        </w:tc>
        <w:tc>
          <w:tcPr>
            <w:tcBorders/>
            <w:tcW w:w="2466"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r>
        <w:trPr>
          <w:jc w:val="center"/>
        </w:trPr>
        <w:tc>
          <w:tcPr>
            <w:tcBorders/>
            <w:tcW w:w="594"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 ban công</w:t>
            </w:r>
            <w:r/>
          </w:p>
        </w:tc>
        <w:tc>
          <w:tcPr>
            <w:tcBorders/>
            <w:tcW w:w="2297" w:type="dxa"/>
            <w:vAlign w:val="center"/>
            <w:textDirection w:val="lrTb"/>
            <w:noWrap w:val="false"/>
          </w:tcPr>
          <w:p>
            <w:pPr>
              <w:pBdr/>
              <w:spacing/>
              <w:ind/>
              <w:jc w:val="center"/>
              <w:rPr/>
            </w:pPr>
            <w:r>
              <w:t xml:space="preserve">Đông Nam </w:t>
            </w:r>
            <w:r/>
          </w:p>
        </w:tc>
        <w:tc>
          <w:tcPr>
            <w:tcBorders/>
            <w:tcW w:w="2466"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Không</w:t>
            </w:r>
            <w:r/>
          </w:p>
        </w:tc>
        <w:tc>
          <w:tcPr>
            <w:tcBorders/>
            <w:tcW w:w="1617"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Ind w:w="-135" w:type="dxa"/>
        <w:tblW w:w="5115"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7022"/>
        <w:gridCol w:w="1170"/>
        <w:gridCol w:w="126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02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17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8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662"/>
        <w:gridCol w:w="1100"/>
        <w:gridCol w:w="144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0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44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662" w:type="dxa"/>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100" w:type="dxa"/>
            <w:vAlign w:val="center"/>
            <w:textDirection w:val="lrTb"/>
            <w:noWrap w:val="false"/>
          </w:tcPr>
          <w:p>
            <w:pPr>
              <w:widowControl w:val="false"/>
              <w:pBdr/>
              <w:spacing w:line="235" w:lineRule="auto"/>
              <w:ind w:left="144"/>
              <w:jc w:val="center"/>
              <w:rPr/>
            </w:pPr>
            <w:r>
              <w:t xml:space="preserve">Không</w:t>
            </w:r>
            <w:r/>
          </w:p>
        </w:tc>
        <w:tc>
          <w:tcPr>
            <w:tcBorders/>
            <w:tcW w:w="144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tabs>
          <w:tab w:val="left" w:leader="none" w:pos="993"/>
        </w:tabs>
        <w:spacing w:after="120" w:before="120" w:line="264" w:lineRule="auto"/>
        <w:ind w:firstLine="0" w:left="360"/>
        <w:jc w:val="both"/>
        <w:rPr>
          <w:lang w:val="pt-BR"/>
        </w:rPr>
      </w:pPr>
      <w:r>
        <w:rPr>
          <w:highlight w:val="none"/>
          <w:lang w:val="pt-BR" w:bidi="pt-BR"/>
        </w:rPr>
      </w:r>
      <w:r>
        <w:rPr>
          <w:highlight w:val="none"/>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2139"/>
        <w:gridCol w:w="1742"/>
        <w:gridCol w:w="1742"/>
        <w:gridCol w:w="1742"/>
        <w:gridCol w:w="1742"/>
      </w:tblGrid>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sz w:val="22"/>
                <w:szCs w:val="22"/>
              </w:rPr>
            </w:pPr>
            <w:r>
              <w:rPr>
                <w:color w:val="000000" w:themeColor="text1"/>
                <w:sz w:val="22"/>
                <w:szCs w:val="22"/>
              </w:rPr>
              <w:t xml:space="preserve">Phường Nhân Chính, Quận Thanh Xuân,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sz w:val="22"/>
                <w:szCs w:val="22"/>
              </w:rPr>
            </w:pPr>
            <w:r>
              <w:rPr>
                <w:color w:val="000000" w:themeColor="text1"/>
                <w:sz w:val="22"/>
                <w:szCs w:val="22"/>
              </w:rPr>
              <w:t xml:space="preserve">Phường Nhân Chính, Quận Thanh Xuân,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sz w:val="22"/>
                <w:szCs w:val="22"/>
              </w:rPr>
            </w:pPr>
            <w:r>
              <w:rPr>
                <w:color w:val="000000" w:themeColor="text1"/>
                <w:sz w:val="22"/>
                <w:szCs w:val="22"/>
              </w:rPr>
              <w:t xml:space="preserve">Phường Nhân Chính, Quận Thanh Xuân,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sz w:val="22"/>
                <w:szCs w:val="22"/>
              </w:rPr>
            </w:pPr>
            <w:r>
              <w:rPr>
                <w:color w:val="000000" w:themeColor="text1"/>
                <w:sz w:val="22"/>
                <w:szCs w:val="22"/>
              </w:rPr>
              <w:t xml:space="preserve">Phường Nhân Chính, Quận Thanh Xuân, Thành phố Hà Nội</w:t>
            </w:r>
            <w:r>
              <w:rPr>
                <w:sz w:val="22"/>
                <w:szCs w:val="22"/>
              </w:rPr>
            </w:r>
            <w:r>
              <w:rPr>
                <w:sz w:val="22"/>
                <w:szCs w:val="22"/>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sz w:val="22"/>
                <w:szCs w:val="22"/>
              </w:rPr>
            </w:pPr>
            <w:r>
              <w:rPr>
                <w:color w:val="000000" w:themeColor="text1"/>
                <w:sz w:val="22"/>
                <w:szCs w:val="22"/>
              </w:rPr>
              <w:t xml:space="preserve">0846.463586</w:t>
            </w:r>
            <w:r>
              <w:rPr>
                <w:sz w:val="22"/>
                <w:szCs w:val="22"/>
              </w:rPr>
              <w:t xml:space="preserve"> </w:t>
            </w:r>
            <w:r>
              <w:rPr>
                <w:sz w:val="22"/>
                <w:szCs w:val="22"/>
              </w:rPr>
              <w:br/>
              <w:t xml:space="preserve">(</w:t>
            </w:r>
            <w:r>
              <w:rPr>
                <w:sz w:val="22"/>
                <w:szCs w:val="22"/>
              </w:rPr>
              <w:t xml:space="preserve">Trà Giang</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sz w:val="22"/>
                <w:szCs w:val="22"/>
              </w:rPr>
            </w:pPr>
            <w:r>
              <w:rPr>
                <w:color w:val="000000" w:themeColor="text1"/>
                <w:sz w:val="22"/>
                <w:szCs w:val="22"/>
              </w:rPr>
              <w:t xml:space="preserve">0982.848546</w:t>
            </w:r>
            <w:r>
              <w:rPr>
                <w:sz w:val="22"/>
                <w:szCs w:val="22"/>
              </w:rPr>
              <w:br/>
            </w:r>
            <w:r>
              <w:rPr>
                <w:sz w:val="22"/>
                <w:szCs w:val="22"/>
              </w:rPr>
              <w:t xml:space="preserve">(</w:t>
            </w:r>
            <w:r>
              <w:rPr>
                <w:sz w:val="22"/>
                <w:szCs w:val="22"/>
              </w:rPr>
              <w:t xml:space="preserve">Đức Anh</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sz w:val="22"/>
                <w:szCs w:val="22"/>
              </w:rPr>
            </w:pPr>
            <w:r>
              <w:rPr>
                <w:color w:val="000000" w:themeColor="text1"/>
                <w:sz w:val="22"/>
                <w:szCs w:val="22"/>
              </w:rPr>
              <w:t xml:space="preserve">0975.993392</w:t>
            </w:r>
            <w:r>
              <w:rPr>
                <w:sz w:val="22"/>
                <w:szCs w:val="22"/>
              </w:rPr>
              <w:br/>
            </w:r>
            <w:r>
              <w:rPr>
                <w:sz w:val="22"/>
                <w:szCs w:val="22"/>
              </w:rPr>
              <w:t xml:space="preserve">(</w:t>
            </w:r>
            <w:r>
              <w:rPr>
                <w:sz w:val="22"/>
                <w:szCs w:val="22"/>
              </w:rPr>
              <w:t xml:space="preserve">Ngân</w:t>
            </w:r>
            <w:r>
              <w:rPr>
                <w:sz w:val="22"/>
                <w:szCs w:val="22"/>
              </w:rPr>
              <w:t xml:space="preserve">)</w:t>
            </w:r>
            <w:r>
              <w:rPr>
                <w:sz w:val="22"/>
                <w:szCs w:val="22"/>
              </w:rPr>
            </w:r>
            <w:r>
              <w:rPr>
                <w:sz w:val="22"/>
                <w:szCs w:val="22"/>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QSDĐ</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Loại hình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số 704 - Đơn nguyên 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số X04 - Đơn nguyên 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 Đơn nguyên 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số 504 - Đơn nguyên 2</w:t>
            </w:r>
            <w:r>
              <w:rPr>
                <w:rFonts w:ascii="Times New Roman" w:hAnsi="Times New Roman" w:eastAsia="Times New Roman" w:cs="Times New Roman"/>
                <w:sz w:val="24"/>
              </w:rPr>
            </w:r>
            <w:r>
              <w:rPr>
                <w:rFonts w:ascii="Times New Roman" w:hAnsi="Times New Roman" w:eastAsia="Times New Roman" w:cs="Times New Roman"/>
                <w:sz w:val="24"/>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Diện tích sử dụng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65,4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65,4</w:t>
            </w:r>
            <w:r>
              <w:rPr>
                <w:rFonts w:ascii="Times New Roman" w:hAnsi="Times New Roman" w:eastAsia="Times New Roman" w:cs="Times New Roman"/>
                <w:sz w:val="24"/>
              </w:r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65,4</w:t>
            </w:r>
            <w:r>
              <w:rPr>
                <w:rFonts w:ascii="Times New Roman" w:hAnsi="Times New Roman" w:eastAsia="Times New Roman" w:cs="Times New Roman"/>
                <w:sz w:val="24"/>
              </w:rPr>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Loại Căn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07/25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(10-15/25)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05/25</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Hướng ban công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Tây Nam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Đông Nam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Nam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Cấu trúc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val="0"/>
                <w:bCs w:val="0"/>
                <w:sz w:val="22"/>
                <w:szCs w:val="22"/>
              </w:rPr>
            </w:pPr>
            <w:r>
              <w:rPr>
                <w:rFonts w:ascii="Times New Roman" w:hAnsi="Times New Roman" w:eastAsia="Times New Roman" w:cs="Times New Roman"/>
                <w:b w:val="0"/>
                <w:bCs w:val="0"/>
                <w:color w:val="000000"/>
                <w:sz w:val="22"/>
                <w:szCs w:val="22"/>
              </w:rPr>
              <w:t xml:space="preserve">17</w:t>
            </w:r>
            <w:r>
              <w:rPr>
                <w:b w:val="0"/>
                <w:bCs w:val="0"/>
                <w:sz w:val="22"/>
                <w:szCs w:val="22"/>
              </w:rPr>
            </w:r>
            <w:r>
              <w:rPr>
                <w:b w:val="0"/>
                <w:bCs w:val="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Hướng ban công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spacing/>
              <w:ind/>
              <w:jc w:val="center"/>
              <w:rPr>
                <w:b w:val="0"/>
                <w:bCs w:val="0"/>
                <w:sz w:val="22"/>
                <w:szCs w:val="22"/>
              </w:rPr>
            </w:pPr>
            <w:r>
              <w:rPr>
                <w:b w:val="0"/>
                <w:bCs w:val="0"/>
                <w:sz w:val="22"/>
                <w:szCs w:val="22"/>
              </w:rPr>
              <w:t xml:space="preserve">18</w:t>
            </w:r>
            <w:r>
              <w:rPr>
                <w:b w:val="0"/>
                <w:bCs w:val="0"/>
                <w:sz w:val="22"/>
                <w:szCs w:val="22"/>
              </w:rPr>
            </w:r>
            <w:r>
              <w:rPr>
                <w:b w:val="0"/>
                <w:bCs w:val="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Hiện trạng môi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spacing/>
              <w:ind/>
              <w:jc w:val="center"/>
              <w:rPr>
                <w:b w:val="0"/>
                <w:bCs w:val="0"/>
                <w:sz w:val="22"/>
                <w:szCs w:val="22"/>
              </w:rPr>
            </w:pPr>
            <w:r>
              <w:rPr>
                <w:b w:val="0"/>
                <w:bCs w:val="0"/>
                <w:sz w:val="22"/>
                <w:szCs w:val="22"/>
              </w:rPr>
              <w:t xml:space="preserve">19</w:t>
            </w:r>
            <w:r>
              <w:rPr>
                <w:b w:val="0"/>
                <w:bCs w:val="0"/>
                <w:sz w:val="22"/>
                <w:szCs w:val="22"/>
              </w:rPr>
            </w:r>
            <w:r>
              <w:rPr>
                <w:b w:val="0"/>
                <w:bCs w:val="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spacing/>
              <w:ind/>
              <w:jc w:val="center"/>
              <w:rPr>
                <w:b w:val="0"/>
                <w:bCs w:val="0"/>
                <w:sz w:val="22"/>
                <w:szCs w:val="22"/>
              </w:rPr>
            </w:pPr>
            <w:r>
              <w:rPr>
                <w:b w:val="0"/>
                <w:bCs w:val="0"/>
                <w:sz w:val="22"/>
                <w:szCs w:val="22"/>
              </w:rPr>
              <w:t xml:space="preserve">20</w:t>
            </w:r>
            <w:r>
              <w:rPr>
                <w:b w:val="0"/>
                <w:bCs w:val="0"/>
                <w:sz w:val="22"/>
                <w:szCs w:val="22"/>
              </w:rPr>
            </w:r>
            <w:r>
              <w:rPr>
                <w:b w:val="0"/>
                <w:bCs w:val="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7.900.000.000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8.100.000.000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58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spacing/>
              <w:ind/>
              <w:jc w:val="center"/>
              <w:rPr>
                <w:b w:val="0"/>
                <w:bCs w:val="0"/>
                <w:sz w:val="22"/>
                <w:szCs w:val="22"/>
              </w:rPr>
            </w:pPr>
            <w:r>
              <w:rPr>
                <w:b w:val="0"/>
                <w:bCs w:val="0"/>
                <w:sz w:val="22"/>
                <w:szCs w:val="22"/>
              </w:rPr>
              <w:t xml:space="preserve">21</w:t>
            </w:r>
            <w:r>
              <w:rPr>
                <w:b w:val="0"/>
                <w:bCs w:val="0"/>
                <w:sz w:val="22"/>
                <w:szCs w:val="22"/>
              </w:rPr>
            </w:r>
            <w:r>
              <w:rPr>
                <w:b w:val="0"/>
                <w:bCs w:val="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7.110.000.000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7.290.000.000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val="0"/>
                <w:bCs w:val="0"/>
                <w:sz w:val="22"/>
                <w:szCs w:val="22"/>
              </w:rPr>
            </w:pPr>
            <w:r>
              <w:rPr>
                <w:rFonts w:ascii="Times New Roman" w:hAnsi="Times New Roman" w:eastAsia="Times New Roman" w:cs="Times New Roman"/>
                <w:b w:val="0"/>
                <w:bCs w:val="0"/>
                <w:color w:val="000000"/>
                <w:sz w:val="22"/>
                <w:szCs w:val="22"/>
              </w:rPr>
              <w:t xml:space="preserve">22</w:t>
            </w:r>
            <w:r>
              <w:rPr>
                <w:b w:val="0"/>
                <w:bCs w:val="0"/>
                <w:sz w:val="22"/>
                <w:szCs w:val="22"/>
              </w:rPr>
            </w:r>
            <w:r>
              <w:rPr>
                <w:b w:val="0"/>
                <w:bCs w:val="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108.715.596</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111.467.890</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103.211.009</w:t>
            </w:r>
            <w:r>
              <w:rPr>
                <w:b/>
                <w:bCs/>
                <w:color w:val="000000"/>
                <w:sz w:val="22"/>
                <w:szCs w:val="22"/>
              </w:rPr>
            </w:r>
            <w:r>
              <w:rPr>
                <w:b/>
                <w:bCs/>
                <w:color w:val="000000"/>
                <w:sz w:val="22"/>
                <w:szCs w:val="22"/>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color w:val="000000"/>
                <w:sz w:val="22"/>
              </w:r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Tâng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5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613"/>
        <w:gridCol w:w="1615"/>
        <w:gridCol w:w="1611"/>
        <w:gridCol w:w="1613"/>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11"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7.110.000.000</w:t>
            </w:r>
            <w:r>
              <w:rPr>
                <w:b/>
                <w:bCs/>
                <w:color w:val="000000"/>
                <w:sz w:val="20"/>
                <w:szCs w:val="20"/>
              </w:rPr>
            </w:r>
            <w:r>
              <w:rPr>
                <w:b/>
                <w:bCs/>
                <w:color w:val="000000"/>
                <w:sz w:val="20"/>
                <w:szCs w:val="20"/>
              </w:rPr>
            </w:r>
          </w:p>
        </w:tc>
        <w:tc>
          <w:tcPr>
            <w:shd w:val="clear" w:color="000000" w:fill="ffffff"/>
            <w:tcBorders/>
            <w:tcW w:w="1611"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7.290.000.000</w:t>
            </w:r>
            <w:r>
              <w:rPr>
                <w:b/>
                <w:bCs/>
                <w:color w:val="000000"/>
                <w:sz w:val="20"/>
                <w:szCs w:val="20"/>
              </w:rPr>
            </w:r>
            <w:r>
              <w:rPr>
                <w:b/>
                <w:bCs/>
                <w:color w:val="000000"/>
                <w:sz w:val="20"/>
                <w:szCs w:val="20"/>
              </w:rPr>
            </w:r>
          </w:p>
        </w:tc>
        <w:tc>
          <w:tcPr>
            <w:shd w:val="clear" w:color="000000" w:fill="ffffff"/>
            <w:tcBorders/>
            <w:tcW w:w="1613"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6.750.000.000</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108.715.596</w:t>
            </w:r>
            <w:r>
              <w:rPr>
                <w:b/>
                <w:bCs/>
                <w:color w:val="000000"/>
                <w:sz w:val="22"/>
                <w:szCs w:val="22"/>
              </w:rPr>
            </w:r>
            <w:r>
              <w:rPr>
                <w:b/>
                <w:bCs/>
                <w:color w:val="000000"/>
                <w:sz w:val="22"/>
                <w:szCs w:val="22"/>
              </w:rPr>
            </w:r>
          </w:p>
        </w:tc>
        <w:tc>
          <w:tcPr>
            <w:shd w:val="clear" w:color="000000" w:fill="ffffff"/>
            <w:tcBorders/>
            <w:tcW w:w="161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111.467.890</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103.211.009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1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108.715.596</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111.467.890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103.211.009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số 704 - Đơn nguyên 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số X04 - Đơn nguyên 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 Đơn nguyên 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số 504 - Đơn nguyên 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108.715.596</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111.467.890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103.211.009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sử dụng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65,4</w:t>
            </w:r>
            <w:r>
              <w:rPr>
                <w:b/>
                <w:bCs/>
                <w:color w:val="000000"/>
                <w:sz w:val="22"/>
                <w:szCs w:val="22"/>
              </w:rPr>
            </w:r>
            <w:r>
              <w:rPr>
                <w:b/>
                <w:bCs/>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2"/>
                <w:szCs w:val="22"/>
              </w:rPr>
            </w:pPr>
            <w:r>
              <w:rPr>
                <w:color w:val="000000" w:themeColor="text1"/>
                <w:sz w:val="22"/>
                <w:szCs w:val="22"/>
              </w:rPr>
              <w:t xml:space="preserve">65,4</w:t>
            </w:r>
            <w:r>
              <w:rPr>
                <w:b/>
                <w:bCs/>
                <w:color w:val="000000"/>
                <w:sz w:val="22"/>
                <w:szCs w:val="22"/>
              </w:rPr>
            </w:r>
            <w:r>
              <w:rPr>
                <w:b/>
                <w:bCs/>
                <w:color w:val="000000"/>
                <w:sz w:val="22"/>
                <w:szCs w:val="22"/>
              </w:rPr>
            </w:r>
          </w:p>
        </w:tc>
        <w:tc>
          <w:tcPr>
            <w:shd w:val="clear" w:color="000000" w:fill="ffffff"/>
            <w:tcBorders/>
            <w:tcW w:w="1611" w:type="dxa"/>
            <w:vAlign w:val="center"/>
            <w:textDirection w:val="lrTb"/>
            <w:noWrap w:val="false"/>
          </w:tcPr>
          <w:p>
            <w:pPr>
              <w:pBdr/>
              <w:spacing/>
              <w:ind/>
              <w:jc w:val="center"/>
              <w:rPr>
                <w:b/>
                <w:bCs/>
                <w:color w:val="000000"/>
                <w:sz w:val="22"/>
                <w:szCs w:val="22"/>
              </w:rPr>
            </w:pPr>
            <w:r>
              <w:rPr>
                <w:color w:val="000000" w:themeColor="text1"/>
                <w:sz w:val="22"/>
                <w:szCs w:val="22"/>
              </w:rPr>
              <w:t xml:space="preserve">65,4</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65,4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108.715.596</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111.467.890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103.211.009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07/25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trung (12)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trung (10-15/25)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05/25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611"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-11.958.716</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-12.261.468</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2.064.220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color w:val="000000"/>
                <w:sz w:val="22"/>
                <w:szCs w:val="22"/>
              </w:rPr>
            </w:pPr>
            <w:r>
              <w:rPr>
                <w:color w:val="000000" w:themeColor="text1"/>
                <w:sz w:val="22"/>
                <w:szCs w:val="22"/>
              </w:rPr>
              <w:t xml:space="preserve">96.756.880</w:t>
            </w:r>
            <w:r>
              <w:rPr>
                <w:color w:val="000000"/>
                <w:sz w:val="22"/>
                <w:szCs w:val="22"/>
              </w:rPr>
            </w:r>
            <w:r>
              <w:rPr>
                <w:color w:val="000000"/>
                <w:sz w:val="22"/>
                <w:szCs w:val="22"/>
              </w:rPr>
            </w:r>
          </w:p>
        </w:tc>
        <w:tc>
          <w:tcPr>
            <w:shd w:val="clear" w:color="000000" w:fill="ffffff"/>
            <w:tcBorders/>
            <w:tcW w:w="1611" w:type="dxa"/>
            <w:vAlign w:val="center"/>
            <w:textDirection w:val="lrTb"/>
            <w:noWrap/>
          </w:tcPr>
          <w:p>
            <w:pPr>
              <w:pBdr/>
              <w:spacing/>
              <w:ind/>
              <w:jc w:val="center"/>
              <w:rPr>
                <w:color w:val="000000"/>
                <w:sz w:val="22"/>
                <w:szCs w:val="22"/>
              </w:rPr>
            </w:pPr>
            <w:r>
              <w:rPr>
                <w:color w:val="000000" w:themeColor="text1"/>
                <w:sz w:val="22"/>
                <w:szCs w:val="22"/>
              </w:rPr>
              <w:t xml:space="preserve">99.206.422</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105.275.229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96.756.880</w:t>
            </w:r>
            <w:r>
              <w:rPr>
                <w:b/>
                <w:bCs/>
                <w:color w:val="000000"/>
                <w:sz w:val="22"/>
                <w:szCs w:val="22"/>
              </w:rPr>
            </w:r>
            <w:r>
              <w:rPr>
                <w:b/>
                <w:bCs/>
                <w:color w:val="000000"/>
                <w:sz w:val="22"/>
                <w:szCs w:val="22"/>
              </w:rPr>
            </w:r>
          </w:p>
        </w:tc>
        <w:tc>
          <w:tcPr>
            <w:shd w:val="clear" w:color="000000" w:fill="ffffff"/>
            <w:tcBorders/>
            <w:tcW w:w="161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99.206.422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105.275.229</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100.412.844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color w:val="000000"/>
                <w:sz w:val="22"/>
                <w:szCs w:val="22"/>
              </w:rPr>
            </w:pPr>
            <w:r>
              <w:rPr>
                <w:color w:val="000000" w:themeColor="text1"/>
                <w:sz w:val="22"/>
                <w:szCs w:val="22"/>
              </w:rPr>
              <w:t xml:space="preserve">-3.64%</w:t>
            </w:r>
            <w:r>
              <w:rPr>
                <w:color w:val="000000"/>
                <w:sz w:val="22"/>
                <w:szCs w:val="22"/>
              </w:rPr>
            </w:r>
            <w:r>
              <w:rPr>
                <w:color w:val="000000"/>
                <w:sz w:val="22"/>
                <w:szCs w:val="22"/>
              </w:rPr>
            </w:r>
          </w:p>
        </w:tc>
        <w:tc>
          <w:tcPr>
            <w:shd w:val="clear" w:color="000000" w:fill="ffffff"/>
            <w:tcBorders/>
            <w:tcW w:w="1611"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4.84%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389"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val="false"/>
          </w:tcPr>
          <w:p>
            <w:pPr>
              <w:pBdr/>
              <w:spacing/>
              <w:ind/>
              <w:jc w:val="center"/>
              <w:rPr>
                <w:b/>
                <w:bCs/>
                <w:color w:val="000000"/>
                <w:sz w:val="22"/>
                <w:szCs w:val="22"/>
              </w:rPr>
            </w:pPr>
            <w:r>
              <w:rPr>
                <w:color w:val="000000" w:themeColor="text1"/>
                <w:sz w:val="22"/>
                <w:szCs w:val="22"/>
              </w:rPr>
              <w:t xml:space="preserve">11.958.716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1" w:type="dxa"/>
            <w:vAlign w:val="center"/>
            <w:textDirection w:val="lrTb"/>
            <w:noWrap w:val="false"/>
          </w:tcPr>
          <w:p>
            <w:pPr>
              <w:pBdr/>
              <w:spacing/>
              <w:ind/>
              <w:jc w:val="center"/>
              <w:rPr>
                <w:b/>
                <w:bCs/>
                <w:color w:val="000000"/>
                <w:sz w:val="22"/>
                <w:szCs w:val="22"/>
              </w:rPr>
            </w:pPr>
            <w:r>
              <w:rPr>
                <w:color w:val="000000" w:themeColor="text1"/>
                <w:sz w:val="22"/>
                <w:szCs w:val="22"/>
              </w:rPr>
              <w:t xml:space="preserve">12.261.468</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2.064.220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611"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sz w:val="22"/>
                <w:szCs w:val="22"/>
              </w:rPr>
            </w:pPr>
            <w:r>
              <w:rPr>
                <w:color w:val="000000" w:themeColor="text1"/>
                <w:sz w:val="22"/>
                <w:szCs w:val="22"/>
              </w:rPr>
              <w:t xml:space="preserve">0% - 11%</w:t>
            </w:r>
            <w:r>
              <w:rPr>
                <w:sz w:val="22"/>
                <w:szCs w:val="22"/>
              </w:rPr>
            </w:r>
            <w:r>
              <w:rPr>
                <w:sz w:val="22"/>
                <w:szCs w:val="22"/>
              </w:rPr>
            </w:r>
          </w:p>
        </w:tc>
        <w:tc>
          <w:tcPr>
            <w:shd w:val="clear" w:color="000000" w:fill="ffffff"/>
            <w:tcBorders/>
            <w:tcW w:w="1611" w:type="dxa"/>
            <w:vAlign w:val="center"/>
            <w:textDirection w:val="lrTb"/>
            <w:noWrap/>
          </w:tcPr>
          <w:p>
            <w:pPr>
              <w:pBdr/>
              <w:spacing/>
              <w:ind/>
              <w:jc w:val="center"/>
              <w:rPr>
                <w:sz w:val="22"/>
                <w:szCs w:val="22"/>
              </w:rPr>
            </w:pPr>
            <w:r>
              <w:rPr>
                <w:color w:val="000000" w:themeColor="text1"/>
                <w:sz w:val="22"/>
                <w:szCs w:val="22"/>
              </w:rPr>
              <w:t xml:space="preserve">0% - 11%</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5" w:type="dxa"/>
            <w:vAlign w:val="center"/>
            <w:textDirection w:val="lrTb"/>
            <w:noWrap/>
          </w:tcPr>
          <w:p>
            <w:pPr>
              <w:pBdr/>
              <w:spacing/>
              <w:ind/>
              <w:jc w:val="center"/>
              <w:rPr>
                <w:sz w:val="22"/>
                <w:szCs w:val="22"/>
              </w:rPr>
            </w:pPr>
            <w:r>
              <w:rPr>
                <w:color w:val="000000" w:themeColor="text1"/>
                <w:sz w:val="22"/>
                <w:szCs w:val="22"/>
              </w:rPr>
              <w:t xml:space="preserve">11.958.716</w:t>
            </w:r>
            <w:r>
              <w:rPr>
                <w:sz w:val="22"/>
                <w:szCs w:val="22"/>
              </w:rPr>
            </w:r>
            <w:r>
              <w:rPr>
                <w:sz w:val="22"/>
                <w:szCs w:val="22"/>
              </w:rPr>
            </w:r>
          </w:p>
        </w:tc>
        <w:tc>
          <w:tcPr>
            <w:shd w:val="clear" w:color="000000" w:fill="ffffff"/>
            <w:tcBorders/>
            <w:tcW w:w="1611" w:type="dxa"/>
            <w:vAlign w:val="center"/>
            <w:textDirection w:val="lrTb"/>
            <w:noWrap/>
          </w:tcPr>
          <w:p>
            <w:pPr>
              <w:pBdr/>
              <w:spacing/>
              <w:ind/>
              <w:jc w:val="center"/>
              <w:rPr>
                <w:sz w:val="22"/>
                <w:szCs w:val="22"/>
              </w:rPr>
            </w:pPr>
            <w:r>
              <w:rPr>
                <w:color w:val="000000" w:themeColor="text1"/>
                <w:sz w:val="22"/>
                <w:szCs w:val="22"/>
              </w:rPr>
              <w:t xml:space="preserve">12.261.468</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2.064.220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-3.64</w:t>
      </w:r>
      <w:r>
        <w:t xml:space="preserve">% </w:t>
      </w:r>
      <w:r>
        <w:t xml:space="preserve">đến</w:t>
      </w:r>
      <w:r>
        <w:t xml:space="preserve"> </w:t>
      </w:r>
      <w:r>
        <w:t xml:space="preserve"> </w:t>
      </w:r>
      <w:r>
        <w:t xml:space="preserve">4.84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Ind w:w="-162" w:type="dxa"/>
        <w:tblW w:w="5055" w:type="pct"/>
        <w:tblBorders/>
        <w:tblLayout w:type="fixed"/>
        <w:tblLook w:val="04A0" w:firstRow="1" w:lastRow="0" w:firstColumn="1" w:lastColumn="0" w:noHBand="0" w:noVBand="1"/>
      </w:tblPr>
      <w:tblGrid>
        <w:gridCol w:w="648"/>
        <w:gridCol w:w="1890"/>
        <w:gridCol w:w="1890"/>
        <w:gridCol w:w="2340"/>
        <w:gridCol w:w="315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96.756.880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33.864.908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99.206.422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34.722.248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105.275.229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31.582.569</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100.169.725</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100.000.000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100.000.000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Pr>
          <w:highlight w:val="none"/>
        </w:rPr>
      </w:r>
      <w:r>
        <w:rPr>
          <w:highlight w:val="none"/>
        </w:rPr>
      </w:r>
      <w:r/>
    </w:p>
    <w:tbl>
      <w:tblPr>
        <w:tblInd w:w="-125" w:type="dxa"/>
        <w:tblW w:w="503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67"/>
        <w:gridCol w:w="1965"/>
        <w:gridCol w:w="2808"/>
        <w:gridCol w:w="2225"/>
        <w:gridCol w:w="2206"/>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90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280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 sử dụng</w:t>
            </w:r>
            <w:r>
              <w:rPr>
                <w:b/>
                <w:bCs/>
              </w:rPr>
              <w:t xml:space="preserve"> (m²)</w:t>
            </w:r>
            <w:r>
              <w:rPr>
                <w:b/>
                <w:bCs/>
              </w:rPr>
            </w:r>
            <w:r>
              <w:rPr>
                <w:b/>
                <w:bCs/>
              </w:rPr>
            </w:r>
          </w:p>
        </w:tc>
        <w:tc>
          <w:tcPr>
            <w:shd w:val="clear" w:color="000000" w:fill="ffffff"/>
            <w:tcBorders/>
            <w:tcW w:w="216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42"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98"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sở hữu căn hộ chung </w:t>
            </w:r>
            <w:r>
              <w:rPr>
                <w:b/>
                <w:bCs/>
                <w:color w:val="000000"/>
              </w:rPr>
              <w:t xml:space="preserve">cư số 704 - Đơn nguyên 2 tại thửa đất số: 03, tờ bản đồ số: 84 có địa chỉ: Chung cư 3.10HH-NO, Khu hỗn hợp văn phòng cho thuê và nhà ở, lô đất 3.10-NO Lê Văn Lương, phường Nhân Chính, quận Thanh Xuân, thành phố Hà Nội (</w:t>
            </w:r>
            <w:r>
              <w:rPr>
                <w:b/>
                <w:bCs/>
                <w:i/>
                <w:iCs/>
                <w:color w:val="000000"/>
              </w:rPr>
              <w:t xml:space="preserve">nay là phường Thanh Xuân, thành phố H</w:t>
            </w:r>
            <w:r>
              <w:rPr>
                <w:b/>
                <w:bCs/>
                <w:i/>
                <w:iCs/>
                <w:color w:val="000000"/>
              </w:rPr>
              <w:t xml:space="preserve">à Nội</w:t>
            </w:r>
            <w:r>
              <w:rPr>
                <w:b/>
                <w:bCs/>
                <w:color w:val="000000"/>
              </w:rPr>
              <w:t xml:space="preserve">) theo Giấy chứng nhận Quyền sử dụng đất, quyền sở hữu nhà ở và tài sản khác gắn liền với đất số: DO 347023, số vào sổ cấp GCN: VP 00239 do Văn phòng Đăng ký đất đai Hà Nội cấp ngày 10/01/2024; Chủ tài sản là ông Nguyễn Văn Thuỳ và bà Nguyễn Thị Thuỷ</w:t>
            </w:r>
            <w:r>
              <w:rPr>
                <w:b/>
                <w:bCs/>
              </w:rPr>
              <w:t xml:space="preserve">.</w:t>
            </w:r>
            <w:r>
              <w:rPr>
                <w:b/>
                <w:bCs/>
              </w:rPr>
            </w:r>
            <w:r>
              <w:rPr>
                <w:b/>
                <w:bCs/>
              </w:rPr>
            </w:r>
          </w:p>
        </w:tc>
        <w:tc>
          <w:tcPr>
            <w:shd w:val="clear" w:color="000000" w:fill="ffffff"/>
            <w:tcBorders/>
            <w:tcW w:w="214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90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2808" w:type="dxa"/>
            <w:vAlign w:val="center"/>
            <w:textDirection w:val="lrTb"/>
            <w:noWrap/>
          </w:tcPr>
          <w:p>
            <w:pPr>
              <w:pBdr/>
              <w:spacing w:after="40" w:before="40" w:line="288" w:lineRule="auto"/>
              <w:ind/>
              <w:jc w:val="center"/>
              <w:rPr>
                <w:color w:val="000000"/>
              </w:rPr>
            </w:pPr>
            <w:r>
              <w:rPr>
                <w:color w:val="000000" w:themeColor="text1"/>
              </w:rPr>
              <w:t xml:space="preserve">65,4</w:t>
            </w:r>
            <w:r>
              <w:rPr>
                <w:color w:val="000000"/>
              </w:rPr>
            </w:r>
            <w:r>
              <w:rPr>
                <w:color w:val="000000"/>
              </w:rPr>
            </w:r>
          </w:p>
        </w:tc>
        <w:tc>
          <w:tcPr>
            <w:shd w:val="clear" w:color="000000" w:fill="ffffff"/>
            <w:tcBorders/>
            <w:tcW w:w="2160" w:type="dxa"/>
            <w:vAlign w:val="center"/>
            <w:textDirection w:val="lrTb"/>
            <w:noWrap w:val="false"/>
          </w:tcPr>
          <w:p>
            <w:pPr>
              <w:pBdr/>
              <w:spacing w:after="40" w:before="40" w:line="288" w:lineRule="auto"/>
              <w:ind/>
              <w:jc w:val="center"/>
              <w:rPr/>
            </w:pPr>
            <w:r>
              <w:rPr>
                <w:color w:val="000000" w:themeColor="text1"/>
              </w:rPr>
              <w:t xml:space="preserve">100.000.000</w:t>
            </w:r>
            <w:r/>
          </w:p>
        </w:tc>
        <w:tc>
          <w:tcPr>
            <w:shd w:val="clear" w:color="000000" w:fill="ffffff"/>
            <w:tcBorders/>
            <w:tcW w:w="2142" w:type="dxa"/>
            <w:vAlign w:val="center"/>
            <w:textDirection w:val="lrTb"/>
            <w:noWrap w:val="false"/>
          </w:tcPr>
          <w:p>
            <w:pPr>
              <w:pBdr/>
              <w:spacing w:after="40" w:before="40" w:line="288" w:lineRule="auto"/>
              <w:ind/>
              <w:jc w:val="right"/>
              <w:rPr/>
            </w:pPr>
            <w:r>
              <w:rPr>
                <w:color w:val="000000" w:themeColor="text1"/>
              </w:rPr>
              <w:t xml:space="preserve">6.540.000.000</w:t>
            </w:r>
            <w:r/>
          </w:p>
        </w:tc>
      </w:tr>
      <w:tr>
        <w:trPr>
          <w:trHeight w:val="20"/>
        </w:trPr>
        <w:tc>
          <w:tcPr>
            <w:gridSpan w:val="4"/>
            <w:tcBorders/>
            <w:tcW w:w="766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42" w:type="dxa"/>
            <w:vAlign w:val="center"/>
            <w:textDirection w:val="lrTb"/>
            <w:noWrap/>
          </w:tcPr>
          <w:p>
            <w:pPr>
              <w:pBdr/>
              <w:spacing w:after="40" w:before="40" w:line="288" w:lineRule="auto"/>
              <w:ind/>
              <w:jc w:val="right"/>
              <w:rPr>
                <w:b/>
                <w:bCs/>
                <w:color w:val="000000"/>
              </w:rPr>
            </w:pPr>
            <w:r>
              <w:rPr>
                <w:b/>
                <w:bCs/>
              </w:rPr>
              <w:t xml:space="preserve">6.540.000.000</w:t>
            </w:r>
            <w:r>
              <w:rPr>
                <w:b/>
                <w:bCs/>
                <w:color w:val="000000"/>
              </w:rPr>
            </w:r>
            <w:r>
              <w:rPr>
                <w:b/>
                <w:bCs/>
                <w:color w:val="000000"/>
              </w:rPr>
            </w:r>
          </w:p>
        </w:tc>
      </w:tr>
      <w:tr>
        <w:trPr>
          <w:trHeight w:val="20"/>
        </w:trPr>
        <w:tc>
          <w:tcPr>
            <w:gridSpan w:val="4"/>
            <w:tcBorders/>
            <w:tcW w:w="766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42" w:type="dxa"/>
            <w:vAlign w:val="center"/>
            <w:textDirection w:val="lrTb"/>
            <w:noWrap/>
          </w:tcPr>
          <w:p>
            <w:pPr>
              <w:pBdr/>
              <w:spacing w:after="40" w:before="40" w:line="288" w:lineRule="auto"/>
              <w:ind/>
              <w:jc w:val="right"/>
              <w:rPr>
                <w:b/>
                <w:bCs/>
                <w:color w:val="000000"/>
              </w:rPr>
            </w:pPr>
            <w:r>
              <w:rPr>
                <w:b/>
                <w:bCs/>
                <w:color w:val="000000"/>
              </w:rPr>
              <w:t xml:space="preserve">6.540.000.000</w:t>
            </w:r>
            <w:r>
              <w:rPr>
                <w:b/>
                <w:bCs/>
                <w:color w:val="000000"/>
              </w:rPr>
            </w:r>
            <w:r>
              <w:rPr>
                <w:b/>
                <w:bCs/>
                <w:color w:val="000000"/>
              </w:rPr>
            </w:r>
          </w:p>
        </w:tc>
      </w:tr>
      <w:tr>
        <w:trPr>
          <w:trHeight w:val="20"/>
        </w:trPr>
        <w:tc>
          <w:tcPr>
            <w:gridSpan w:val="5"/>
            <w:tcBorders/>
            <w:tcW w:w="987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năm trăm bốn mươi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5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52"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5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52"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52"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52"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52"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52"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52"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52"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5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52"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5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5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52"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52"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52"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52"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52"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5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5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52"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52"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5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52"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52"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275/2026/0186/VFI-CT.17.A</w:t>
      </w:r>
      <w:r>
        <w:rPr>
          <w:color w:val="ff0000"/>
          <w:lang w:val="vi-VN"/>
        </w:rPr>
        <w:t xml:space="preserve"> </w:t>
      </w:r>
      <w:r>
        <w:rPr>
          <w:color w:val="000000" w:themeColor="text1"/>
        </w:rPr>
        <w:t xml:space="preserve">ngày 23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009" w:type="pct"/>
        <w:tblBorders/>
        <w:tblLayout w:type="fixed"/>
        <w:tblLook w:val="01E0" w:firstRow="1" w:lastRow="1" w:firstColumn="1" w:lastColumn="1" w:noHBand="0" w:noVBand="0"/>
      </w:tblPr>
      <w:tblGrid>
        <w:gridCol w:w="4428"/>
        <w:gridCol w:w="5400"/>
      </w:tblGrid>
      <w:tr>
        <w:trPr>
          <w:trHeight w:val="20"/>
        </w:trPr>
        <w:tc>
          <w:tcPr>
            <w:tcBorders/>
            <w:tcW w:w="442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40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40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40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u w:val="single"/>
          <w:lang w:val="vi-VN"/>
        </w:rPr>
      </w:pPr>
      <w:r>
        <w:rPr>
          <w:b/>
          <w:bCs/>
          <w:u w:val="single"/>
          <w:lang w:val="vi-VN"/>
        </w:rPr>
      </w:r>
      <w:r>
        <w:rPr>
          <w:b/>
          <w:bCs/>
          <w:u w:val="single"/>
          <w:lang w:val="vi-VN"/>
        </w:rPr>
      </w:r>
      <w:r>
        <w:rPr>
          <w:b/>
          <w:bCs/>
          <w:u w:val="single"/>
          <w:lang w:val="vi-VN"/>
        </w:rPr>
      </w:r>
    </w:p>
    <w:p>
      <w:pPr>
        <w:pBdr/>
        <w:spacing w:after="200" w:line="276" w:lineRule="auto"/>
        <w:ind/>
        <w:jc w:val="center"/>
        <w:rPr>
          <w:b/>
          <w:bCs/>
          <w:u w:val="single"/>
          <w:lang w:val="vi-VN"/>
        </w:rPr>
      </w:pPr>
      <w:r>
        <w:rPr>
          <w:b/>
          <w:u w:val="single"/>
          <w:lang w:val="vi-VN"/>
        </w:rPr>
      </w:r>
      <w:r>
        <w:rPr>
          <w:b/>
          <w:bCs/>
          <w:u w:val="single"/>
          <w:lang w:val="vi-VN"/>
        </w:rPr>
      </w:r>
      <w:r>
        <w:rPr>
          <w:b/>
          <w:bCs/>
          <w:u w:val="single"/>
          <w:lang w:val="vi-VN"/>
        </w:rPr>
      </w:r>
    </w:p>
    <w:p>
      <w:pPr>
        <w:pBdr/>
        <w:spacing w:after="200" w:line="276" w:lineRule="auto"/>
        <w:ind/>
        <w:jc w:val="left"/>
        <w:rPr>
          <w:b/>
          <w:bCs/>
          <w:sz w:val="6"/>
          <w:szCs w:val="6"/>
          <w:u w:val="single"/>
          <w:lang w:val="vi-VN"/>
        </w:rPr>
      </w:pPr>
      <w:r>
        <w:rPr>
          <w:b/>
          <w:sz w:val="6"/>
          <w:szCs w:val="6"/>
          <w:u w:val="single"/>
          <w:lang w:val="vi-VN"/>
        </w:rPr>
      </w:r>
      <w:r>
        <w:rPr>
          <w:b/>
          <w:bCs/>
          <w:sz w:val="6"/>
          <w:szCs w:val="6"/>
          <w:u w:val="single"/>
          <w:lang w:val="vi-VN"/>
        </w:rPr>
      </w:r>
      <w:r>
        <w:rPr>
          <w:b/>
          <w:bCs/>
          <w:sz w:val="6"/>
          <w:szCs w:val="6"/>
          <w:u w:val="single"/>
          <w:lang w:val="vi-VN"/>
        </w:rPr>
      </w:r>
    </w:p>
    <w:tbl>
      <w:tblPr>
        <w:tblW w:w="4806" w:type="pct"/>
        <w:tblBorders/>
        <w:tblLook w:val="01E0" w:firstRow="1" w:lastRow="1" w:firstColumn="1" w:lastColumn="1" w:noHBand="0" w:noVBand="0"/>
      </w:tblPr>
      <w:tblGrid>
        <w:gridCol w:w="4816"/>
      </w:tblGrid>
      <w:tr>
        <w:trPr>
          <w:trHeight w:val="20"/>
        </w:trPr>
        <w:tc>
          <w:tcPr>
            <w:tcBorders/>
            <w:tcW w:w="4816"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816"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r>
      <w:tr>
        <w:trPr>
          <w:trHeight w:val="20"/>
        </w:trPr>
        <w:tc>
          <w:tcPr>
            <w:tcBorders/>
            <w:tcW w:w="4816"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275/2026/0186/VFI-BC.17.A</w:t>
      </w:r>
      <w:r>
        <w:rPr>
          <w:i/>
          <w:lang w:val="pt-BR"/>
        </w:rPr>
        <w:t xml:space="preserve"> ngày </w:t>
      </w:r>
      <w:r>
        <w:rPr>
          <w:i/>
          <w:lang w:val="pt-BR"/>
        </w:rPr>
        <w:t xml:space="preserve">23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1100" cy="36123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95074" name=""/>
                              <pic:cNvPicPr>
                                <a:picLocks noChangeAspect="1"/>
                              </pic:cNvPicPr>
                              <pic:nvPr/>
                            </pic:nvPicPr>
                            <pic:blipFill rotWithShape="1">
                              <a:blip r:embed="rId18"/>
                              <a:srcRect l="0" t="14399" r="0" b="10843"/>
                              <a:stretch/>
                            </pic:blipFill>
                            <pic:spPr bwMode="auto">
                              <a:xfrm flipH="0" flipV="0">
                                <a:off x="0" y="0"/>
                                <a:ext cx="2511100" cy="36123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7.72pt;height:284.44pt;mso-wrap-distance-left:0.00pt;mso-wrap-distance-top:0.00pt;mso-wrap-distance-right:0.00pt;mso-wrap-distance-bottom:0.00pt;z-index:1;" stroked="false">
                      <v:imagedata r:id="rId18" o:title="" croptop="9437f" cropleft="0f" cropbottom="7106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89160" cy="35266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18240" name=""/>
                              <pic:cNvPicPr>
                                <a:picLocks noChangeAspect="1"/>
                              </pic:cNvPicPr>
                              <pic:nvPr/>
                            </pic:nvPicPr>
                            <pic:blipFill rotWithShape="1">
                              <a:blip r:embed="rId19"/>
                              <a:stretch/>
                            </pic:blipFill>
                            <pic:spPr bwMode="auto">
                              <a:xfrm flipH="0" flipV="0">
                                <a:off x="0" y="0"/>
                                <a:ext cx="2489159" cy="3526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6.00pt;height:277.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6839" cy="188012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78106" name=""/>
                              <pic:cNvPicPr>
                                <a:picLocks noChangeAspect="1"/>
                              </pic:cNvPicPr>
                              <pic:nvPr/>
                            </pic:nvPicPr>
                            <pic:blipFill rotWithShape="1">
                              <a:blip r:embed="rId20"/>
                              <a:stretch/>
                            </pic:blipFill>
                            <pic:spPr bwMode="auto">
                              <a:xfrm flipH="0" flipV="0">
                                <a:off x="0" y="0"/>
                                <a:ext cx="2506838" cy="18801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7.39pt;height:148.0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0969" cy="194322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34806" name=""/>
                              <pic:cNvPicPr>
                                <a:picLocks noChangeAspect="1"/>
                              </pic:cNvPicPr>
                              <pic:nvPr/>
                            </pic:nvPicPr>
                            <pic:blipFill rotWithShape="1">
                              <a:blip r:embed="rId21"/>
                              <a:stretch/>
                            </pic:blipFill>
                            <pic:spPr bwMode="auto">
                              <a:xfrm flipH="0" flipV="0">
                                <a:off x="0" y="0"/>
                                <a:ext cx="2590968" cy="19432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4.01pt;height:153.0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1065" cy="183060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34239" name=""/>
                              <pic:cNvPicPr>
                                <a:picLocks noChangeAspect="1"/>
                              </pic:cNvPicPr>
                              <pic:nvPr/>
                            </pic:nvPicPr>
                            <pic:blipFill rotWithShape="1">
                              <a:blip r:embed="rId22"/>
                              <a:stretch/>
                            </pic:blipFill>
                            <pic:spPr bwMode="auto">
                              <a:xfrm flipH="0" flipV="0">
                                <a:off x="0" y="0"/>
                                <a:ext cx="2531064" cy="18306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30pt;height:144.1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83954" cy="178298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49284" name=""/>
                              <pic:cNvPicPr>
                                <a:picLocks noChangeAspect="1"/>
                              </pic:cNvPicPr>
                              <pic:nvPr/>
                            </pic:nvPicPr>
                            <pic:blipFill rotWithShape="1">
                              <a:blip r:embed="rId23"/>
                              <a:stretch/>
                            </pic:blipFill>
                            <pic:spPr bwMode="auto">
                              <a:xfrm flipH="0" flipV="0">
                                <a:off x="0" y="0"/>
                                <a:ext cx="2483954" cy="17829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59pt;height:140.3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275/2026/0186/VFI-BC.17.A</w:t>
      </w:r>
      <w:r>
        <w:rPr>
          <w:i/>
          <w:lang w:val="pt-BR"/>
        </w:rPr>
        <w:t xml:space="preserve"> ngày </w:t>
      </w:r>
      <w:r>
        <w:rPr>
          <w:i/>
          <w:lang w:val="pt-BR"/>
        </w:rPr>
        <w:t xml:space="preserve">23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highlight w:val="none"/>
          <w:lang w:val="pt-BR"/>
        </w:rPr>
      </w:pPr>
      <w:r>
        <w:rPr>
          <w:b/>
          <w:bCs/>
          <w:iCs/>
          <w:lang w:val="pt-BR"/>
        </w:rPr>
        <w:t xml:space="preserve">TSSS1</w:t>
      </w:r>
      <w:r>
        <w:rPr>
          <w:b/>
          <w:bCs/>
          <w:iCs/>
          <w:highlight w:val="none"/>
          <w:lang w:val="pt-BR"/>
        </w:rPr>
      </w:r>
      <w:r>
        <w:rPr>
          <w:b/>
          <w:bCs/>
          <w:iCs/>
          <w:highlight w:val="none"/>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4"/>
        <w:gridCol w:w="3258"/>
        <w:gridCol w:w="5760"/>
      </w:tblGrid>
      <w:tr>
        <w:trPr>
          <w:trHeight w:val="0"/>
          <w:tblHeade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ĐẶC ĐIỂM BĐS</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TSSS1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Thông tin về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spacing/>
              <w:ind/>
              <w:jc w:val="center"/>
              <w:rPr>
                <w:sz w:val="22"/>
                <w:szCs w:val="22"/>
              </w:rPr>
            </w:pPr>
            <w:r>
              <w:rPr>
                <w:color w:val="000000" w:themeColor="text1"/>
                <w:sz w:val="22"/>
                <w:szCs w:val="22"/>
              </w:rPr>
              <w:t xml:space="preserve">Phường Nhân Chính, Quận Thanh Xuân, Thành phố Hà Nội</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Liên hệ trực tiếp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Thông tin liên lạc</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spacing/>
              <w:ind/>
              <w:jc w:val="center"/>
              <w:rPr>
                <w:sz w:val="22"/>
                <w:szCs w:val="22"/>
              </w:rPr>
            </w:pPr>
            <w:r>
              <w:rPr>
                <w:color w:val="000000" w:themeColor="text1"/>
                <w:sz w:val="22"/>
                <w:szCs w:val="22"/>
              </w:rPr>
              <w:t xml:space="preserve">0846.463586</w:t>
            </w:r>
            <w:r>
              <w:rPr>
                <w:sz w:val="22"/>
                <w:szCs w:val="22"/>
              </w:rPr>
              <w:t xml:space="preserve"> </w:t>
            </w:r>
            <w:r>
              <w:rPr>
                <w:sz w:val="22"/>
                <w:szCs w:val="22"/>
              </w:rPr>
              <w:br/>
              <w:t xml:space="preserve">(</w:t>
            </w:r>
            <w:r>
              <w:rPr>
                <w:sz w:val="22"/>
                <w:szCs w:val="22"/>
              </w:rPr>
              <w:t xml:space="preserve">Trà Giang</w:t>
            </w:r>
            <w:r>
              <w:rPr>
                <w:sz w:val="22"/>
                <w:szCs w:val="22"/>
              </w:rPr>
              <w:t xml:space="preserve">)</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Đang giao dịch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Tháng 01/2026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Giấy chứng nhận QSDĐ</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hình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hộ chung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số X04 - Đơn nguyên 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Độ rộng đường trước tài sản (m)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Hạ tầng khu đô thị, khu phân lô/tái định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Diện tích sử dụng (m²)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65,4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trung (12)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Đông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Cấu trúc</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 Phòng Ngủ, 2 WC, 1 Bếp, 1 Khách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spacing/>
              <w:ind/>
              <w:jc w:val="center"/>
              <w:rPr>
                <w:color w:val="000000"/>
                <w:sz w:val="22"/>
                <w:szCs w:val="22"/>
              </w:rPr>
            </w:pPr>
            <w:r>
              <w:rPr>
                <w:color w:val="000000" w:themeColor="text1"/>
                <w:sz w:val="22"/>
                <w:szCs w:val="22"/>
              </w:rPr>
              <w:t xml:space="preserve">7.900.000.000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val="false"/>
          </w:tcPr>
          <w:p>
            <w:pPr>
              <w:pBdr/>
              <w:spacing/>
              <w:ind/>
              <w:jc w:val="center"/>
              <w:rPr>
                <w:color w:val="000000"/>
                <w:sz w:val="22"/>
                <w:szCs w:val="22"/>
              </w:rPr>
            </w:pPr>
            <w:r>
              <w:rPr>
                <w:color w:val="000000" w:themeColor="text1"/>
                <w:sz w:val="22"/>
                <w:szCs w:val="22"/>
              </w:rPr>
              <w:t xml:space="preserve">7.110.000.000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27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Đơn giá QSDĐ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0" w:type="dxa"/>
            <w:vAlign w:val="center"/>
            <w:textDirection w:val="lrTb"/>
            <w:noWrap/>
          </w:tcPr>
          <w:p>
            <w:pPr>
              <w:pBdr/>
              <w:spacing/>
              <w:ind/>
              <w:jc w:val="center"/>
              <w:rPr>
                <w:b/>
                <w:bCs/>
                <w:color w:val="000000"/>
                <w:sz w:val="22"/>
                <w:szCs w:val="22"/>
              </w:rPr>
            </w:pPr>
            <w:r>
              <w:rPr>
                <w:b/>
                <w:bCs/>
                <w:color w:val="000000" w:themeColor="text1"/>
                <w:sz w:val="22"/>
                <w:szCs w:val="22"/>
              </w:rPr>
              <w:t xml:space="preserve">108.715.596</w:t>
            </w:r>
            <w:r>
              <w:rPr>
                <w:b/>
                <w:bCs/>
                <w:color w:val="000000"/>
                <w:sz w:val="22"/>
                <w:szCs w:val="22"/>
              </w:rPr>
            </w:r>
            <w:r>
              <w:rPr>
                <w:b/>
                <w:bCs/>
                <w:color w:val="000000"/>
                <w:sz w:val="22"/>
                <w:szCs w:val="22"/>
              </w:rPr>
            </w:r>
          </w:p>
        </w:tc>
      </w:tr>
    </w:tbl>
    <w:p>
      <w:pPr>
        <w:pBdr/>
        <w:spacing w:after="120"/>
        <w:ind/>
        <w:jc w:val="center"/>
        <w:rPr>
          <w:b/>
          <w:bCs/>
          <w:lang w:val="pt-BR"/>
        </w:rPr>
      </w:pPr>
      <w:r>
        <w:rPr>
          <w:b/>
          <w:bCs/>
          <w:iCs/>
          <w:highlight w:val="none"/>
          <w:lang w:val="pt-BR" w:bidi="pt-BR"/>
        </w:rPr>
      </w:r>
      <w:r>
        <w:rPr>
          <w:b/>
          <w:bCs/>
          <w:lang w:val="pt-BR"/>
        </w:rPr>
      </w:r>
      <w:r>
        <w:rPr>
          <w:b/>
          <w:bCs/>
          <w:lang w:val="pt-BR"/>
        </w:rPr>
      </w:r>
    </w:p>
    <w:tbl>
      <w:tblPr>
        <w:tblW w:w="9650" w:type="dxa"/>
        <w:tblBorders/>
        <w:tblLayout w:type="fixed"/>
        <w:tblLook w:val="04A0" w:firstRow="1" w:lastRow="0" w:firstColumn="1" w:lastColumn="0" w:noHBand="0" w:noVBand="1"/>
      </w:tblPr>
      <w:tblGrid>
        <w:gridCol w:w="632"/>
        <w:gridCol w:w="2898"/>
        <w:gridCol w:w="6120"/>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289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612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01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3908" cy="344705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513907" cy="34470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7.95pt;height:271.4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4514680" cy="33860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09978" name=""/>
                              <pic:cNvPicPr>
                                <a:picLocks noChangeAspect="1"/>
                              </pic:cNvPicPr>
                              <pic:nvPr/>
                            </pic:nvPicPr>
                            <pic:blipFill rotWithShape="1">
                              <a:blip r:embed="rId25"/>
                              <a:stretch/>
                            </pic:blipFill>
                            <pic:spPr bwMode="auto">
                              <a:xfrm flipH="0" flipV="0">
                                <a:off x="0" y="0"/>
                                <a:ext cx="4514679" cy="3386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5.49pt;height:266.6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059"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4"/>
        <w:gridCol w:w="3258"/>
        <w:gridCol w:w="5868"/>
      </w:tblGrid>
      <w:tr>
        <w:trPr>
          <w:trHeight w:val="0"/>
          <w:tblHeade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ĐẶC ĐIỂM BĐS</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TSSS2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Thông tin về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spacing/>
              <w:ind/>
              <w:jc w:val="center"/>
              <w:rPr>
                <w:sz w:val="22"/>
                <w:szCs w:val="22"/>
              </w:rPr>
            </w:pPr>
            <w:r>
              <w:rPr>
                <w:color w:val="000000" w:themeColor="text1"/>
                <w:sz w:val="22"/>
                <w:szCs w:val="22"/>
              </w:rPr>
              <w:t xml:space="preserve">Phường Nhân Chính, Quận Thanh Xuân, Thành phố Hà Nội</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Liên hệ trực tiếp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Thông tin liên lạc</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spacing/>
              <w:ind/>
              <w:jc w:val="center"/>
              <w:rPr>
                <w:sz w:val="22"/>
                <w:szCs w:val="22"/>
              </w:rPr>
            </w:pPr>
            <w:r>
              <w:rPr>
                <w:color w:val="000000" w:themeColor="text1"/>
                <w:sz w:val="22"/>
                <w:szCs w:val="22"/>
              </w:rPr>
              <w:t xml:space="preserve">0982.848546</w:t>
            </w:r>
            <w:r>
              <w:rPr>
                <w:sz w:val="22"/>
                <w:szCs w:val="22"/>
              </w:rPr>
              <w:br/>
            </w:r>
            <w:r>
              <w:rPr>
                <w:sz w:val="22"/>
                <w:szCs w:val="22"/>
              </w:rPr>
              <w:t xml:space="preserve">(</w:t>
            </w:r>
            <w:r>
              <w:rPr>
                <w:sz w:val="22"/>
                <w:szCs w:val="22"/>
              </w:rPr>
              <w:t xml:space="preserve">Đức Anh</w:t>
            </w:r>
            <w:r>
              <w:rPr>
                <w:sz w:val="22"/>
                <w:szCs w:val="22"/>
              </w:rPr>
              <w:t xml:space="preserve">)</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Đang giao dịch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Tháng 01/2026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Giấy chứng nhận QSDĐ</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hình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hộ chung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 Đơn nguyên 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Độ rộng đường trước tài sản (m)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Hạ tầng khu đô thị, khu phân lô/tái định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Diện tích sử dụng (m²)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65,4</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 trung (10-15/25)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Tây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Cấu trúc</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 Phòng Ngủ, 2 WC, 1 Bếp, 1 Khách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Hiện trạng môi trường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Bình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Khả năng chuyển nhượng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spacing/>
              <w:ind/>
              <w:jc w:val="center"/>
              <w:rPr>
                <w:color w:val="000000"/>
                <w:sz w:val="22"/>
                <w:szCs w:val="22"/>
              </w:rPr>
            </w:pPr>
            <w:r>
              <w:rPr>
                <w:color w:val="000000" w:themeColor="text1"/>
                <w:sz w:val="22"/>
                <w:szCs w:val="22"/>
              </w:rPr>
              <w:t xml:space="preserve">8.100.000.000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val="false"/>
          </w:tcPr>
          <w:p>
            <w:pPr>
              <w:pBdr/>
              <w:spacing/>
              <w:ind/>
              <w:jc w:val="center"/>
              <w:rPr>
                <w:color w:val="000000"/>
                <w:sz w:val="22"/>
                <w:szCs w:val="22"/>
              </w:rPr>
            </w:pPr>
            <w:r>
              <w:rPr>
                <w:color w:val="000000" w:themeColor="text1"/>
                <w:sz w:val="22"/>
                <w:szCs w:val="22"/>
              </w:rPr>
              <w:t xml:space="preserve">7.290.000.000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27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Đơn giá QSDĐ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68" w:type="dxa"/>
            <w:vAlign w:val="center"/>
            <w:textDirection w:val="lrTb"/>
            <w:noWrap/>
          </w:tcPr>
          <w:p>
            <w:pPr>
              <w:pBdr/>
              <w:spacing/>
              <w:ind/>
              <w:jc w:val="center"/>
              <w:rPr>
                <w:b/>
                <w:bCs/>
                <w:color w:val="000000"/>
                <w:sz w:val="22"/>
                <w:szCs w:val="22"/>
              </w:rPr>
            </w:pPr>
            <w:r>
              <w:rPr>
                <w:b/>
                <w:bCs/>
                <w:color w:val="000000" w:themeColor="text1"/>
                <w:sz w:val="22"/>
                <w:szCs w:val="22"/>
              </w:rPr>
              <w:t xml:space="preserve">111.467.890</w:t>
            </w:r>
            <w:r>
              <w:rPr>
                <w:b/>
                <w:bCs/>
                <w:color w:val="000000"/>
                <w:sz w:val="22"/>
                <w:szCs w:val="22"/>
              </w:rPr>
            </w:r>
            <w:r>
              <w:rPr>
                <w:b/>
                <w:bCs/>
                <w:color w:val="000000"/>
                <w:sz w:val="22"/>
                <w:szCs w:val="22"/>
              </w:rPr>
            </w:r>
          </w:p>
        </w:tc>
      </w:tr>
    </w:tbl>
    <w:p>
      <w:pPr>
        <w:pBdr/>
        <w:spacing w:after="200" w:line="276" w:lineRule="auto"/>
        <w:ind/>
        <w:jc w:val="center"/>
        <w:rPr>
          <w:sz w:val="14"/>
          <w:szCs w:val="14"/>
          <w:lang w:val="pt-BR"/>
        </w:rPr>
      </w:pPr>
      <w:r>
        <w:rPr>
          <w:b/>
          <w:bCs/>
          <w:iCs/>
          <w:highlight w:val="none"/>
          <w:lang w:val="pt-BR" w:bidi="pt-BR"/>
        </w:rPr>
      </w:r>
      <w:r>
        <w:rPr>
          <w:sz w:val="14"/>
          <w:szCs w:val="14"/>
          <w:lang w:val="pt-BR"/>
        </w:rPr>
      </w:r>
      <w:r>
        <w:rPr>
          <w:sz w:val="14"/>
          <w:szCs w:val="14"/>
          <w:lang w:val="pt-BR"/>
        </w:rPr>
      </w:r>
    </w:p>
    <w:tbl>
      <w:tblPr>
        <w:tblW w:w="9830" w:type="dxa"/>
        <w:tblBorders/>
        <w:tblLayout w:type="fixed"/>
        <w:tblLook w:val="04A0" w:firstRow="1" w:lastRow="0" w:firstColumn="1" w:lastColumn="0" w:noHBand="0" w:noVBand="1"/>
      </w:tblPr>
      <w:tblGrid>
        <w:gridCol w:w="632"/>
        <w:gridCol w:w="4493"/>
        <w:gridCol w:w="4705"/>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705"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19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05637" cy="371236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36714590" name="" descr=""/>
                              <pic:cNvPicPr/>
                              <pic:nvPr/>
                            </pic:nvPicPr>
                            <pic:blipFill rotWithShape="1">
                              <a:blip r:embed="rId26"/>
                              <a:stretch/>
                            </pic:blipFill>
                            <pic:spPr bwMode="auto">
                              <a:xfrm flipH="0" flipV="0">
                                <a:off x="0" y="0"/>
                                <a:ext cx="2405637" cy="37123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9.42pt;height:292.3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644879" cy="361112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69961" name=""/>
                              <pic:cNvPicPr>
                                <a:picLocks noChangeAspect="1"/>
                              </pic:cNvPicPr>
                              <pic:nvPr/>
                            </pic:nvPicPr>
                            <pic:blipFill rotWithShape="1">
                              <a:blip r:embed="rId27"/>
                              <a:stretch/>
                            </pic:blipFill>
                            <pic:spPr bwMode="auto">
                              <a:xfrm flipH="0" flipV="0">
                                <a:off x="0" y="0"/>
                                <a:ext cx="2644878" cy="3611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8.26pt;height:284.34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708340" cy="361112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42669" name=""/>
                              <pic:cNvPicPr>
                                <a:picLocks noChangeAspect="1"/>
                              </pic:cNvPicPr>
                              <pic:nvPr/>
                            </pic:nvPicPr>
                            <pic:blipFill rotWithShape="1">
                              <a:blip r:embed="rId28"/>
                              <a:stretch/>
                            </pic:blipFill>
                            <pic:spPr bwMode="auto">
                              <a:xfrm flipH="0" flipV="0">
                                <a:off x="0" y="0"/>
                                <a:ext cx="2708339" cy="3611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3.26pt;height:284.34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738" w:type="dxa"/>
        <w:tblBorders/>
        <w:tblLayout w:type="fixed"/>
        <w:tblLook w:val="04A0" w:firstRow="1" w:lastRow="0" w:firstColumn="1" w:lastColumn="0" w:noHBand="0" w:noVBand="1"/>
      </w:tblPr>
      <w:tblGrid>
        <w:gridCol w:w="9738"/>
      </w:tblGrid>
      <w:tr>
        <w:trPr>
          <w:trHeight w:val="312"/>
        </w:trPr>
        <w:tc>
          <w:tcPr>
            <w:tcBorders/>
            <w:tcW w:w="973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973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4"/>
        <w:gridCol w:w="3168"/>
        <w:gridCol w:w="5850"/>
      </w:tblGrid>
      <w:tr>
        <w:trPr>
          <w:trHeight w:val="0"/>
          <w:tblHeade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ĐẶC ĐIỂM BĐS</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TSSS3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Thông tin về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spacing/>
              <w:ind/>
              <w:jc w:val="center"/>
              <w:rPr>
                <w:sz w:val="22"/>
                <w:szCs w:val="22"/>
              </w:rPr>
            </w:pPr>
            <w:r>
              <w:rPr>
                <w:color w:val="000000" w:themeColor="text1"/>
                <w:sz w:val="22"/>
                <w:szCs w:val="22"/>
              </w:rPr>
              <w:t xml:space="preserve">Phường Nhân Chính, Quận Thanh Xuân, Thành phố Hà Nội</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Liên hệ trực tiếp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Thông tin liên lạc</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spacing/>
              <w:ind/>
              <w:jc w:val="center"/>
              <w:rPr>
                <w:sz w:val="22"/>
                <w:szCs w:val="22"/>
              </w:rPr>
            </w:pPr>
            <w:r>
              <w:rPr>
                <w:color w:val="000000" w:themeColor="text1"/>
                <w:sz w:val="22"/>
                <w:szCs w:val="22"/>
              </w:rPr>
              <w:t xml:space="preserve">0975.993392</w:t>
            </w:r>
            <w:r>
              <w:rPr>
                <w:sz w:val="22"/>
                <w:szCs w:val="22"/>
              </w:rPr>
              <w:br/>
            </w:r>
            <w:r>
              <w:rPr>
                <w:sz w:val="22"/>
                <w:szCs w:val="22"/>
              </w:rPr>
              <w:t xml:space="preserve">(</w:t>
            </w:r>
            <w:r>
              <w:rPr>
                <w:sz w:val="22"/>
                <w:szCs w:val="22"/>
              </w:rPr>
              <w:t xml:space="preserve">Ngân</w:t>
            </w:r>
            <w:r>
              <w:rPr>
                <w:sz w:val="22"/>
                <w:szCs w:val="22"/>
              </w:rPr>
              <w:t xml:space="preserve">)</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Đang giao dịch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Tháng 01/2026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Giấy chứng nhận QSDĐ</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hình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hộ chung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 số 504 - Đơn nguyên 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Độ rộng đường trước tài sản (m)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Hạ tầng khu đô thị, khu phân lô/tái định cư</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Diện tích sử dụng (m²)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65,4</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Căn thường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05/25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Đông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Cấu trúc</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3 Phòng Ngủ, 2 WC, 1 Bếp, 1 Khách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19</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26</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27</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Đơn giá QSDĐ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850" w:type="dxa"/>
            <w:vAlign w:val="center"/>
            <w:textDirection w:val="lrTb"/>
            <w:noWrap/>
          </w:tcPr>
          <w:p>
            <w:pPr>
              <w:pBdr/>
              <w:spacing/>
              <w:ind/>
              <w:jc w:val="center"/>
              <w:rPr>
                <w:b/>
                <w:bCs/>
                <w:color w:val="000000"/>
                <w:sz w:val="22"/>
                <w:szCs w:val="22"/>
              </w:rPr>
            </w:pPr>
            <w:r>
              <w:rPr>
                <w:b/>
                <w:bCs/>
                <w:color w:val="000000" w:themeColor="text1"/>
                <w:sz w:val="22"/>
                <w:szCs w:val="22"/>
              </w:rPr>
              <w:t xml:space="preserve">103.211.009</w:t>
            </w:r>
            <w:r>
              <w:rPr>
                <w:b/>
                <w:bCs/>
                <w:color w:val="000000"/>
                <w:sz w:val="22"/>
                <w:szCs w:val="22"/>
              </w:rPr>
            </w:r>
            <w:r>
              <w:rPr>
                <w:b/>
                <w:bCs/>
                <w:color w:val="000000"/>
                <w:sz w:val="22"/>
                <w:szCs w:val="22"/>
              </w:rPr>
            </w:r>
          </w:p>
        </w:tc>
      </w:tr>
    </w:tbl>
    <w:p>
      <w:pPr>
        <w:pBdr/>
        <w:spacing w:after="200" w:line="276" w:lineRule="auto"/>
        <w:ind/>
        <w:jc w:val="center"/>
        <w:rPr>
          <w:b/>
          <w:bCs/>
          <w:sz w:val="18"/>
          <w:szCs w:val="18"/>
          <w:lang w:val="pt-BR"/>
        </w:rPr>
      </w:pPr>
      <w:r>
        <w:rPr>
          <w:b/>
          <w:bCs/>
          <w:iCs/>
          <w:highlight w:val="none"/>
          <w:lang w:val="pt-BR" w:bidi="pt-BR"/>
        </w:rPr>
      </w:r>
      <w:r>
        <w:rPr>
          <w:b/>
          <w:bCs/>
          <w:sz w:val="18"/>
          <w:szCs w:val="18"/>
          <w:lang w:val="pt-BR"/>
        </w:rPr>
      </w:r>
      <w:r>
        <w:rPr>
          <w:b/>
          <w:bCs/>
          <w:sz w:val="18"/>
          <w:szCs w:val="18"/>
          <w:lang w:val="pt-BR"/>
        </w:rPr>
      </w:r>
    </w:p>
    <w:tbl>
      <w:tblPr>
        <w:tblW w:w="9740" w:type="dxa"/>
        <w:tblBorders/>
        <w:tblLayout w:type="fixed"/>
        <w:tblLook w:val="04A0" w:firstRow="1" w:lastRow="0" w:firstColumn="1" w:lastColumn="0" w:noHBand="0" w:noVBand="1"/>
      </w:tblPr>
      <w:tblGrid>
        <w:gridCol w:w="632"/>
        <w:gridCol w:w="4493"/>
        <w:gridCol w:w="4615"/>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615"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108"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32933" cy="3917507"/>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332932" cy="39175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3.70pt;height:308.4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jc w:val="center"/>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2673690" cy="398061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03724" name=""/>
                              <pic:cNvPicPr>
                                <a:picLocks noChangeAspect="1"/>
                              </pic:cNvPicPr>
                              <pic:nvPr/>
                            </pic:nvPicPr>
                            <pic:blipFill rotWithShape="1">
                              <a:blip r:embed="rId30"/>
                              <a:stretch/>
                            </pic:blipFill>
                            <pic:spPr bwMode="auto">
                              <a:xfrm flipH="0" flipV="0">
                                <a:off x="0" y="0"/>
                                <a:ext cx="2673689" cy="3980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0.53pt;height:313.43pt;mso-wrap-distance-left:0.00pt;mso-wrap-distance-top:0.00pt;mso-wrap-distance-right:0.00pt;mso-wrap-distance-bottom:0.00pt;z-index:1;" stroked="false">
                      <v:imagedata r:id="rId30" o:title=""/>
                      <o:lock v:ext="edit" rotation="t"/>
                    </v:shape>
                  </w:pict>
                </mc:Fallback>
              </mc:AlternateContent>
              <w:t xml:space="preserve"> </w:t>
            </w:r>
            <w:r>
              <mc:AlternateContent>
                <mc:Choice Requires="wpg">
                  <w:drawing>
                    <wp:inline xmlns:wp="http://schemas.openxmlformats.org/drawingml/2006/wordprocessingDrawing" distT="0" distB="0" distL="0" distR="0">
                      <wp:extent cx="2743201" cy="398061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25190" name=""/>
                              <pic:cNvPicPr>
                                <a:picLocks noChangeAspect="1"/>
                              </pic:cNvPicPr>
                              <pic:nvPr/>
                            </pic:nvPicPr>
                            <pic:blipFill rotWithShape="1">
                              <a:blip r:embed="rId31"/>
                              <a:stretch/>
                            </pic:blipFill>
                            <pic:spPr bwMode="auto">
                              <a:xfrm flipH="0" flipV="0">
                                <a:off x="0" y="0"/>
                                <a:ext cx="2743201" cy="3980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00pt;height:313.43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648" w:type="dxa"/>
        <w:tblBorders/>
        <w:tblLayout w:type="fixed"/>
        <w:tblLook w:val="04A0" w:firstRow="1" w:lastRow="0" w:firstColumn="1" w:lastColumn="0" w:noHBand="0" w:noVBand="1"/>
      </w:tblPr>
      <w:tblGrid>
        <w:gridCol w:w="9648"/>
      </w:tblGrid>
      <w:tr>
        <w:trPr>
          <w:trHeight w:val="312"/>
        </w:trPr>
        <w:tc>
          <w:tcPr>
            <w:tcBorders/>
            <w:tcW w:w="964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9648"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964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566" w:bottom="67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274</cp:revision>
  <dcterms:created xsi:type="dcterms:W3CDTF">2025-09-15T09:58:00Z</dcterms:created>
  <dcterms:modified xsi:type="dcterms:W3CDTF">2026-01-23T14:07:59Z</dcterms:modified>
</cp:coreProperties>
</file>