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301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301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275/2026/0190/VFI-CT.61.A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Hải Thành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904, tờ bản đồ số: 43 có địa chỉ: TDP Vinh Thịnh, phường Vĩn</w:t>
                            </w:r>
                            <w:r>
                              <w:rPr>
                                <w:color w:val="000000"/>
                              </w:rPr>
                              <w:t xml:space="preserve">h Phúc, tỉnh Phú Thọ theo 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8.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275/2026/0190/VFI-CT.61.A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Hải Thành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904, tờ bản đồ số: 43 có địa chỉ: TDP Vinh Thịnh, phường Vĩn</w:t>
                      </w:r>
                      <w:r>
                        <w:rPr>
                          <w:color w:val="000000"/>
                        </w:rPr>
                        <w:t xml:space="preserve">h Phúc, tỉnh Phú Thọ theo 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55" w:type="dxa"/>
        <w:tblW w:w="10049" w:type="dxa"/>
        <w:tblBorders/>
        <w:tblLayout w:type="fixed"/>
        <w:tblLook w:val="04A0" w:firstRow="1" w:lastRow="0" w:firstColumn="1" w:lastColumn="0" w:noHBand="0" w:noVBand="1"/>
      </w:tblPr>
      <w:tblGrid>
        <w:gridCol w:w="1701"/>
        <w:gridCol w:w="1843"/>
        <w:gridCol w:w="6506"/>
      </w:tblGrid>
      <w:tr>
        <w:trPr>
          <w:trHeight w:val="1388"/>
        </w:trPr>
        <w:tc>
          <w:tcPr>
            <w:tcBorders/>
            <w:tcW w:w="1701" w:type="dxa"/>
            <w:textDirection w:val="lrTb"/>
            <w:noWrap w:val="false"/>
          </w:tcPr>
          <w:p>
            <w:pPr>
              <w:pBdr/>
              <w:spacing w:line="360" w:lineRule="auto"/>
              <w:ind w:hanging="108"/>
              <w:jc w:val="center"/>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3"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61272" name="Picture 3" descr="Logo, company name&#10;&#10;Description automatically generated"/>
                              <pic:cNvPicPr>
                                <a:picLocks noChangeAspect="1"/>
                              </pic:cNvPicPr>
                              <pic:nvPr/>
                            </pic:nvPicPr>
                            <pic:blipFill rotWithShape="1">
                              <a:blip r:embed="rId14"/>
                              <a:stretch/>
                            </pic:blipFill>
                            <pic:spPr bwMode="auto">
                              <a:xfrm>
                                <a:off x="0" y="0"/>
                                <a:ext cx="1017900" cy="92201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none"/>
              </w:rPr>
            </w:r>
            <w:r>
              <w:rPr>
                <w:i/>
                <w:szCs w:val="26"/>
                <w:highlight w:val="none"/>
              </w:rPr>
            </w:r>
          </w:p>
        </w:tc>
        <w:tc>
          <w:tcPr>
            <w:gridSpan w:val="2"/>
            <w:tcBorders/>
            <w:tcW w:w="8349" w:type="dxa"/>
            <w:textDirection w:val="lrTb"/>
            <w:noWrap w:val="false"/>
          </w:tcPr>
          <w:p>
            <w:pPr>
              <w:pBdr/>
              <w:spacing w:line="312" w:lineRule="auto"/>
              <w:ind/>
              <w:jc w:val="left"/>
              <w:rPr>
                <w:b/>
                <w:highlight w:val="none"/>
              </w:rPr>
            </w:pPr>
            <w:r>
              <w:rPr>
                <w:b/>
                <w:highlight w:val="none"/>
                <w:lang w:val="da-DK"/>
              </w:rPr>
              <w:t xml:space="preserve">CÔNG TY CỔ PHẦN THẨM ĐỊNH VÀ ĐẦU TƯ TÀI CHÍNH HOA SEN</w:t>
            </w:r>
            <w:r>
              <w:rPr>
                <w:b/>
                <w:highlight w:val="none"/>
              </w:rPr>
            </w:r>
            <w:r>
              <w:rPr>
                <w:b/>
                <w:highlight w:val="none"/>
              </w:rPr>
            </w:r>
          </w:p>
          <w:p>
            <w:pPr>
              <w:pBdr/>
              <w:spacing w:line="312" w:lineRule="auto"/>
              <w:ind/>
              <w:jc w:val="left"/>
              <w:rPr>
                <w:highlight w:val="none"/>
              </w:rPr>
            </w:pPr>
            <w:r>
              <w:rPr>
                <w:highlight w:val="none"/>
                <w:lang w:val="da-DK"/>
              </w:rPr>
              <w:t xml:space="preserve">Trụ</w:t>
            </w:r>
            <w:r>
              <w:rPr>
                <w:highlight w:val="none"/>
                <w:lang w:val="da-DK"/>
              </w:rPr>
              <w:t xml:space="preserve"> </w:t>
            </w:r>
            <w:r>
              <w:rPr>
                <w:highlight w:val="none"/>
                <w:lang w:val="da-DK"/>
              </w:rPr>
              <w:t xml:space="preserve">sở</w:t>
            </w:r>
            <w:r>
              <w:rPr>
                <w:highlight w:val="none"/>
                <w:lang w:val="da-DK"/>
              </w:rPr>
              <w:t xml:space="preserve">: BT5 </w:t>
            </w:r>
            <w:r>
              <w:rPr>
                <w:highlight w:val="none"/>
                <w:lang w:val="da-DK"/>
              </w:rPr>
              <w:t xml:space="preserve">-</w:t>
            </w:r>
            <w:r>
              <w:rPr>
                <w:highlight w:val="none"/>
                <w:lang w:val="da-DK"/>
              </w:rPr>
              <w:t xml:space="preserve"> 23, </w:t>
            </w:r>
            <w:r>
              <w:rPr>
                <w:highlight w:val="none"/>
                <w:lang w:val="da-DK"/>
              </w:rPr>
              <w:t xml:space="preserve">Khu</w:t>
            </w:r>
            <w:r>
              <w:rPr>
                <w:highlight w:val="none"/>
                <w:lang w:val="da-DK"/>
              </w:rPr>
              <w:t xml:space="preserve"> </w:t>
            </w:r>
            <w:r>
              <w:rPr>
                <w:highlight w:val="none"/>
                <w:lang w:val="da-DK"/>
              </w:rPr>
              <w:t xml:space="preserve">đô</w:t>
            </w:r>
            <w:r>
              <w:rPr>
                <w:highlight w:val="none"/>
                <w:lang w:val="da-DK"/>
              </w:rPr>
              <w:t xml:space="preserve"> </w:t>
            </w:r>
            <w:r>
              <w:rPr>
                <w:highlight w:val="none"/>
                <w:lang w:val="da-DK"/>
              </w:rPr>
              <w:t xml:space="preserve">thị</w:t>
            </w:r>
            <w:r>
              <w:rPr>
                <w:highlight w:val="none"/>
                <w:lang w:val="da-DK"/>
              </w:rPr>
              <w:t xml:space="preserve"> </w:t>
            </w:r>
            <w:r>
              <w:rPr>
                <w:highlight w:val="none"/>
                <w:lang w:val="da-DK"/>
              </w:rPr>
              <w:t xml:space="preserve">mới</w:t>
            </w:r>
            <w:r>
              <w:rPr>
                <w:highlight w:val="none"/>
                <w:lang w:val="da-DK"/>
              </w:rPr>
              <w:t xml:space="preserve"> </w:t>
            </w:r>
            <w:r>
              <w:rPr>
                <w:highlight w:val="none"/>
                <w:lang w:val="da-DK"/>
              </w:rPr>
              <w:t xml:space="preserve">Văn</w:t>
            </w:r>
            <w:r>
              <w:rPr>
                <w:highlight w:val="none"/>
                <w:lang w:val="da-DK"/>
              </w:rPr>
              <w:t xml:space="preserve"> </w:t>
            </w:r>
            <w:r>
              <w:rPr>
                <w:highlight w:val="none"/>
                <w:lang w:val="da-DK"/>
              </w:rPr>
              <w:t xml:space="preserve">Phú</w:t>
            </w:r>
            <w:r>
              <w:rPr>
                <w:highlight w:val="none"/>
                <w:lang w:val="da-DK"/>
              </w:rPr>
              <w:t xml:space="preserve">, </w:t>
            </w:r>
            <w:r>
              <w:rPr>
                <w:highlight w:val="none"/>
                <w:lang w:val="da-DK"/>
              </w:rPr>
              <w:t xml:space="preserve">Phường</w:t>
            </w:r>
            <w:r>
              <w:rPr>
                <w:highlight w:val="none"/>
                <w:lang w:val="da-DK"/>
              </w:rPr>
              <w:t xml:space="preserve"> </w:t>
            </w:r>
            <w:r>
              <w:rPr>
                <w:highlight w:val="none"/>
                <w:lang w:val="da-DK"/>
              </w:rPr>
              <w:t xml:space="preserve">Kiến</w:t>
            </w:r>
            <w:r>
              <w:rPr>
                <w:highlight w:val="none"/>
                <w:lang w:val="da-DK"/>
              </w:rPr>
              <w:t xml:space="preserve"> </w:t>
            </w:r>
            <w:r>
              <w:rPr>
                <w:highlight w:val="none"/>
                <w:lang w:val="da-DK"/>
              </w:rPr>
              <w:t xml:space="preserve">Hưng</w:t>
            </w:r>
            <w:r>
              <w:rPr>
                <w:highlight w:val="none"/>
                <w:lang w:val="da-DK"/>
              </w:rPr>
              <w:t xml:space="preserve">, </w:t>
            </w:r>
            <w:r>
              <w:rPr>
                <w:highlight w:val="none"/>
                <w:lang w:val="da-DK"/>
              </w:rPr>
              <w:t xml:space="preserve">T</w:t>
            </w:r>
            <w:r>
              <w:rPr>
                <w:highlight w:val="none"/>
                <w:lang w:val="da-DK"/>
              </w:rPr>
              <w:t xml:space="preserve">hành</w:t>
            </w:r>
            <w:r>
              <w:rPr>
                <w:highlight w:val="none"/>
                <w:lang w:val="da-DK"/>
              </w:rPr>
              <w:t xml:space="preserve"> </w:t>
            </w:r>
            <w:r>
              <w:rPr>
                <w:highlight w:val="none"/>
                <w:lang w:val="da-DK"/>
              </w:rPr>
              <w:t xml:space="preserve">phố</w:t>
            </w:r>
            <w:r>
              <w:rPr>
                <w:highlight w:val="none"/>
                <w:lang w:val="da-DK"/>
              </w:rPr>
              <w:t xml:space="preserve"> </w:t>
            </w:r>
            <w:r>
              <w:rPr>
                <w:highlight w:val="none"/>
                <w:lang w:val="da-DK"/>
              </w:rPr>
              <w:t xml:space="preserve">Hà</w:t>
            </w:r>
            <w:r>
              <w:rPr>
                <w:highlight w:val="none"/>
                <w:lang w:val="da-DK"/>
              </w:rPr>
              <w:t xml:space="preserve"> </w:t>
            </w:r>
            <w:r>
              <w:rPr>
                <w:highlight w:val="none"/>
                <w:lang w:val="da-DK"/>
              </w:rPr>
              <w:t xml:space="preserve">Nội</w:t>
            </w:r>
            <w:r>
              <w:rPr>
                <w:highlight w:val="none"/>
              </w:rPr>
            </w:r>
            <w:r>
              <w:rPr>
                <w:highlight w:val="none"/>
              </w:rPr>
            </w:r>
          </w:p>
          <w:p>
            <w:pPr>
              <w:pBdr/>
              <w:tabs>
                <w:tab w:val="left" w:leader="none" w:pos="8787"/>
              </w:tabs>
              <w:spacing w:line="312" w:lineRule="auto"/>
              <w:ind w:right="4390" w:firstLine="0" w:left="0"/>
              <w:jc w:val="left"/>
              <w:rPr>
                <w:highlight w:val="none"/>
              </w:rPr>
            </w:pPr>
            <w:r>
              <w:rPr>
                <w:highlight w:val="none"/>
                <w:lang w:val="da-DK"/>
              </w:rPr>
              <w:t xml:space="preserve">Điện</w:t>
            </w:r>
            <w:r>
              <w:rPr>
                <w:highlight w:val="none"/>
                <w:lang w:val="da-DK"/>
              </w:rPr>
              <w:t xml:space="preserve"> </w:t>
            </w:r>
            <w:r>
              <w:rPr>
                <w:highlight w:val="none"/>
                <w:lang w:val="da-DK"/>
              </w:rPr>
              <w:t xml:space="preserve">thoại</w:t>
            </w:r>
            <w:r>
              <w:rPr>
                <w:highlight w:val="none"/>
                <w:lang w:val="da-DK"/>
              </w:rPr>
              <w:t xml:space="preserve">:  0853293333/ 024</w:t>
            </w:r>
            <w:r>
              <w:rPr>
                <w:highlight w:val="none"/>
                <w:lang w:val="da-DK"/>
              </w:rPr>
              <w:t xml:space="preserve">264</w:t>
            </w:r>
            <w:r>
              <w:rPr>
                <w:highlight w:val="none"/>
                <w:lang w:val="da-DK"/>
              </w:rPr>
              <w:t xml:space="preserve">433</w:t>
            </w:r>
            <w:r>
              <w:rPr>
                <w:highlight w:val="none"/>
                <w:lang w:val="da-DK"/>
              </w:rPr>
              <w:t xml:space="preserve">3</w:t>
            </w:r>
            <w:r>
              <w:rPr>
                <w:highlight w:val="none"/>
                <w:lang w:val="da-DK"/>
              </w:rPr>
              <w:t xml:space="preserve"> </w:t>
            </w:r>
            <w:r>
              <w:rPr>
                <w:highlight w:val="none"/>
              </w:rPr>
            </w:r>
            <w:r>
              <w:rPr>
                <w:highlight w:val="none"/>
              </w:rPr>
            </w:r>
          </w:p>
          <w:p>
            <w:pPr>
              <w:pBdr/>
              <w:spacing w:line="276" w:lineRule="auto"/>
              <w:ind/>
              <w:jc w:val="left"/>
              <w:rPr>
                <w:highlight w:val="none"/>
              </w:rPr>
            </w:pPr>
            <w:r>
              <w:rPr>
                <w:highlight w:val="none"/>
                <w:lang w:val="da-DK"/>
              </w:rPr>
              <w:t xml:space="preserve">Email</w:t>
            </w:r>
            <w:r>
              <w:rPr>
                <w:highlight w:val="none"/>
                <w:lang w:val="da-DK"/>
              </w:rPr>
              <w:t xml:space="preserve">: </w:t>
            </w:r>
            <w:r>
              <w:rPr>
                <w:highlight w:val="none"/>
                <w:lang w:val="da-DK"/>
              </w:rPr>
              <w:tab/>
            </w:r>
            <w:hyperlink r:id="rId15" w:tooltip="mailto:ilotus.contact@gmail.com" w:history="1">
              <w:r>
                <w:rPr>
                  <w:rStyle w:val="1019"/>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rPr>
            </w:r>
            <w:r>
              <w:rPr>
                <w:highlight w:val="none"/>
              </w:rPr>
            </w:r>
          </w:p>
        </w:tc>
      </w:tr>
      <w:tr>
        <w:trPr>
          <w:trHeight w:val="536"/>
        </w:trPr>
        <w:tc>
          <w:tcPr>
            <w:gridSpan w:val="2"/>
            <w:shd w:val="clear" w:color="ffffff" w:fill="ffffff"/>
            <w:tcBorders/>
            <w:tcMar>
              <w:left w:w="108" w:type="dxa"/>
              <w:top w:w="0" w:type="dxa"/>
              <w:right w:w="108" w:type="dxa"/>
              <w:bottom w:w="0" w:type="dxa"/>
            </w:tcMar>
            <w:tcW w:w="3543" w:type="dxa"/>
            <w:textDirection w:val="lrTb"/>
            <w:noWrap w:val="false"/>
          </w:tcPr>
          <w:p>
            <w:pPr>
              <w:pStyle w:val="1028"/>
              <w:pBdr/>
              <w:spacing w:after="60"/>
              <w:ind/>
              <w:jc w:val="left"/>
              <w:rPr>
                <w:color w:val="000000" w:themeColor="text1"/>
                <w:sz w:val="24"/>
                <w:szCs w:val="24"/>
                <w:highlight w:val="none"/>
              </w:rPr>
            </w:pPr>
            <w:r>
              <w:rPr>
                <w:rStyle w:val="1027"/>
                <w:rFonts w:ascii="Times New Roman" w:hAnsi="Times New Roman"/>
                <w:color w:val="000000" w:themeColor="text1"/>
                <w:highlight w:val="none"/>
                <w:lang w:val="pt-BR"/>
              </w:rPr>
              <w:t xml:space="preserve">Số</w:t>
            </w:r>
            <w:r>
              <w:rPr>
                <w:rStyle w:val="1027"/>
                <w:rFonts w:ascii="Times New Roman" w:hAnsi="Times New Roman"/>
                <w:color w:val="000000" w:themeColor="text1"/>
                <w:highlight w:val="none"/>
                <w:lang w:val="pt-BR"/>
              </w:rPr>
              <w:t xml:space="preserve">: </w:t>
            </w:r>
            <w:r>
              <w:rPr>
                <w:rStyle w:val="1027"/>
                <w:rFonts w:ascii="Times New Roman" w:hAnsi="Times New Roman"/>
                <w:color w:val="000000" w:themeColor="text1"/>
                <w:highlight w:val="none"/>
                <w:lang w:val="pt-BR"/>
              </w:rPr>
              <w:t xml:space="preserve">275/202</w:t>
            </w:r>
            <w:r>
              <w:rPr>
                <w:rStyle w:val="1027"/>
                <w:rFonts w:ascii="Times New Roman" w:hAnsi="Times New Roman"/>
                <w:color w:val="000000" w:themeColor="text1"/>
                <w:highlight w:val="none"/>
                <w:lang w:val="pt-BR"/>
              </w:rPr>
              <w:t xml:space="preserve">6</w:t>
            </w:r>
            <w:r>
              <w:rPr>
                <w:rStyle w:val="1027"/>
                <w:rFonts w:ascii="Times New Roman" w:hAnsi="Times New Roman"/>
                <w:color w:val="000000" w:themeColor="text1"/>
                <w:highlight w:val="none"/>
                <w:lang w:val="pt-BR"/>
              </w:rPr>
              <w:t xml:space="preserve">/</w:t>
            </w:r>
            <w:r>
              <w:rPr>
                <w:rStyle w:val="1027"/>
                <w:rFonts w:ascii="Times New Roman" w:hAnsi="Times New Roman"/>
                <w:color w:val="000000" w:themeColor="text1"/>
                <w:highlight w:val="none"/>
                <w:lang w:val="pt-BR"/>
              </w:rPr>
              <w:t xml:space="preserve">0190</w:t>
            </w:r>
            <w:r>
              <w:rPr>
                <w:rStyle w:val="1027"/>
                <w:rFonts w:ascii="Times New Roman" w:hAnsi="Times New Roman"/>
                <w:color w:val="000000" w:themeColor="text1"/>
                <w:highlight w:val="none"/>
                <w:lang w:val="pt-BR"/>
              </w:rPr>
              <w:t xml:space="preserve">/VFI-</w:t>
            </w:r>
            <w:r>
              <w:rPr>
                <w:rStyle w:val="1027"/>
                <w:rFonts w:ascii="Times New Roman" w:hAnsi="Times New Roman"/>
                <w:color w:val="000000" w:themeColor="text1"/>
                <w:highlight w:val="none"/>
                <w:lang w:val="pt-BR"/>
              </w:rPr>
              <w:t xml:space="preserve">CT.</w:t>
            </w:r>
            <w:r>
              <w:rPr>
                <w:rStyle w:val="1027"/>
                <w:rFonts w:ascii="Times New Roman" w:hAnsi="Times New Roman"/>
                <w:color w:val="000000" w:themeColor="text1"/>
                <w:highlight w:val="none"/>
                <w:lang w:val="pt-BR"/>
              </w:rPr>
              <w:t xml:space="preserve">6</w:t>
            </w:r>
            <w:r>
              <w:rPr>
                <w:rStyle w:val="1027"/>
                <w:rFonts w:ascii="Times New Roman" w:hAnsi="Times New Roman"/>
                <w:color w:val="000000" w:themeColor="text1"/>
                <w:highlight w:val="none"/>
                <w:lang w:val="pt-BR"/>
              </w:rPr>
              <w:t xml:space="preserve">1.A</w:t>
            </w:r>
            <w:r>
              <w:rPr>
                <w:color w:val="000000" w:themeColor="text1"/>
                <w:sz w:val="24"/>
                <w:szCs w:val="24"/>
                <w:highlight w:val="none"/>
              </w:rPr>
            </w:r>
            <w:r>
              <w:rPr>
                <w:color w:val="000000" w:themeColor="text1"/>
                <w:sz w:val="24"/>
                <w:szCs w:val="24"/>
                <w:highlight w:val="none"/>
              </w:rPr>
            </w:r>
          </w:p>
        </w:tc>
        <w:tc>
          <w:tcPr>
            <w:shd w:val="clear" w:color="ffffff" w:fill="ffffff"/>
            <w:tcBorders/>
            <w:tcMar>
              <w:left w:w="108" w:type="dxa"/>
              <w:top w:w="0" w:type="dxa"/>
              <w:right w:w="108" w:type="dxa"/>
              <w:bottom w:w="0" w:type="dxa"/>
            </w:tcMar>
            <w:tcW w:w="6506" w:type="dxa"/>
            <w:textDirection w:val="lrTb"/>
            <w:noWrap w:val="false"/>
          </w:tcPr>
          <w:p>
            <w:pPr>
              <w:pStyle w:val="1028"/>
              <w:pBdr/>
              <w:spacing w:after="60"/>
              <w:ind w:right="-56"/>
              <w:jc w:val="right"/>
              <w:rPr>
                <w:color w:val="000000" w:themeColor="text1"/>
                <w:sz w:val="24"/>
                <w:szCs w:val="24"/>
                <w:highlight w:val="none"/>
              </w:rPr>
            </w:pPr>
            <w:r>
              <w:rPr>
                <w:rStyle w:val="1027"/>
                <w:rFonts w:ascii="Times New Roman" w:hAnsi="Times New Roman"/>
                <w:i/>
                <w:color w:val="auto"/>
                <w:highlight w:val="none"/>
              </w:rPr>
              <w:t xml:space="preserve"> </w:t>
            </w:r>
            <w:r>
              <w:rPr>
                <w:rStyle w:val="1027"/>
                <w:rFonts w:ascii="Times New Roman" w:hAnsi="Times New Roman"/>
                <w:i/>
                <w:color w:val="auto"/>
                <w:highlight w:val="none"/>
              </w:rPr>
              <w:t xml:space="preserve">TP. </w:t>
            </w:r>
            <w:r>
              <w:rPr>
                <w:rStyle w:val="1027"/>
                <w:rFonts w:ascii="Times New Roman" w:hAnsi="Times New Roman"/>
                <w:i/>
                <w:color w:val="auto"/>
                <w:highlight w:val="none"/>
              </w:rPr>
              <w:t xml:space="preserve">Hà</w:t>
            </w:r>
            <w:r>
              <w:rPr>
                <w:rStyle w:val="1027"/>
                <w:rFonts w:ascii="Times New Roman" w:hAnsi="Times New Roman"/>
                <w:i/>
                <w:color w:val="auto"/>
                <w:highlight w:val="none"/>
              </w:rPr>
              <w:t xml:space="preserve"> </w:t>
            </w:r>
            <w:r>
              <w:rPr>
                <w:rStyle w:val="1027"/>
                <w:rFonts w:ascii="Times New Roman" w:hAnsi="Times New Roman"/>
                <w:i/>
                <w:color w:val="auto"/>
                <w:highlight w:val="none"/>
              </w:rPr>
              <w:t xml:space="preserve">Nội</w:t>
            </w:r>
            <w:r>
              <w:rPr>
                <w:rStyle w:val="1027"/>
                <w:rFonts w:ascii="Times New Roman" w:hAnsi="Times New Roman"/>
                <w:i/>
                <w:color w:val="auto"/>
                <w:highlight w:val="none"/>
                <w:lang w:val="vi-VN"/>
              </w:rPr>
              <w:t xml:space="preserve">, </w:t>
            </w:r>
            <w:r>
              <w:rPr>
                <w:rStyle w:val="1027"/>
                <w:rFonts w:ascii="Times New Roman" w:hAnsi="Times New Roman"/>
                <w:i/>
                <w:color w:val="000000" w:themeColor="text1"/>
                <w:highlight w:val="none"/>
                <w:lang w:val="vi-VN"/>
              </w:rPr>
              <w:t xml:space="preserve">ngày </w:t>
            </w:r>
            <w:r>
              <w:rPr>
                <w:rStyle w:val="1027"/>
                <w:rFonts w:ascii="Times New Roman" w:hAnsi="Times New Roman"/>
                <w:i/>
                <w:color w:val="000000" w:themeColor="text1"/>
                <w:highlight w:val="none"/>
                <w:lang w:val="vi-VN"/>
              </w:rPr>
              <w:t xml:space="preserve">23 </w:t>
            </w:r>
            <w:r>
              <w:rPr>
                <w:rStyle w:val="1027"/>
                <w:rFonts w:ascii="Times New Roman" w:hAnsi="Times New Roman"/>
                <w:i/>
                <w:color w:val="000000" w:themeColor="text1"/>
                <w:highlight w:val="none"/>
                <w:lang w:val="vi-VN"/>
              </w:rPr>
              <w:t xml:space="preserve">tháng </w:t>
            </w:r>
            <w:r>
              <w:rPr>
                <w:rStyle w:val="1027"/>
                <w:rFonts w:ascii="Times New Roman" w:hAnsi="Times New Roman"/>
                <w:i/>
                <w:color w:val="000000" w:themeColor="text1"/>
                <w:highlight w:val="none"/>
                <w:lang w:val="vi-VN"/>
              </w:rPr>
              <w:t xml:space="preserve">01</w:t>
            </w:r>
            <w:r>
              <w:rPr>
                <w:rStyle w:val="1027"/>
                <w:rFonts w:ascii="Times New Roman" w:hAnsi="Times New Roman"/>
                <w:i/>
                <w:color w:val="000000" w:themeColor="text1"/>
                <w:highlight w:val="none"/>
                <w:lang w:val="vi-VN"/>
              </w:rPr>
              <w:t xml:space="preserve"> năm 202</w:t>
            </w:r>
            <w:r>
              <w:rPr>
                <w:rStyle w:val="1027"/>
                <w:rFonts w:ascii="Times New Roman" w:hAnsi="Times New Roman"/>
                <w:i/>
                <w:color w:val="000000" w:themeColor="text1"/>
                <w:highlight w:val="none"/>
                <w:lang w:val="vi-VN"/>
              </w:rPr>
              <w:t xml:space="preserve">6</w:t>
            </w:r>
            <w:r>
              <w:rPr>
                <w:color w:val="000000" w:themeColor="text1"/>
                <w:sz w:val="24"/>
                <w:szCs w:val="24"/>
                <w:highlight w:val="none"/>
              </w:rPr>
            </w:r>
            <w:r>
              <w:rPr>
                <w:color w:val="000000" w:themeColor="text1"/>
                <w:sz w:val="24"/>
                <w:szCs w:val="24"/>
                <w:highlight w:val="none"/>
              </w:rPr>
            </w:r>
          </w:p>
        </w:tc>
      </w:tr>
    </w:tbl>
    <w:p>
      <w:pPr>
        <w:pStyle w:val="1028"/>
        <w:pBdr/>
        <w:spacing w:after="120" w:before="200" w:line="288" w:lineRule="auto"/>
        <w:ind/>
        <w:jc w:val="center"/>
        <w:rPr>
          <w:rStyle w:val="1027"/>
          <w:rFonts w:ascii="Times New Roman" w:hAnsi="Times New Roman"/>
          <w:b/>
          <w:bCs/>
          <w:color w:val="auto"/>
          <w:sz w:val="30"/>
          <w:szCs w:val="30"/>
          <w:highlight w:val="none"/>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highlight w:val="none"/>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Hải Thành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275/2026/0190/VFI-HĐTĐ.61.A</w:t>
      </w:r>
      <w:r>
        <w:rPr>
          <w:spacing w:val="-4"/>
          <w:lang w:val="vi-VN"/>
        </w:rPr>
        <w:t xml:space="preserve"> ký ngày </w:t>
      </w:r>
      <w:r>
        <w:rPr>
          <w:color w:val="000000" w:themeColor="text1"/>
          <w:spacing w:val="-4"/>
        </w:rPr>
        <w:t xml:space="preserve">19 tháng 1 năm 2026</w:t>
      </w:r>
      <w:r>
        <w:rPr>
          <w:spacing w:val="-4"/>
          <w:lang w:val="vi-VN"/>
        </w:rPr>
        <w:t xml:space="preserve"> </w:t>
      </w:r>
      <w:r>
        <w:rPr>
          <w:spacing w:val="-4"/>
          <w:lang w:val="vi-VN"/>
        </w:rPr>
        <w:t xml:space="preserve">giữa </w:t>
      </w:r>
      <w:r>
        <w:rPr>
          <w:color w:val="000000" w:themeColor="text1"/>
          <w:spacing w:val="-4"/>
        </w:rPr>
        <w:t xml:space="preserve">Ông Trần Hải Thành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275/2026/0190/VFI-BC.61.A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Trần Hải Thành</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60" w:before="60" w:line="276" w:lineRule="auto"/>
              <w:ind/>
              <w:rPr>
                <w:b/>
                <w:bCs/>
              </w:rPr>
            </w:pPr>
            <w:r>
              <w:rPr>
                <w:color w:val="000000" w:themeColor="text1"/>
                <w:lang w:val="vi-VN"/>
              </w:rPr>
              <w:t xml:space="preserve">026090000106</w:t>
            </w:r>
            <w:r>
              <w:rPr>
                <w:b/>
                <w:bCs/>
              </w:rPr>
            </w:r>
            <w:r>
              <w:rPr>
                <w:b/>
                <w:bCs/>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TDP Vinh Thịnh, Phường Vĩnh Phúc, Tỉnh Phú Thọ.</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904, tờ bản đồ số: 43 có địa chỉ: TDP Vinh Thịnh, phường Vĩn</w:t>
      </w:r>
      <w:r>
        <w:rPr>
          <w:color w:val="000000" w:themeColor="text1"/>
        </w:rPr>
        <w:t xml:space="preserve">h Phúc, tỉnh Phú Thọ theo 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904, tờ bản đồ số: 43 có địa chỉ: TDP Vinh Thịnh, phường Vĩn</w:t>
            </w:r>
            <w:r>
              <w:rPr>
                <w:color w:val="000000"/>
              </w:rPr>
              <w:t xml:space="preserve">h Phúc, tỉnh Phú Thọ theo 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r>
            <w:r>
              <w:t xml:space="preserve">14.582.032 </w:t>
            </w:r>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r>
            <w:r>
              <w:t xml:space="preserve">729.101.615 </w:t>
            </w:r>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trồng cây lâu năm</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148,2</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r>
            <w:r>
              <w:t xml:space="preserve">6.448.032 </w:t>
            </w:r>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r>
            <w:r>
              <w:t xml:space="preserve">955.598.385</w:t>
            </w:r>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1.684.700.000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1.684.700.000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sáu trăm tám mươi bốn triệu bảy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55" w:type="dxa"/>
        <w:tblW w:w="10049" w:type="dxa"/>
        <w:tblBorders/>
        <w:tblLayout w:type="fixed"/>
        <w:tblLook w:val="04A0" w:firstRow="1" w:lastRow="0" w:firstColumn="1" w:lastColumn="0" w:noHBand="0" w:noVBand="1"/>
      </w:tblPr>
      <w:tblGrid>
        <w:gridCol w:w="1701"/>
        <w:gridCol w:w="1843"/>
        <w:gridCol w:w="6506"/>
      </w:tblGrid>
      <w:tr>
        <w:trPr>
          <w:trHeight w:val="1388"/>
        </w:trPr>
        <w:tc>
          <w:tcPr>
            <w:tcBorders/>
            <w:tcW w:w="1701" w:type="dxa"/>
            <w:textDirection w:val="lrTb"/>
            <w:noWrap w:val="false"/>
          </w:tcPr>
          <w:p>
            <w:pPr>
              <w:pBdr/>
              <w:spacing w:line="360" w:lineRule="auto"/>
              <w:ind w:hanging="108"/>
              <w:jc w:val="center"/>
              <w:rPr>
                <w:i/>
                <w:szCs w:val="26"/>
                <w:highlight w:val="none"/>
              </w:rPr>
            </w:pPr>
            <w:r>
              <w:rPr>
                <w:i/>
                <w:szCs w:val="26"/>
                <w:highlight w:val="non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02465" name="Picture 3" descr="Logo, company name&#10;&#10;Description automatically generated"/>
                              <pic:cNvPicPr>
                                <a:picLocks noChangeAspect="1"/>
                              </pic:cNvPicPr>
                              <pic:nvPr/>
                            </pic:nvPicPr>
                            <pic:blipFill rotWithShape="1">
                              <a:blip r:embed="rId14"/>
                              <a:stretch/>
                            </pic:blipFill>
                            <pic:spPr bwMode="auto">
                              <a:xfrm>
                                <a:off x="0" y="0"/>
                                <a:ext cx="1017900" cy="92201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none"/>
              </w:rPr>
            </w:r>
            <w:r>
              <w:rPr>
                <w:i/>
                <w:szCs w:val="26"/>
                <w:highlight w:val="none"/>
              </w:rPr>
            </w:r>
          </w:p>
        </w:tc>
        <w:tc>
          <w:tcPr>
            <w:gridSpan w:val="2"/>
            <w:tcBorders/>
            <w:tcW w:w="8349" w:type="dxa"/>
            <w:textDirection w:val="lrTb"/>
            <w:noWrap w:val="false"/>
          </w:tcPr>
          <w:p>
            <w:pPr>
              <w:pBdr/>
              <w:spacing w:line="312" w:lineRule="auto"/>
              <w:ind/>
              <w:jc w:val="left"/>
              <w:rPr>
                <w:b/>
                <w:highlight w:val="none"/>
              </w:rPr>
            </w:pPr>
            <w:r>
              <w:rPr>
                <w:b/>
                <w:highlight w:val="none"/>
                <w:lang w:val="da-DK"/>
              </w:rPr>
              <w:t xml:space="preserve">CÔNG TY CỔ PHẦN THẨM ĐỊNH VÀ ĐẦU TƯ TÀI CHÍNH HOA SEN</w:t>
            </w:r>
            <w:r>
              <w:rPr>
                <w:b/>
                <w:highlight w:val="none"/>
              </w:rPr>
            </w:r>
            <w:r>
              <w:rPr>
                <w:b/>
                <w:highlight w:val="none"/>
              </w:rPr>
            </w:r>
          </w:p>
          <w:p>
            <w:pPr>
              <w:pBdr/>
              <w:spacing w:line="312" w:lineRule="auto"/>
              <w:ind/>
              <w:jc w:val="left"/>
              <w:rPr>
                <w:highlight w:val="none"/>
              </w:rPr>
            </w:pPr>
            <w:r>
              <w:rPr>
                <w:highlight w:val="none"/>
                <w:lang w:val="da-DK"/>
              </w:rPr>
              <w:t xml:space="preserve">Trụ</w:t>
            </w:r>
            <w:r>
              <w:rPr>
                <w:highlight w:val="none"/>
                <w:lang w:val="da-DK"/>
              </w:rPr>
              <w:t xml:space="preserve"> </w:t>
            </w:r>
            <w:r>
              <w:rPr>
                <w:highlight w:val="none"/>
                <w:lang w:val="da-DK"/>
              </w:rPr>
              <w:t xml:space="preserve">sở</w:t>
            </w:r>
            <w:r>
              <w:rPr>
                <w:highlight w:val="none"/>
                <w:lang w:val="da-DK"/>
              </w:rPr>
              <w:t xml:space="preserve">: BT5 </w:t>
            </w:r>
            <w:r>
              <w:rPr>
                <w:highlight w:val="none"/>
                <w:lang w:val="da-DK"/>
              </w:rPr>
              <w:t xml:space="preserve">-</w:t>
            </w:r>
            <w:r>
              <w:rPr>
                <w:highlight w:val="none"/>
                <w:lang w:val="da-DK"/>
              </w:rPr>
              <w:t xml:space="preserve"> 23, </w:t>
            </w:r>
            <w:r>
              <w:rPr>
                <w:highlight w:val="none"/>
                <w:lang w:val="da-DK"/>
              </w:rPr>
              <w:t xml:space="preserve">Khu</w:t>
            </w:r>
            <w:r>
              <w:rPr>
                <w:highlight w:val="none"/>
                <w:lang w:val="da-DK"/>
              </w:rPr>
              <w:t xml:space="preserve"> </w:t>
            </w:r>
            <w:r>
              <w:rPr>
                <w:highlight w:val="none"/>
                <w:lang w:val="da-DK"/>
              </w:rPr>
              <w:t xml:space="preserve">đô</w:t>
            </w:r>
            <w:r>
              <w:rPr>
                <w:highlight w:val="none"/>
                <w:lang w:val="da-DK"/>
              </w:rPr>
              <w:t xml:space="preserve"> </w:t>
            </w:r>
            <w:r>
              <w:rPr>
                <w:highlight w:val="none"/>
                <w:lang w:val="da-DK"/>
              </w:rPr>
              <w:t xml:space="preserve">thị</w:t>
            </w:r>
            <w:r>
              <w:rPr>
                <w:highlight w:val="none"/>
                <w:lang w:val="da-DK"/>
              </w:rPr>
              <w:t xml:space="preserve"> </w:t>
            </w:r>
            <w:r>
              <w:rPr>
                <w:highlight w:val="none"/>
                <w:lang w:val="da-DK"/>
              </w:rPr>
              <w:t xml:space="preserve">mới</w:t>
            </w:r>
            <w:r>
              <w:rPr>
                <w:highlight w:val="none"/>
                <w:lang w:val="da-DK"/>
              </w:rPr>
              <w:t xml:space="preserve"> </w:t>
            </w:r>
            <w:r>
              <w:rPr>
                <w:highlight w:val="none"/>
                <w:lang w:val="da-DK"/>
              </w:rPr>
              <w:t xml:space="preserve">Văn</w:t>
            </w:r>
            <w:r>
              <w:rPr>
                <w:highlight w:val="none"/>
                <w:lang w:val="da-DK"/>
              </w:rPr>
              <w:t xml:space="preserve"> </w:t>
            </w:r>
            <w:r>
              <w:rPr>
                <w:highlight w:val="none"/>
                <w:lang w:val="da-DK"/>
              </w:rPr>
              <w:t xml:space="preserve">Phú</w:t>
            </w:r>
            <w:r>
              <w:rPr>
                <w:highlight w:val="none"/>
                <w:lang w:val="da-DK"/>
              </w:rPr>
              <w:t xml:space="preserve">, </w:t>
            </w:r>
            <w:r>
              <w:rPr>
                <w:highlight w:val="none"/>
                <w:lang w:val="da-DK"/>
              </w:rPr>
              <w:t xml:space="preserve">Phường</w:t>
            </w:r>
            <w:r>
              <w:rPr>
                <w:highlight w:val="none"/>
                <w:lang w:val="da-DK"/>
              </w:rPr>
              <w:t xml:space="preserve"> </w:t>
            </w:r>
            <w:r>
              <w:rPr>
                <w:highlight w:val="none"/>
                <w:lang w:val="da-DK"/>
              </w:rPr>
              <w:t xml:space="preserve">Kiến</w:t>
            </w:r>
            <w:r>
              <w:rPr>
                <w:highlight w:val="none"/>
                <w:lang w:val="da-DK"/>
              </w:rPr>
              <w:t xml:space="preserve"> </w:t>
            </w:r>
            <w:r>
              <w:rPr>
                <w:highlight w:val="none"/>
                <w:lang w:val="da-DK"/>
              </w:rPr>
              <w:t xml:space="preserve">Hưng</w:t>
            </w:r>
            <w:r>
              <w:rPr>
                <w:highlight w:val="none"/>
                <w:lang w:val="da-DK"/>
              </w:rPr>
              <w:t xml:space="preserve">, </w:t>
            </w:r>
            <w:r>
              <w:rPr>
                <w:highlight w:val="none"/>
                <w:lang w:val="da-DK"/>
              </w:rPr>
              <w:t xml:space="preserve">T</w:t>
            </w:r>
            <w:r>
              <w:rPr>
                <w:highlight w:val="none"/>
                <w:lang w:val="da-DK"/>
              </w:rPr>
              <w:t xml:space="preserve">hành</w:t>
            </w:r>
            <w:r>
              <w:rPr>
                <w:highlight w:val="none"/>
                <w:lang w:val="da-DK"/>
              </w:rPr>
              <w:t xml:space="preserve"> </w:t>
            </w:r>
            <w:r>
              <w:rPr>
                <w:highlight w:val="none"/>
                <w:lang w:val="da-DK"/>
              </w:rPr>
              <w:t xml:space="preserve">phố</w:t>
            </w:r>
            <w:r>
              <w:rPr>
                <w:highlight w:val="none"/>
                <w:lang w:val="da-DK"/>
              </w:rPr>
              <w:t xml:space="preserve"> </w:t>
            </w:r>
            <w:r>
              <w:rPr>
                <w:highlight w:val="none"/>
                <w:lang w:val="da-DK"/>
              </w:rPr>
              <w:t xml:space="preserve">Hà</w:t>
            </w:r>
            <w:r>
              <w:rPr>
                <w:highlight w:val="none"/>
                <w:lang w:val="da-DK"/>
              </w:rPr>
              <w:t xml:space="preserve"> </w:t>
            </w:r>
            <w:r>
              <w:rPr>
                <w:highlight w:val="none"/>
                <w:lang w:val="da-DK"/>
              </w:rPr>
              <w:t xml:space="preserve">Nội</w:t>
            </w:r>
            <w:r>
              <w:rPr>
                <w:highlight w:val="none"/>
              </w:rPr>
            </w:r>
            <w:r>
              <w:rPr>
                <w:highlight w:val="none"/>
              </w:rPr>
            </w:r>
          </w:p>
          <w:p>
            <w:pPr>
              <w:pBdr/>
              <w:tabs>
                <w:tab w:val="left" w:leader="none" w:pos="8787"/>
              </w:tabs>
              <w:spacing w:line="312" w:lineRule="auto"/>
              <w:ind w:right="4390" w:firstLine="0" w:left="0"/>
              <w:jc w:val="left"/>
              <w:rPr>
                <w:highlight w:val="none"/>
              </w:rPr>
            </w:pPr>
            <w:r>
              <w:rPr>
                <w:highlight w:val="none"/>
                <w:lang w:val="da-DK"/>
              </w:rPr>
              <w:t xml:space="preserve">Điện</w:t>
            </w:r>
            <w:r>
              <w:rPr>
                <w:highlight w:val="none"/>
                <w:lang w:val="da-DK"/>
              </w:rPr>
              <w:t xml:space="preserve"> </w:t>
            </w:r>
            <w:r>
              <w:rPr>
                <w:highlight w:val="none"/>
                <w:lang w:val="da-DK"/>
              </w:rPr>
              <w:t xml:space="preserve">thoại</w:t>
            </w:r>
            <w:r>
              <w:rPr>
                <w:highlight w:val="none"/>
                <w:lang w:val="da-DK"/>
              </w:rPr>
              <w:t xml:space="preserve">:  0853293333/ 024</w:t>
            </w:r>
            <w:r>
              <w:rPr>
                <w:highlight w:val="none"/>
                <w:lang w:val="da-DK"/>
              </w:rPr>
              <w:t xml:space="preserve">264</w:t>
            </w:r>
            <w:r>
              <w:rPr>
                <w:highlight w:val="none"/>
                <w:lang w:val="da-DK"/>
              </w:rPr>
              <w:t xml:space="preserve">433</w:t>
            </w:r>
            <w:r>
              <w:rPr>
                <w:highlight w:val="none"/>
                <w:lang w:val="da-DK"/>
              </w:rPr>
              <w:t xml:space="preserve">3</w:t>
            </w:r>
            <w:r>
              <w:rPr>
                <w:highlight w:val="none"/>
                <w:lang w:val="da-DK"/>
              </w:rPr>
              <w:t xml:space="preserve"> </w:t>
            </w:r>
            <w:r>
              <w:rPr>
                <w:highlight w:val="none"/>
              </w:rPr>
            </w:r>
            <w:r>
              <w:rPr>
                <w:highlight w:val="none"/>
              </w:rPr>
            </w:r>
          </w:p>
          <w:p>
            <w:pPr>
              <w:pBdr/>
              <w:spacing w:line="276" w:lineRule="auto"/>
              <w:ind/>
              <w:jc w:val="left"/>
              <w:rPr>
                <w:highlight w:val="none"/>
              </w:rPr>
            </w:pPr>
            <w:r>
              <w:rPr>
                <w:highlight w:val="none"/>
                <w:lang w:val="da-DK"/>
              </w:rPr>
              <w:t xml:space="preserve">Email</w:t>
            </w:r>
            <w:r>
              <w:rPr>
                <w:highlight w:val="none"/>
                <w:lang w:val="da-DK"/>
              </w:rPr>
              <w:t xml:space="preserve">: </w:t>
            </w:r>
            <w:r>
              <w:rPr>
                <w:highlight w:val="none"/>
                <w:lang w:val="da-DK"/>
              </w:rPr>
              <w:tab/>
            </w:r>
            <w:hyperlink r:id="rId16" w:tooltip="mailto:ilotus.contact@gmail.com" w:history="1">
              <w:r>
                <w:rPr>
                  <w:rStyle w:val="1019"/>
                  <w:rFonts w:eastAsiaTheme="majorEastAsia"/>
                  <w:color w:val="auto"/>
                  <w:highlight w:val="none"/>
                  <w:lang w:val="fr-FR"/>
                </w:rPr>
                <w:t xml:space="preserve">ilotus.contact@gmail.com</w:t>
              </w:r>
            </w:hyperlink>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fr-FR"/>
              </w:rPr>
              <w:t xml:space="preserve"> </w:t>
            </w:r>
            <w:r>
              <w:rPr>
                <w:highlight w:val="none"/>
                <w:lang w:val="da-DK"/>
              </w:rPr>
              <w:t xml:space="preserve">Website: ilotus.com.vn</w:t>
            </w:r>
            <w:r>
              <w:rPr>
                <w:highlight w:val="none"/>
              </w:rPr>
            </w:r>
            <w:r>
              <w:rPr>
                <w:highlight w:val="none"/>
              </w:rPr>
            </w:r>
          </w:p>
        </w:tc>
      </w:tr>
      <w:tr>
        <w:trPr>
          <w:trHeight w:val="536"/>
        </w:trPr>
        <w:tc>
          <w:tcPr>
            <w:gridSpan w:val="2"/>
            <w:shd w:val="clear" w:color="ffffff" w:fill="ffffff"/>
            <w:tcBorders/>
            <w:tcMar>
              <w:left w:w="108" w:type="dxa"/>
              <w:top w:w="0" w:type="dxa"/>
              <w:right w:w="108" w:type="dxa"/>
              <w:bottom w:w="0" w:type="dxa"/>
            </w:tcMar>
            <w:tcW w:w="3543" w:type="dxa"/>
            <w:textDirection w:val="lrTb"/>
            <w:noWrap w:val="false"/>
          </w:tcPr>
          <w:p>
            <w:pPr>
              <w:pStyle w:val="1028"/>
              <w:pBdr/>
              <w:spacing w:after="60"/>
              <w:ind/>
              <w:jc w:val="left"/>
              <w:rPr>
                <w:color w:val="000000" w:themeColor="text1"/>
                <w:sz w:val="24"/>
                <w:szCs w:val="24"/>
                <w:highlight w:val="none"/>
              </w:rPr>
            </w:pPr>
            <w:r>
              <w:rPr>
                <w:rStyle w:val="1027"/>
                <w:rFonts w:ascii="Times New Roman" w:hAnsi="Times New Roman"/>
                <w:color w:val="000000" w:themeColor="text1"/>
                <w:highlight w:val="none"/>
                <w:lang w:val="pt-BR"/>
              </w:rPr>
              <w:t xml:space="preserve">Số</w:t>
            </w:r>
            <w:r>
              <w:rPr>
                <w:rStyle w:val="1027"/>
                <w:rFonts w:ascii="Times New Roman" w:hAnsi="Times New Roman"/>
                <w:color w:val="000000" w:themeColor="text1"/>
                <w:highlight w:val="none"/>
                <w:lang w:val="pt-BR"/>
              </w:rPr>
              <w:t xml:space="preserve">: </w:t>
            </w:r>
            <w:r>
              <w:rPr>
                <w:rStyle w:val="1027"/>
                <w:rFonts w:ascii="Times New Roman" w:hAnsi="Times New Roman"/>
                <w:color w:val="000000" w:themeColor="text1"/>
                <w:highlight w:val="none"/>
                <w:lang w:val="pt-BR"/>
              </w:rPr>
              <w:t xml:space="preserve">275/202</w:t>
            </w:r>
            <w:r>
              <w:rPr>
                <w:rStyle w:val="1027"/>
                <w:rFonts w:ascii="Times New Roman" w:hAnsi="Times New Roman"/>
                <w:color w:val="000000" w:themeColor="text1"/>
                <w:highlight w:val="none"/>
                <w:lang w:val="pt-BR"/>
              </w:rPr>
              <w:t xml:space="preserve">6</w:t>
            </w:r>
            <w:r>
              <w:rPr>
                <w:rStyle w:val="1027"/>
                <w:rFonts w:ascii="Times New Roman" w:hAnsi="Times New Roman"/>
                <w:color w:val="000000" w:themeColor="text1"/>
                <w:highlight w:val="none"/>
                <w:lang w:val="pt-BR"/>
              </w:rPr>
              <w:t xml:space="preserve">/</w:t>
            </w:r>
            <w:r>
              <w:rPr>
                <w:rStyle w:val="1027"/>
                <w:rFonts w:ascii="Times New Roman" w:hAnsi="Times New Roman"/>
                <w:color w:val="000000" w:themeColor="text1"/>
                <w:highlight w:val="none"/>
                <w:lang w:val="pt-BR"/>
              </w:rPr>
              <w:t xml:space="preserve">0190</w:t>
            </w:r>
            <w:r>
              <w:rPr>
                <w:rStyle w:val="1027"/>
                <w:rFonts w:ascii="Times New Roman" w:hAnsi="Times New Roman"/>
                <w:color w:val="000000" w:themeColor="text1"/>
                <w:highlight w:val="none"/>
                <w:lang w:val="pt-BR"/>
              </w:rPr>
              <w:t xml:space="preserve">/VFI-B</w:t>
            </w:r>
            <w:r>
              <w:rPr>
                <w:rStyle w:val="1027"/>
                <w:rFonts w:ascii="Times New Roman" w:hAnsi="Times New Roman"/>
                <w:color w:val="000000" w:themeColor="text1"/>
                <w:highlight w:val="none"/>
                <w:lang w:val="pt-BR"/>
              </w:rPr>
              <w:t xml:space="preserve">C.</w:t>
            </w:r>
            <w:r>
              <w:rPr>
                <w:rStyle w:val="1027"/>
                <w:rFonts w:ascii="Times New Roman" w:hAnsi="Times New Roman"/>
                <w:color w:val="000000" w:themeColor="text1"/>
                <w:highlight w:val="none"/>
                <w:lang w:val="pt-BR"/>
              </w:rPr>
              <w:t xml:space="preserve">6</w:t>
            </w:r>
            <w:r>
              <w:rPr>
                <w:rStyle w:val="1027"/>
                <w:rFonts w:ascii="Times New Roman" w:hAnsi="Times New Roman"/>
                <w:color w:val="000000" w:themeColor="text1"/>
                <w:highlight w:val="none"/>
                <w:lang w:val="pt-BR"/>
              </w:rPr>
              <w:t xml:space="preserve">1.A</w:t>
            </w:r>
            <w:r>
              <w:rPr>
                <w:color w:val="000000" w:themeColor="text1"/>
                <w:sz w:val="24"/>
                <w:szCs w:val="24"/>
                <w:highlight w:val="none"/>
              </w:rPr>
            </w:r>
            <w:r>
              <w:rPr>
                <w:color w:val="000000" w:themeColor="text1"/>
                <w:sz w:val="24"/>
                <w:szCs w:val="24"/>
                <w:highlight w:val="none"/>
              </w:rPr>
            </w:r>
          </w:p>
        </w:tc>
        <w:tc>
          <w:tcPr>
            <w:shd w:val="clear" w:color="ffffff" w:fill="ffffff"/>
            <w:tcBorders/>
            <w:tcMar>
              <w:left w:w="108" w:type="dxa"/>
              <w:top w:w="0" w:type="dxa"/>
              <w:right w:w="108" w:type="dxa"/>
              <w:bottom w:w="0" w:type="dxa"/>
            </w:tcMar>
            <w:tcW w:w="6506" w:type="dxa"/>
            <w:textDirection w:val="lrTb"/>
            <w:noWrap w:val="false"/>
          </w:tcPr>
          <w:p>
            <w:pPr>
              <w:pStyle w:val="1028"/>
              <w:pBdr/>
              <w:spacing w:after="60"/>
              <w:ind w:right="-56"/>
              <w:jc w:val="right"/>
              <w:rPr>
                <w:color w:val="000000" w:themeColor="text1"/>
                <w:sz w:val="24"/>
                <w:szCs w:val="24"/>
                <w:highlight w:val="none"/>
              </w:rPr>
            </w:pPr>
            <w:r>
              <w:rPr>
                <w:rStyle w:val="1027"/>
                <w:rFonts w:ascii="Times New Roman" w:hAnsi="Times New Roman"/>
                <w:i/>
                <w:color w:val="auto"/>
                <w:highlight w:val="none"/>
              </w:rPr>
              <w:t xml:space="preserve"> </w:t>
            </w:r>
            <w:r>
              <w:rPr>
                <w:rStyle w:val="1027"/>
                <w:rFonts w:ascii="Times New Roman" w:hAnsi="Times New Roman"/>
                <w:i/>
                <w:color w:val="auto"/>
                <w:highlight w:val="none"/>
              </w:rPr>
              <w:t xml:space="preserve">TP. </w:t>
            </w:r>
            <w:r>
              <w:rPr>
                <w:rStyle w:val="1027"/>
                <w:rFonts w:ascii="Times New Roman" w:hAnsi="Times New Roman"/>
                <w:i/>
                <w:color w:val="auto"/>
                <w:highlight w:val="none"/>
              </w:rPr>
              <w:t xml:space="preserve">Hà</w:t>
            </w:r>
            <w:r>
              <w:rPr>
                <w:rStyle w:val="1027"/>
                <w:rFonts w:ascii="Times New Roman" w:hAnsi="Times New Roman"/>
                <w:i/>
                <w:color w:val="auto"/>
                <w:highlight w:val="none"/>
              </w:rPr>
              <w:t xml:space="preserve"> </w:t>
            </w:r>
            <w:r>
              <w:rPr>
                <w:rStyle w:val="1027"/>
                <w:rFonts w:ascii="Times New Roman" w:hAnsi="Times New Roman"/>
                <w:i/>
                <w:color w:val="auto"/>
                <w:highlight w:val="none"/>
              </w:rPr>
              <w:t xml:space="preserve">Nội</w:t>
            </w:r>
            <w:r>
              <w:rPr>
                <w:rStyle w:val="1027"/>
                <w:rFonts w:ascii="Times New Roman" w:hAnsi="Times New Roman"/>
                <w:i/>
                <w:color w:val="auto"/>
                <w:highlight w:val="none"/>
                <w:lang w:val="vi-VN"/>
              </w:rPr>
              <w:t xml:space="preserve">, </w:t>
            </w:r>
            <w:r>
              <w:rPr>
                <w:rStyle w:val="1027"/>
                <w:rFonts w:ascii="Times New Roman" w:hAnsi="Times New Roman"/>
                <w:i/>
                <w:color w:val="000000" w:themeColor="text1"/>
                <w:highlight w:val="none"/>
                <w:lang w:val="vi-VN"/>
              </w:rPr>
              <w:t xml:space="preserve">ngày </w:t>
            </w:r>
            <w:r>
              <w:rPr>
                <w:rStyle w:val="1027"/>
                <w:rFonts w:ascii="Times New Roman" w:hAnsi="Times New Roman"/>
                <w:i/>
                <w:color w:val="000000" w:themeColor="text1"/>
                <w:highlight w:val="none"/>
                <w:lang w:val="vi-VN"/>
              </w:rPr>
              <w:t xml:space="preserve">23 </w:t>
            </w:r>
            <w:r>
              <w:rPr>
                <w:rStyle w:val="1027"/>
                <w:rFonts w:ascii="Times New Roman" w:hAnsi="Times New Roman"/>
                <w:i/>
                <w:color w:val="000000" w:themeColor="text1"/>
                <w:highlight w:val="none"/>
                <w:lang w:val="vi-VN"/>
              </w:rPr>
              <w:t xml:space="preserve">tháng </w:t>
            </w:r>
            <w:r>
              <w:rPr>
                <w:rStyle w:val="1027"/>
                <w:rFonts w:ascii="Times New Roman" w:hAnsi="Times New Roman"/>
                <w:i/>
                <w:color w:val="000000" w:themeColor="text1"/>
                <w:highlight w:val="none"/>
                <w:lang w:val="vi-VN"/>
              </w:rPr>
              <w:t xml:space="preserve">01</w:t>
            </w:r>
            <w:r>
              <w:rPr>
                <w:rStyle w:val="1027"/>
                <w:rFonts w:ascii="Times New Roman" w:hAnsi="Times New Roman"/>
                <w:i/>
                <w:color w:val="000000" w:themeColor="text1"/>
                <w:highlight w:val="none"/>
                <w:lang w:val="vi-VN"/>
              </w:rPr>
              <w:t xml:space="preserve"> năm 202</w:t>
            </w:r>
            <w:r>
              <w:rPr>
                <w:rStyle w:val="1027"/>
                <w:rFonts w:ascii="Times New Roman" w:hAnsi="Times New Roman"/>
                <w:i/>
                <w:color w:val="000000" w:themeColor="text1"/>
                <w:highlight w:val="none"/>
                <w:lang w:val="vi-VN"/>
              </w:rPr>
              <w:t xml:space="preserve">6</w:t>
            </w:r>
            <w:r>
              <w:rPr>
                <w:color w:val="000000" w:themeColor="text1"/>
                <w:sz w:val="24"/>
                <w:szCs w:val="24"/>
                <w:highlight w:val="none"/>
              </w:rPr>
            </w:r>
            <w:r>
              <w:rPr>
                <w:color w:val="000000" w:themeColor="text1"/>
                <w:sz w:val="24"/>
                <w:szCs w:val="24"/>
                <w:highlight w:val="none"/>
              </w:rPr>
            </w:r>
          </w:p>
        </w:tc>
      </w:tr>
    </w:tbl>
    <w:p>
      <w:pPr>
        <w:pStyle w:val="1028"/>
        <w:pBdr/>
        <w:tabs>
          <w:tab w:val="left" w:leader="none" w:pos="5103"/>
        </w:tabs>
        <w:spacing w:before="200" w:line="340" w:lineRule="atLeast"/>
        <w:ind/>
        <w:jc w:val="center"/>
        <w:rPr>
          <w:b/>
          <w:bCs/>
          <w:iCs/>
          <w:sz w:val="30"/>
          <w:szCs w:val="30"/>
          <w:highlight w:val="none"/>
          <w:lang w:val="pt-BR"/>
        </w:rPr>
      </w:pPr>
      <w:r>
        <w:rPr>
          <w:b/>
          <w:sz w:val="30"/>
          <w:szCs w:val="30"/>
          <w:lang w:val="pt-BR"/>
        </w:rPr>
        <w:t xml:space="preserve">BÁO CÁO KẾT QUẢ THẨM ĐỊNH GIÁ</w:t>
      </w:r>
      <w:r>
        <w:rPr>
          <w:i/>
          <w:iCs/>
          <w:sz w:val="30"/>
          <w:szCs w:val="30"/>
          <w:lang w:val="pt-BR"/>
        </w:rPr>
      </w:r>
      <w:r>
        <w:rPr>
          <w:b/>
          <w:bCs/>
          <w:iCs/>
          <w:sz w:val="30"/>
          <w:szCs w:val="30"/>
          <w:highlight w:val="none"/>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275/2026/0190/VFI-CT.61.A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Ông Trần Hải Thành</w:t>
            </w:r>
            <w:r>
              <w:rPr>
                <w:b/>
                <w:bCs/>
              </w:rPr>
            </w:r>
            <w:r/>
          </w:p>
        </w:tc>
      </w:tr>
      <w:tr>
        <w:trPr>
          <w:trHeight w:val="422"/>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026090000106</w:t>
            </w:r>
            <w:r>
              <w:rPr>
                <w:b/>
                <w:bCs/>
              </w:rPr>
            </w:r>
            <w:r>
              <w:rPr>
                <w:b/>
                <w:bCs/>
              </w:rPr>
            </w:r>
          </w:p>
        </w:tc>
      </w:tr>
      <w:tr>
        <w:trPr>
          <w:trHeight w:val="422"/>
        </w:trPr>
        <w:tc>
          <w:tcPr>
            <w:tcBorders/>
            <w:tcW w:w="2518" w:type="dxa"/>
            <w:vAlign w:val="center"/>
            <w:vMerge w:val="restart"/>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vMerge w:val="restart"/>
            <w:textDirection w:val="lrTb"/>
            <w:noWrap w:val="false"/>
          </w:tcPr>
          <w:p>
            <w:pPr>
              <w:pBdr/>
              <w:spacing w:after="40" w:before="40" w:line="276" w:lineRule="auto"/>
              <w:ind/>
              <w:jc w:val="both"/>
              <w:rPr>
                <w:color w:val="ff0000"/>
                <w:lang w:val="pt-BR"/>
              </w:rPr>
            </w:pPr>
            <w:r>
              <w:rPr>
                <w:color w:val="000000" w:themeColor="text1"/>
                <w:lang w:val="vi-VN"/>
              </w:rPr>
            </w:r>
            <w:r>
              <w:t xml:space="preserve">TDP Vinh Thịnh, Phường Vĩnh Phúc, Tỉnh Phú Thọ.</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904, tờ bản đồ số: 43 có địa chỉ: TDP Vinh Thịnh, phường Vĩn</w:t>
            </w:r>
            <w:r>
              <w:rPr>
                <w:bCs/>
                <w:color w:val="000000" w:themeColor="text1"/>
                <w:lang w:val="pt-BR"/>
              </w:rPr>
              <w:t xml:space="preserve">h Phúc, tỉnh Phú Thọ theo 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TDP Vinh Thịnh, Phường Vĩnh Phúc, Tỉnh Phú Thọ.</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21.306861111111, 105.61888888889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275/2026/0190/VFI-HĐTĐ.61.A ngày 19/01/2026 giữa Ông Trần Hải Thành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shd w:val="nil" w:color="000000"/>
        <w:spacing/>
        <w:ind/>
        <w:jc w:val="both"/>
        <w:rPr>
          <w:color w:val="000000" w:themeColor="text1"/>
          <w:highlight w:val="none"/>
          <w14:ligatures w14:val="none"/>
        </w:rPr>
      </w:pPr>
      <w:r>
        <w:rPr>
          <w:lang w:val="pt-BR"/>
        </w:rPr>
        <w:tab/>
      </w:r>
      <w:r>
        <w:rPr>
          <w:color w:val="000000" w:themeColor="text1"/>
        </w:rPr>
        <w:t xml:space="preserve">Từ sau Tết Nguyên đán, giá đất nhiều nơi ở Vĩnh Phúc có xu hướng đi lên. Cơn sốt theo tin sáp nhập giúp thị trường này có lúc lọt top địa phương dẫn đầu về mức độ quan tâm đất nền trên cả nước, song cũng khiến có nhà đầu tư bị kẹt hàng, phải rao bán cắt lỗ</w:t>
      </w:r>
      <w:r>
        <w:rPr>
          <w:color w:val="000000" w:themeColor="text1"/>
        </w:rPr>
        <w:t xml:space="preserve">.</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14:ligatures w14:val="none"/>
        </w:rPr>
      </w:pPr>
      <w:r>
        <w:rPr>
          <w:color w:val="000000" w:themeColor="text1"/>
        </w:rPr>
        <w:t xml:space="preserve">Vĩnh Phúc là một trong 8 tỉnh thuộc Vùng Kinh tế trọng điểm phía Bắc. Địa phương sở hữu nhiều lợi thế về giao thông khi có vị trí nằm ở cửa ngõ phía Tây Bắc của Thủ đô, nằm sát sân bay Nội Bài.</w:t>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Nhiều tuyến đường huyết mạch chạy qua đây như cao tốc Nội Bài - Lào Cai, Quốc lộ 2, Quốc lộ 2C,... Ngoài ra còn nhiều tuyến theo quy hoạch như Vành đai V - Vùng Thủ đô, Quốc lộ 2D,... Địa phương đóng vai trò là cầu nối giữa các tỉnh phía Tây Bắc với TP Hà </w:t>
      </w:r>
      <w:r>
        <w:rPr>
          <w:color w:val="000000" w:themeColor="text1"/>
        </w:rPr>
        <w:t xml:space="preserve">Nội và đồng bằng châu thổ sông Hồng.</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Theo Nghị quyết 60-NQ/TW ban hành ngày 12/4, dự kiến Vĩnh Phúc sẽ sáp nhập với Hoà Bình và Phú Thọ, tỉnh mới mang tên Phú Thọ và đặt trụ sở tại TP Việt Trì hiện nay. Sau sắp xếp, phía Bắc của tỉnh mới sẽ giáp Tuyên Quang và Lào Cai; phía Đông giáp Thái Ngu</w:t>
      </w:r>
      <w:r>
        <w:rPr>
          <w:color w:val="000000" w:themeColor="text1"/>
        </w:rPr>
        <w:t xml:space="preserve">yên và Hà Nội; phía Tây giáp Sơn La; phía Nam giáp Ninh Bình và Thanh Hóa.</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Trước những thông tin liên quan đến việc sáp nhập tỉnh, thành, thị trường bất động sản Vĩnh Phúc đã ghi nhận dấu hiệu tăng nhiệt, tâm lý nhà đầu tư tích cực, thúc đẩy làn sóng tăng giá cục bộ ở một số địa bàn nóng.</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Trao đổi với người viết, anh H., môi giới địa phương chia sẻ, từ sau Tết Nguyên đán, mặt bằng giá đất nền Vĩnh Phúc có xu hướng đi lên ở nhiều nơi.</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Hồi tháng 3, có thời điểm giá đất Khu đô thị Nam Vĩnh Yên (TP Vĩnh Yên) “nhảy múa” từng ngày. So với lúc trước Tết Nguyên đán, giá rao bán nhiều lô đất tăng khoảng 15 - 30%, cá biệt có những lô góc, nằm ở vị trí đẹp tăng đến 50% chỉ trong vài tháng.</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Nằm sát đường Lý Nam Đế, một lô đất rộng 100 m2 được rao bán với giá hơn 40 triệu/m2, tức hơn 4 tỷ. Một lô đất khác rộng hơn 200 m2, có mặt tiền rộng 10 m thuận tiện kinh doanh được rao bán với giá 37 triệu/m2, tức hơn 7,4 tỷ. Trong khi đó, giá đất quanh k</w:t>
      </w:r>
      <w:r>
        <w:rPr>
          <w:color w:val="000000" w:themeColor="text1"/>
        </w:rPr>
        <w:t xml:space="preserve">hu vực này vào cuối năm ngoái vẫn còn được rao bán nhiều ở mức dưới 35 triệu/m2.</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Tại TP Phúc Yên, thống kê của Biggee cho thấy, mặt bằng giá đất nền ở đây trong quý I/2025 đã tăng 27,9% so với quý IV/2024.</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Đất nền Khu đô thị TMS Phúc Yên (phường Hùng Vương) hiện dao động 25,5 - 47 triệu/m2, trong khi đầu năm ngoái giá khoảng 23 - 35 triệu/m2. Một số lô góc rộng hơn 100 m2, giáp mặt đường lớn thì có giá nhỉnh hơn, khoảng trên 50 triệu/m2, tức hơn 5 tỷ/lô.</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Sang xã Ngọc Thanh, môi giới tiết lộ có thời điểm chốt được 3 giao dịch trong một ngày, đường xá thôn làng xuất hiện tấp nập xe ô tô mang biển số ngoại tỉnh kéo về.</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Sức hút của thị trường này được anh H. lý giải do đây là xã miền núi duy nhất của TP Phúc Yên, mặt bằng giá vẫn còn thấp hơn so với những nơi khác, nhiều chỗ chưa tới 10 triệu/m2.</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Bên cạnh đó, tại đây có một số dự án nghỉ dưỡng hiện diện như Flamingo Đại Lải Resort, Sân golf Đại Lải, Khu đô thị du lịch Thanh Xuân Valley,... Xung quanh khu vực có nhiều hồ sinh thái như hồ Đồng Đò, hồ Đại Lải, hồ Thanh Cao, hồ Lập Đinh, thu hút nhà đầ</w:t>
      </w:r>
      <w:r>
        <w:rPr>
          <w:color w:val="000000" w:themeColor="text1"/>
        </w:rPr>
        <w:t xml:space="preserve">u tư chuộng mua đất vườn xây homestay tìm về.</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Tuy nhiên, nhược điểm là nguồn hàng trong dân có nhiều lô đất vườn, đất thổ cư diện tích lớn hàng trăm mét vuông, khiến giá thành lên tới gần chục tỷ đồng. Anh H. cho biết, phần lớn khách hàng tìm đến nhờ hỏi mua đất khu vực này là những nhà đầu tư tay to,</w:t>
      </w:r>
      <w:r>
        <w:rPr>
          <w:color w:val="000000" w:themeColor="text1"/>
        </w:rPr>
        <w:t xml:space="preserve"> vốn khoẻ ở Hà Nội với mục đích xây biệt thự nghỉ dưỡng, nhà vườn hoặc tách thửa rồi bán lại.</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Tại huyện Tam Dương, chị D., nhân viên sàn PNH Land chia sẻ, các thông tin về việc sáp nhập tỉnh khiến cơn sốt đất địa phương chóng nở, song cũng chóng tàn.</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14:ligatures w14:val="none"/>
        </w:rPr>
      </w:pPr>
      <w:r>
        <w:rPr>
          <w:color w:val="000000" w:themeColor="text1"/>
        </w:rPr>
        <w:t xml:space="preserve">“Trước khi có tin chính thống về việc tới đây, Vĩnh Phúc dự kiến sáp nhập với Phú Thọ và Hoà Bình thì hồi đầu năm, thị trường còn râm ran xuất hiện tin đồn Vĩnh Phúc sáp nhập vào Hà Nội. Đến bây giờ thì mọi người đều rõ đó là tin ảo, vậy nhưng việc nhà đầu</w:t>
      </w:r>
      <w:r>
        <w:rPr>
          <w:color w:val="000000" w:themeColor="text1"/>
        </w:rPr>
        <w:t xml:space="preserve"> tư kéo đến tìm mua đất Vĩnh Phúc với hy vọng đón sóng tăng giá theo kịch bản sáp nhập vào Thủ đô là thật.</w:t>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Cuối năm ngoái tôi thấy nhịp thị trường vẫn còn khá trầm. Vậy mà ngay sau Tết, một số nhóm môi giới ở huyện Đông Anh và Sóc Sơn (Hà Nội) đã dẫn khách tới Tam Dương xem đất quanh khu vực các dự án KCN Tam Dương I, KCN Tam Dương II.</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Đường làng tự dưng tấp nập ô tô, cò đất kê bàn, kê ghế tiếp khách. Mạng xã hội liên tục chia sẻ các thông tin đặt cọc, chốt bán, tuy nhiên theo tôi biết thì trong số đó có cả những giao dịch do môi giới tự mua đi bán lại với nhau nhằm đánh sóng”, chị D. ch</w:t>
      </w:r>
      <w:r>
        <w:rPr>
          <w:color w:val="000000" w:themeColor="text1"/>
        </w:rPr>
        <w:t xml:space="preserve">o hay.</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14:ligatures w14:val="none"/>
        </w:rPr>
      </w:pPr>
      <w:r>
        <w:rPr>
          <w:color w:val="000000" w:themeColor="text1"/>
        </w:rPr>
        <w:t xml:space="preserve">Theo người này, cảnh tượng nhộn nhịp trên chỉ diễn ra trong thời gian ngắn, khoảng 2 tuần rồi kết thúc.</w:t>
      </w:r>
      <w:r>
        <w:rPr>
          <w:color w:val="000000" w:themeColor="text1"/>
        </w:rPr>
        <w:t xml:space="preserve">“Cùng là người trong nghề mà tôi thấy họ đánh sóng bài bản quá. Chỉ khổ những nhà đầu tư dùng đòn bẩy mà đến sau, bị ảnh hưởng bởi tâm lý FOMO lúc xuống tiền, giờ đây bị kẹt hàng.</w:t>
      </w:r>
      <w:r>
        <w:rPr>
          <w:color w:val="000000" w:themeColor="text1"/>
          <w14:ligatures w14:val="none"/>
        </w:rPr>
      </w:r>
      <w:r>
        <w:rPr>
          <w:color w:val="000000" w:themeColor="text1"/>
          <w14:ligatures w14:val="none"/>
        </w:rPr>
      </w:r>
    </w:p>
    <w:p>
      <w:pPr>
        <w:pBdr/>
        <w:shd w:val="nil" w:color="000000"/>
        <w:spacing/>
        <w:ind/>
        <w:jc w:val="both"/>
        <w:rPr>
          <w:color w:val="000000" w:themeColor="text1"/>
          <w14:ligatures w14:val="none"/>
        </w:rPr>
      </w:pPr>
      <w:r>
        <w:rPr>
          <w:color w:val="000000" w:themeColor="text1"/>
        </w:rPr>
        <w:t xml:space="preserve">Có khách lỡ mua phải một lô đất ở huyện Tam Dương đúng lúc đỉnh sóng với giá 2,3 tỷ đồng, định bán lướt kiếm lời mà không thành. Ban đầu họ rao với giá chênh nhẹ 2,4 tỷ đồng, tuy nhiên đã gần hai tháng mà vẫn chưa tìm được người mua nên đang nhờ tôi rao gi</w:t>
      </w:r>
      <w:r>
        <w:rPr>
          <w:color w:val="000000" w:themeColor="text1"/>
        </w:rPr>
        <w:t xml:space="preserve">úp với giá 2,1 tỷ, chấp nhận cắt lỗ 200 triệu, chưa kể tiền lãi vay. Đến giờ vẫn vị khách đó chưa thoát được hàng”, người này nói.</w:t>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Dưới góc nhìn của môi giới địa phương, chị D. đánh giá đến hiện tại, sức nóng trên thị trường bất động sản Vĩnh Phúc đã giảm bớt, song hệ quả để lại là mặt bằng giá nhích thêm “một bậc” so với năm ngoái, không đúng với giá trị thực.</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b/>
          <w:bCs/>
          <w:color w:val="000000" w:themeColor="text1"/>
          <w:highlight w:val="none"/>
          <w14:ligatures w14:val="none"/>
        </w:rPr>
      </w:pPr>
      <w:r>
        <w:rPr>
          <w:b/>
          <w:bCs/>
          <w:color w:val="000000" w:themeColor="text1"/>
        </w:rPr>
        <w:t xml:space="preserve">Khó sốt lại trong nửa cuối năm   </w:t>
      </w:r>
      <w:r>
        <w:rPr>
          <w:b/>
          <w:bCs/>
          <w:color w:val="000000" w:themeColor="text1"/>
          <w:highlight w:val="none"/>
          <w14:ligatures w14:val="none"/>
        </w:rPr>
      </w:r>
      <w:r>
        <w:rPr>
          <w:b/>
          <w:bCs/>
          <w:color w:val="000000" w:themeColor="text1"/>
          <w:highlight w:val="none"/>
          <w14:ligatures w14:val="none"/>
        </w:rPr>
      </w:r>
    </w:p>
    <w:p>
      <w:pPr>
        <w:pBdr/>
        <w:shd w:val="nil" w:color="000000"/>
        <w:spacing/>
        <w:ind/>
        <w:jc w:val="both"/>
        <w:rPr>
          <w:b/>
          <w:bCs/>
          <w:color w:val="000000" w:themeColor="text1"/>
          <w14:ligatures w14:val="none"/>
        </w:rPr>
      </w:pPr>
      <w:r>
        <w:rPr>
          <w:b/>
          <w:bCs/>
          <w:color w:val="000000" w:themeColor="text1"/>
          <w:highlight w:val="none"/>
        </w:rPr>
      </w:r>
      <w:r>
        <w:rPr>
          <w:b/>
          <w:bCs/>
          <w:color w:val="000000" w:themeColor="text1"/>
          <w14:ligatures w14:val="none"/>
        </w:rPr>
      </w:r>
      <w:r>
        <w:rPr>
          <w:b/>
          <w:bCs/>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Theo ông Trần Quang Trung, Giám đốc phát triển Kinh doanh OneHousing, việc thị trường bùng nổ thông tin (chưa chính thức) về chủ trương sáp nhập các tỉnh, tái phân bổ trung tâm hành chính trở thành "chất xúc tác" khiến nhà đầu tư đổ xô gom đất.</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14:ligatures w14:val="none"/>
        </w:rPr>
      </w:pPr>
      <w:r>
        <w:rPr>
          <w:color w:val="000000" w:themeColor="text1"/>
        </w:rPr>
        <w:t xml:space="preserve">Tâm lý FOMO khiến nhà đầu tư gom đất ồ ạt, nếu không tỉnh táo thì rất dễ mắc kẹt dài hạn vì giá bán đã vượt xa giá trị thực. Nhà đầu tư cần tập trung vào thanh khoản, kiểm soát đòn bẩy tài chính và trả lời được các câu hỏi ai sẽ mua lại, ai sẽ thuê hay ai </w:t>
      </w:r>
      <w:r>
        <w:rPr>
          <w:color w:val="000000" w:themeColor="text1"/>
        </w:rPr>
        <w:t xml:space="preserve">sẽ sống ở đó khi đưa ra quyết định.</w:t>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Theo thống kê của Batdongsan.com.vn, từ sau Tết, mức độ quan tâm đất nền ở các thị trường tỉnh đã leo thang rất nhanh, nhất là trong tháng 3 với mức tăng 54% so với tháng 2, vượt cả Hà Nội (52%) và TP HCM (31%). Đây gần như là mức tăng cao nhất tại các thị</w:t>
      </w:r>
      <w:r>
        <w:rPr>
          <w:color w:val="000000" w:themeColor="text1"/>
        </w:rPr>
        <w:t xml:space="preserve"> trường tỉnh trong khoảng 3 - 4 năm qua. Trong đó, Vĩnh Phúc thuộc top dẫn đầu về đà tăng trưởng của mức độ quan tâm đất nền, ở mức 68%.</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highlight w:val="none"/>
          <w14:ligatures w14:val="none"/>
        </w:rPr>
      </w:pPr>
      <w:r>
        <w:rPr>
          <w:color w:val="000000" w:themeColor="text1"/>
        </w:rPr>
        <w:t xml:space="preserve">Trao đổi với người viết, ông Lê Đình Chung, chuyên gia Hội Môi giới Bất động sản Việt Nam (VARS) đánh giá, về cơ bản, sau khi xuất hiện các thông tin liên quan đến đề án sáp nhập tỉnh, thành, phân khúc đất nền tại một số nơi đã lần lượt lên cơn sốt cục bộ </w:t>
      </w:r>
      <w:r>
        <w:rPr>
          <w:color w:val="000000" w:themeColor="text1"/>
        </w:rPr>
        <w:t xml:space="preserve">trong thời gian ngắn (kéo dài khoảng 2 - 3 tuần), sức nóng chủ yếu tập trung ở những khu vực trung tâm.</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“Đất nền vốn là phân khúc nhạy cảm, phần lớn phục vụ đầu tư, đầu cơ. Do đó, khi có thông tin mang tính chất vĩ mô, thị trường sẽ chịu sự tác động, dễ lên nhanh xuống nhanh”, vị này nói.</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rPr>
        <w:t xml:space="preserve">Năm 2025 được dự báo là thời của bất động sản tỉnh. Sau khi sáp nhập, tiềm lực về địa lý, đầu tư, hạ tầng của các địa phương mới sẽ càng được đẩy mạnh hơn nữa. </w:t>
      </w:r>
      <w:r>
        <w:rPr>
          <w:color w:val="000000" w:themeColor="text1"/>
        </w:rPr>
        <w:t xml:space="preserve">Tuy nhiên, ông Chung cho rằng, trong khoảng thời gian từ nay đến cuối năm, các cơn sốt đất cục bộ sẽ khó có thể tiếp tục diễn ra.</w:t>
      </w:r>
      <w:r>
        <w:rPr>
          <w:color w:val="000000" w:themeColor="text1"/>
          <w14:ligatures w14:val="none"/>
        </w:rPr>
      </w:r>
      <w:r>
        <w:rPr>
          <w:color w:val="000000" w:themeColor="text1"/>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Lý do bởi người dân Việt Nam hay có thói quen đầu tư bất động sản theo tâm lý đám đông, đợt sóng cũ vừa qua thì đợt mới rất khó hình thành trong thời gian ngắn. Bên cạnh đó, tại một số nơi sốt đất hồi đầu năm, đến hiện tại đã có dấu hiệu giao dịch chậm, nh</w:t>
      </w:r>
      <w:r>
        <w:rPr>
          <w:color w:val="000000" w:themeColor="text1"/>
        </w:rPr>
        <w:t xml:space="preserve">iều vị trí ghi nhận thực trạng giảm giá bán.</w:t>
      </w:r>
      <w:r>
        <w:rPr>
          <w:color w:val="000000" w:themeColor="text1"/>
          <w:highlight w:val="none"/>
          <w14:ligatures w14:val="none"/>
        </w:rPr>
      </w:r>
      <w:r>
        <w:rPr>
          <w:color w:val="000000" w:themeColor="text1"/>
          <w:highlight w:val="none"/>
          <w14:ligatures w14:val="none"/>
        </w:rPr>
      </w:r>
    </w:p>
    <w:p>
      <w:pPr>
        <w:pBdr/>
        <w:shd w:val="nil" w:color="000000"/>
        <w:spacing/>
        <w:ind/>
        <w:jc w:val="both"/>
        <w:rPr>
          <w:color w:val="000000" w:themeColor="text1"/>
          <w14:ligatures w14:val="none"/>
        </w:rPr>
      </w:pPr>
      <w:r>
        <w:rPr>
          <w:color w:val="000000" w:themeColor="text1"/>
          <w:highlight w:val="none"/>
        </w:rPr>
      </w:r>
      <w:r>
        <w:rPr>
          <w:color w:val="000000" w:themeColor="text1"/>
          <w14:ligatures w14:val="none"/>
        </w:rPr>
      </w:r>
      <w:r>
        <w:rPr>
          <w:color w:val="000000" w:themeColor="text1"/>
          <w14:ligatures w14:val="none"/>
        </w:rPr>
      </w:r>
    </w:p>
    <w:p>
      <w:pPr>
        <w:pBdr/>
        <w:shd w:val="nil" w:color="000000"/>
        <w:spacing/>
        <w:ind/>
        <w:jc w:val="both"/>
        <w:rPr>
          <w:color w:val="000000" w:themeColor="text1"/>
          <w14:ligatures w14:val="none"/>
        </w:rPr>
      </w:pPr>
      <w:r>
        <w:rPr>
          <w:color w:val="000000" w:themeColor="text1"/>
        </w:rPr>
        <w:t xml:space="preserve">“Kể cả đến khi chính thức sáp nhập tỉnh, tôi nghĩ thị trường đất nền cũng khó tiếp tục ghi nhận diễn biến đáng chú ý như trong khoảng thời gian vừa rồi. Bởi, ngay khi thông tin mới xuất hiện chính là thời điểm tâm lý nhà đầu tư lên cao nhất.</w:t>
      </w:r>
      <w:r>
        <w:rPr>
          <w:color w:val="000000" w:themeColor="text1"/>
          <w14:ligatures w14:val="none"/>
        </w:rPr>
      </w:r>
      <w:r>
        <w:rPr>
          <w:color w:val="000000" w:themeColor="text1"/>
          <w14:ligatures w14:val="none"/>
        </w:rPr>
      </w:r>
    </w:p>
    <w:p>
      <w:pPr>
        <w:pBdr/>
        <w:shd w:val="nil" w:color="000000"/>
        <w:spacing/>
        <w:ind/>
        <w:jc w:val="both"/>
        <w:rPr>
          <w:color w:val="000000" w:themeColor="text1"/>
          <w:highlight w:val="none"/>
          <w14:ligatures w14:val="none"/>
        </w:rPr>
      </w:pPr>
      <w:r>
        <w:rPr>
          <w:color w:val="000000" w:themeColor="text1"/>
        </w:rPr>
        <w:t xml:space="preserve">Còn đến khi chính thức sáp nhập thì rất nhiều vấn đề cần giải quyết, nhất là về thủ tục hành chính. Đây là điều vướng mắc, tạo ra sự ngưng trệ trong ngắn hạn, thị trường bất động sản có thể sẽ chậm lại một nhịp”, chuyên gia này dự báo.</w:t>
      </w:r>
      <w:r>
        <w:rPr>
          <w:color w:val="000000" w:themeColor="text1"/>
          <w:highlight w:val="none"/>
          <w14:ligatures w14:val="none"/>
        </w:rPr>
      </w:r>
      <w:r>
        <w:rPr>
          <w:color w:val="000000" w:themeColor="text1"/>
          <w:highlight w:val="none"/>
          <w14:ligatures w14:val="none"/>
        </w:rPr>
      </w:r>
    </w:p>
    <w:p>
      <w:pPr>
        <w:pBdr/>
        <w:shd w:val="nil" w:color="000000"/>
        <w:spacing/>
        <w:ind/>
        <w:jc w:val="both"/>
        <w:rPr>
          <w:bCs/>
          <w:i/>
          <w:color w:val="000000" w:themeColor="text1"/>
          <w14:ligatures w14:val="none"/>
        </w:rPr>
      </w:pPr>
      <w:r>
        <w:rPr>
          <w:i/>
          <w:iCs/>
          <w:color w:val="000000" w:themeColor="text1"/>
          <w:highlight w:val="none"/>
        </w:rPr>
        <w:t xml:space="preserve">(Nguồn: </w:t>
      </w:r>
      <w:r>
        <w:rPr>
          <w:i/>
          <w:iCs/>
          <w:color w:val="000000" w:themeColor="text1"/>
          <w:highlight w:val="none"/>
        </w:rPr>
        <w:t xml:space="preserve">https://doanhnhanvn.vn/nha-dau-tu-om-dat-vinh-phuc-hau-song-sap-nhap.html</w:t>
      </w:r>
      <w:r>
        <w:rPr>
          <w:i/>
          <w:iCs/>
          <w:color w:val="000000" w:themeColor="text1"/>
          <w:highlight w:val="none"/>
        </w:rPr>
        <w:t xml:space="preserve">)</w:t>
      </w:r>
      <w:r>
        <w:rPr>
          <w:bCs/>
          <w:i/>
          <w:color w:val="000000" w:themeColor="text1"/>
          <w14:ligatures w14:val="none"/>
        </w:rPr>
      </w:r>
      <w:r>
        <w:rPr>
          <w:bCs/>
          <w:i/>
          <w:color w:val="000000" w:themeColor="text1"/>
          <w14:ligatures w14:val="none"/>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904, tờ bản đồ số: 43 có địa chỉ: TDP Vinh Thịnh, phường Vĩn</w:t>
            </w:r>
            <w:r>
              <w:rPr>
                <w:b/>
                <w:bCs/>
                <w:color w:val="000000"/>
              </w:rPr>
              <w:t xml:space="preserve">h Phúc, tỉnh Phú Thọ theo 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904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TDP Vinh Thịnh, Phường Vĩnh Phúc, Tỉnh Phú Thọ.</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198,2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 Đất trồng cây lâu năm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BTXM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3,5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Mê Linh khoảng 100m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 Hướng Tây Nam tiếp giáp với đường rộng khoảng 3,5m</w:t>
            </w:r>
            <w:r>
              <w:rPr>
                <w:color w:val="000000" w:themeColor="text1"/>
              </w:rPr>
            </w:r>
            <w:r>
              <w:rPr>
                <w:color w:val="000000" w:themeColor="text1"/>
                <w:highlight w:val="none"/>
              </w:rPr>
            </w:r>
          </w:p>
          <w:p>
            <w:pPr>
              <w:pBdr/>
              <w:spacing/>
              <w:ind/>
              <w:rPr>
                <w:color w:val="000000" w:themeColor="text1"/>
              </w:rPr>
            </w:pPr>
            <w:r>
              <w:rPr>
                <w:color w:val="000000" w:themeColor="text1"/>
                <w:highlight w:val="none"/>
              </w:rPr>
              <w:t xml:space="preserve">+ Các hướng khác: tiếp giác thửa đất khác</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21.306861111111</w:t>
            </w:r>
            <w:r>
              <w:rPr>
                <w:color w:val="000000"/>
              </w:rPr>
              <w:t xml:space="preserve">, </w:t>
            </w:r>
            <w:r>
              <w:rPr>
                <w:color w:val="000000"/>
              </w:rPr>
              <w:t xml:space="preserve">105.61888888889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7396"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7396"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71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198,2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4,31</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45,99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Giếng khoan,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Không có lợi thế kinh doanh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numPr>
                <w:ilvl w:val="0"/>
                <w:numId w:val="39"/>
              </w:numPr>
              <w:pBdr>
                <w:top w:val="none" w:color="000000" w:sz="4" w:space="0"/>
                <w:left w:val="none" w:color="000000" w:sz="4" w:space="0"/>
                <w:bottom w:val="none" w:color="000000" w:sz="4" w:space="0"/>
                <w:right w:val="none" w:color="000000" w:sz="4" w:space="0"/>
              </w:pBdr>
              <w:shd w:val="clear" w:color="ffffff" w:fill="ffffff"/>
              <w:spacing/>
              <w:ind w:right="0" w:hanging="283" w:left="425"/>
              <w:jc w:val="both"/>
              <w:rPr/>
            </w:pPr>
            <w:r>
              <w:rPr>
                <w:rFonts w:ascii="Times New Roman" w:hAnsi="Times New Roman" w:eastAsia="Times New Roman" w:cs="Times New Roman"/>
                <w:color w:val="000000"/>
                <w:sz w:val="24"/>
              </w:rPr>
              <w:t xml:space="preserve">Tại thời điểm khảo sát, CTXD gắn l</w:t>
            </w:r>
            <w:r>
              <w:rPr>
                <w:rFonts w:ascii="Times New Roman" w:hAnsi="Times New Roman" w:eastAsia="Times New Roman" w:cs="Times New Roman"/>
                <w:color w:val="000000" w:themeColor="text1"/>
                <w:sz w:val="24"/>
                <w:highlight w:val="none"/>
              </w:rPr>
              <w:t xml:space="preserve">i</w:t>
            </w:r>
            <w:r>
              <w:rPr>
                <w:rFonts w:ascii="Times New Roman" w:hAnsi="Times New Roman" w:eastAsia="Times New Roman" w:cs="Times New Roman"/>
                <w:color w:val="000000" w:themeColor="text1"/>
                <w:sz w:val="24"/>
                <w:highlight w:val="none"/>
              </w:rPr>
              <w:t xml:space="preserve">ền với thửa đất</w:t>
            </w:r>
            <w:r>
              <w:rPr>
                <w:rFonts w:ascii="Times New Roman" w:hAnsi="Times New Roman" w:eastAsia="Times New Roman" w:cs="Times New Roman"/>
                <w:b w:val="0"/>
                <w:bCs w:val="0"/>
                <w:color w:val="000000" w:themeColor="text1"/>
                <w:sz w:val="24"/>
                <w:highlight w:val="none"/>
              </w:rPr>
              <w:t xml:space="preserve"> </w:t>
            </w:r>
            <w:r>
              <w:rPr>
                <w:rFonts w:ascii="Times New Roman" w:hAnsi="Times New Roman" w:eastAsia="Times New Roman" w:cs="Times New Roman"/>
                <w:color w:val="000000"/>
                <w:sz w:val="24"/>
                <w:highlight w:val="none"/>
              </w:rPr>
              <w:t xml:space="preserve">l</w:t>
            </w:r>
            <w:r>
              <w:rPr>
                <w:rFonts w:ascii="Times New Roman" w:hAnsi="Times New Roman" w:eastAsia="Times New Roman" w:cs="Times New Roman"/>
                <w:color w:val="000000"/>
                <w:sz w:val="24"/>
                <w:highlight w:val="none"/>
              </w:rPr>
              <w:t xml:space="preserve">à</w:t>
            </w:r>
            <w:r>
              <w:rPr>
                <w:rFonts w:ascii="Times New Roman" w:hAnsi="Times New Roman" w:eastAsia="Times New Roman" w:cs="Times New Roman"/>
                <w:color w:val="000000"/>
                <w:sz w:val="24"/>
              </w:rPr>
              <w:t xml:space="preserve"> Nhà 02 tầng, kết cấu BTCT, tường xây gạch, mái BTCT, diện tích sàn:</w:t>
            </w:r>
            <w:r>
              <w:rPr>
                <w:rFonts w:ascii="Times New Roman" w:hAnsi="Times New Roman" w:eastAsia="Times New Roman" w:cs="Times New Roman"/>
                <w:color w:val="000000"/>
                <w:sz w:val="24"/>
                <w:highlight w:val="none"/>
              </w:rPr>
              <w:t xml:space="preserve"> 300m</w:t>
            </w:r>
            <w:r>
              <w:rPr>
                <w:rFonts w:ascii="Times New Roman" w:hAnsi="Times New Roman" w:eastAsia="Times New Roman" w:cs="Times New Roman"/>
                <w:color w:val="000000"/>
                <w:sz w:val="24"/>
                <w:highlight w:val="none"/>
                <w:vertAlign w:val="superscript"/>
              </w:rPr>
              <w:t xml:space="preserve">2</w:t>
            </w:r>
            <w:r>
              <w:rPr>
                <w:rFonts w:ascii="Times New Roman" w:hAnsi="Times New Roman" w:eastAsia="Times New Roman" w:cs="Times New Roman"/>
                <w:color w:val="000000"/>
                <w:sz w:val="24"/>
                <w:highlight w:val="none"/>
              </w:rPr>
              <w:t xml:space="preserve">; Xây dựng năm 2020</w:t>
            </w:r>
            <w:r/>
          </w:p>
          <w:p>
            <w:pPr>
              <w:numPr>
                <w:ilvl w:val="0"/>
                <w:numId w:val="39"/>
              </w:numPr>
              <w:pBdr>
                <w:top w:val="none" w:color="000000" w:sz="4" w:space="0"/>
                <w:left w:val="none" w:color="000000" w:sz="4" w:space="0"/>
                <w:bottom w:val="none" w:color="000000" w:sz="4" w:space="0"/>
                <w:right w:val="none" w:color="000000" w:sz="4" w:space="0"/>
              </w:pBdr>
              <w:shd w:val="clear" w:color="ffffff" w:fill="ffffff"/>
              <w:spacing/>
              <w:ind w:right="0" w:hanging="283" w:left="425"/>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Công trình chưa được chứng nhận trên Giấy chứng nhận quyền sử dụng đất quyền sở hữu nhà ở và tài sản khác gắn liền với đất số: AA 05399427</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39"/>
              </w:numPr>
              <w:pBdr>
                <w:top w:val="none" w:color="000000" w:sz="4" w:space="0"/>
                <w:left w:val="none" w:color="000000" w:sz="4" w:space="0"/>
                <w:bottom w:val="none" w:color="000000" w:sz="4" w:space="0"/>
                <w:right w:val="none" w:color="000000" w:sz="4" w:space="0"/>
              </w:pBdr>
              <w:shd w:val="clear" w:color="ffffff" w:fill="ffffff"/>
              <w:spacing/>
              <w:ind w:right="0" w:hanging="283" w:left="425"/>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3"/>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TDP Vinh Thịnh, Phường Vĩnh Phúc, Tỉnh Phú Thọ.</w:t>
            </w:r>
            <w:r/>
          </w:p>
        </w:tc>
        <w:tc>
          <w:tcPr>
            <w:tcBorders/>
            <w:tcW w:w="1605" w:type="dxa"/>
            <w:vAlign w:val="center"/>
            <w:textDirection w:val="lrTb"/>
            <w:noWrap w:val="false"/>
          </w:tcPr>
          <w:p>
            <w:pPr>
              <w:pBdr/>
              <w:spacing/>
              <w:ind/>
              <w:jc w:val="center"/>
              <w:rPr/>
            </w:pPr>
            <w:r>
              <w:t xml:space="preserve">TDP Vinh Thịnh, Phường Vĩnh Phúc, Tỉnh Phú Thọ.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Phường Khai Quang, Thành phố Vĩnh Yên, Tỉnh Vĩnh Phúc</w:t>
            </w:r>
            <w:r/>
          </w:p>
        </w:tc>
        <w:tc>
          <w:tcPr>
            <w:tcBorders/>
            <w:tcW w:w="1605" w:type="dxa"/>
            <w:vAlign w:val="center"/>
            <w:textDirection w:val="lrTb"/>
            <w:noWrap w:val="false"/>
          </w:tcPr>
          <w:p>
            <w:pPr>
              <w:pBdr/>
              <w:spacing/>
              <w:ind/>
              <w:jc w:val="center"/>
              <w:rPr/>
            </w:pPr>
            <w:r>
              <w:t xml:space="preserve">Phường Khai Quang, Thành phố Vĩnh Yên, Tỉnh Vĩnh Phúc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 Đất trồng cây lâu năm </w:t>
            </w:r>
            <w:r/>
          </w:p>
        </w:tc>
        <w:tc>
          <w:tcPr>
            <w:tcBorders/>
            <w:tcW w:w="1605" w:type="dxa"/>
            <w:vAlign w:val="center"/>
            <w:textDirection w:val="lrTb"/>
            <w:noWrap w:val="false"/>
          </w:tcPr>
          <w:p>
            <w:pPr>
              <w:pBdr/>
              <w:spacing/>
              <w:ind/>
              <w:jc w:val="center"/>
              <w:rPr/>
            </w:pPr>
            <w:r>
              <w:t xml:space="preserve">Đất ở tại đô thị, Đất trồng cây lâu năm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 </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3,5</w:t>
            </w:r>
            <w:r/>
          </w:p>
        </w:tc>
        <w:tc>
          <w:tcPr>
            <w:tcBorders/>
            <w:tcW w:w="1605" w:type="dxa"/>
            <w:vAlign w:val="center"/>
            <w:textDirection w:val="lrTb"/>
            <w:noWrap w:val="false"/>
          </w:tcPr>
          <w:p>
            <w:pPr>
              <w:pBdr/>
              <w:spacing/>
              <w:ind/>
              <w:jc w:val="center"/>
              <w:rPr/>
            </w:pPr>
            <w:r>
              <w:t xml:space="preserve">3,5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 </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 </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198,2</w:t>
            </w:r>
            <w:r/>
          </w:p>
        </w:tc>
        <w:tc>
          <w:tcPr>
            <w:tcBorders/>
            <w:tcW w:w="1605" w:type="dxa"/>
            <w:vAlign w:val="center"/>
            <w:textDirection w:val="lrTb"/>
            <w:noWrap w:val="false"/>
          </w:tcPr>
          <w:p>
            <w:pPr>
              <w:pBdr/>
              <w:spacing/>
              <w:ind/>
              <w:jc w:val="center"/>
              <w:rPr/>
            </w:pPr>
            <w:r>
              <w:t xml:space="preserve">198,2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4,31</w:t>
            </w:r>
            <w:r/>
          </w:p>
        </w:tc>
        <w:tc>
          <w:tcPr>
            <w:tcBorders/>
            <w:tcW w:w="1605" w:type="dxa"/>
            <w:vAlign w:val="center"/>
            <w:textDirection w:val="lrTb"/>
            <w:noWrap w:val="false"/>
          </w:tcPr>
          <w:p>
            <w:pPr>
              <w:pBdr/>
              <w:spacing/>
              <w:ind/>
              <w:jc w:val="center"/>
              <w:rPr/>
            </w:pPr>
            <w:r>
              <w:t xml:space="preserve">4,31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45,99 </w:t>
            </w:r>
            <w:r/>
          </w:p>
        </w:tc>
        <w:tc>
          <w:tcPr>
            <w:tcBorders/>
            <w:tcW w:w="1605" w:type="dxa"/>
            <w:vAlign w:val="center"/>
            <w:textDirection w:val="lrTb"/>
            <w:noWrap w:val="false"/>
          </w:tcPr>
          <w:p>
            <w:pPr>
              <w:pBdr/>
              <w:spacing/>
              <w:ind/>
              <w:jc w:val="center"/>
              <w:rPr/>
            </w:pPr>
            <w:r>
              <w:t xml:space="preserve">45,99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Tây Nam </w:t>
            </w:r>
            <w:r/>
          </w:p>
        </w:tc>
        <w:tc>
          <w:tcPr>
            <w:tcBorders/>
            <w:tcW w:w="1605" w:type="dxa"/>
            <w:vAlign w:val="center"/>
            <w:textDirection w:val="lrTb"/>
            <w:noWrap w:val="false"/>
          </w:tcPr>
          <w:p>
            <w:pPr>
              <w:pBdr/>
              <w:spacing/>
              <w:ind/>
              <w:jc w:val="center"/>
              <w:rPr/>
            </w:pPr>
            <w:r>
              <w:t xml:space="preserve">Tây 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 </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Không có lợi thế kinh doanh </w:t>
            </w:r>
            <w:r/>
          </w:p>
        </w:tc>
        <w:tc>
          <w:tcPr>
            <w:tcBorders/>
            <w:tcW w:w="1605" w:type="dxa"/>
            <w:vAlign w:val="center"/>
            <w:textDirection w:val="lrTb"/>
            <w:noWrap w:val="false"/>
          </w:tcPr>
          <w:p>
            <w:pPr>
              <w:pBdr/>
              <w:spacing/>
              <w:ind/>
              <w:jc w:val="center"/>
              <w:rPr/>
            </w:pPr>
            <w:r>
              <w:t xml:space="preserve">Không có lợi thế kinh doanh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43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t xml:space="preserve">TDP Vinh Thịnh, Phường Vĩnh Phúc, Tỉnh Phú Thọ.</w:t>
            </w:r>
            <w:r>
              <w:rPr>
                <w:sz w:val="22"/>
                <w:szCs w:val="22"/>
              </w:rPr>
            </w:r>
            <w:r>
              <w:rPr>
                <w:sz w:val="22"/>
                <w:szCs w:val="22"/>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t xml:space="preserve">TDP Vinh Thịnh, Phường Vĩnh Phúc,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t xml:space="preserve">TDP Vinh Thịnh, Phường Vĩnh Phúc,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t xml:space="preserve">TDP Vinh Thịnh, Phường Vĩnh Phúc, Tỉnh Phú Thọ.</w:t>
            </w:r>
            <w:r>
              <w:rPr>
                <w:sz w:val="22"/>
                <w:szCs w:val="22"/>
              </w:rPr>
            </w:r>
            <w:r>
              <w:rPr>
                <w:sz w:val="22"/>
                <w:szCs w:val="22"/>
              </w:rPr>
            </w:r>
          </w:p>
        </w:tc>
      </w:tr>
      <w:tr>
        <w:trPr>
          <w:trHeight w:val="175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https://www.facebook.com/groups/724624910941362/permalink/33341005722209859/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https://www.facebook.com/groups/724624910941362/permalink/32828677720109331/</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0968 148 922</w:t>
            </w:r>
            <w:r>
              <w:rPr>
                <w:sz w:val="22"/>
                <w:szCs w:val="22"/>
              </w:rPr>
              <w:t xml:space="preserve"> </w:t>
            </w:r>
            <w:r>
              <w:rPr>
                <w:sz w:val="22"/>
                <w:szCs w:val="22"/>
              </w:rPr>
              <w:br/>
              <w:t xml:space="preserve">(</w:t>
            </w:r>
            <w:r>
              <w:rPr>
                <w:sz w:val="22"/>
                <w:szCs w:val="22"/>
              </w:rPr>
              <w:t xml:space="preserve">Chi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0968 148 922</w:t>
            </w:r>
            <w:r>
              <w:rPr>
                <w:sz w:val="22"/>
                <w:szCs w:val="22"/>
              </w:rPr>
              <w:br/>
            </w:r>
            <w:r>
              <w:rPr>
                <w:sz w:val="22"/>
                <w:szCs w:val="22"/>
              </w:rPr>
              <w:t xml:space="preserve">(</w:t>
            </w:r>
            <w:r>
              <w:rPr>
                <w:sz w:val="22"/>
                <w:szCs w:val="22"/>
              </w:rPr>
              <w:t xml:space="preserve">Chi</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0965688493</w:t>
            </w:r>
            <w:r>
              <w:rPr>
                <w:sz w:val="22"/>
                <w:szCs w:val="22"/>
              </w:rPr>
              <w:br/>
            </w:r>
            <w:r>
              <w:rPr>
                <w:sz w:val="22"/>
                <w:szCs w:val="22"/>
              </w:rPr>
              <w:t xml:space="preserve">(</w:t>
            </w:r>
            <w:r>
              <w:rPr>
                <w:sz w:val="22"/>
                <w:szCs w:val="22"/>
              </w:rPr>
              <w:t xml:space="preserve">Nguyễn Thu</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(50 m²), Đất trồng cây lâu năm (148.2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 (đến 14/10/2043)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 (đến 14/10/2043)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 Có thời hạn (đến 14/10/2043)</w:t>
            </w:r>
            <w:r>
              <w:rPr>
                <w:color w:val="000000"/>
                <w:sz w:val="22"/>
                <w:szCs w:val="22"/>
              </w:rPr>
            </w:r>
            <w:r>
              <w:rPr>
                <w:color w:val="000000"/>
                <w:sz w:val="22"/>
                <w:szCs w:val="22"/>
              </w:rPr>
            </w:r>
          </w:p>
        </w:tc>
      </w:tr>
      <w:tr>
        <w:trPr>
          <w:trHeight w:val="111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TDP Vinh Thịnh, Phường Vĩnh Phúc,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TDP Vinh Thịnh, Phường Vĩnh Phúc, 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sz w:val="22"/>
                <w:szCs w:val="22"/>
              </w:rPr>
              <w:t xml:space="preserve">TDP Vinh Thịnh, Phường Vĩnh Phúc, Tỉnh Phú Thọ.</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sz w:val="22"/>
                <w:szCs w:val="22"/>
              </w:rPr>
              <w:t xml:space="preserve">TDP Vinh Thịnh, Phường Vĩnh Phúc, Tỉnh Phú Thọ.</w:t>
            </w:r>
            <w:r>
              <w:rPr>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124,6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11,93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thông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thông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thông</w:t>
            </w:r>
            <w:r>
              <w:rPr>
                <w:b/>
                <w:bCs/>
                <w:color w:val="000000"/>
                <w:sz w:val="22"/>
                <w:szCs w:val="22"/>
              </w:rPr>
            </w:r>
            <w:r>
              <w:rPr>
                <w:b/>
                <w:bCs/>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Công trình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2.975.000.000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2.975.000.000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25.468.369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17.272.727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23.876.404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2.343.089.928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1.615.000.000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2.975.000.000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25.468.369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17.272.727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23.876.404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Có Giấy chứng nhận quyền sử dụng đất</w:t>
            </w: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25.468.369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23.876.404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(50 m²), Đất trồng cây lâu năm (148.2 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-4.074.939</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-2.763.636</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color w:val="000000" w:themeColor="text1"/>
                <w:sz w:val="22"/>
                <w:szCs w:val="22"/>
              </w:rPr>
            </w:r>
            <w:r>
              <w:rPr>
                <w:sz w:val="22"/>
                <w:szCs w:val="22"/>
                <w:highlight w:val="white"/>
              </w:rPr>
              <w:t xml:space="preserve">-2.148.876</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21.393.430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14.509.091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21.966.292</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14/10/2043, 17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14/10/2043, 17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14/10/2043, 17 năm)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Có thời hạn (đến 14/10/2043, 17 năm)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21.648.114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14.681.818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21.966.292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t xml:space="preserve">TDP Vinh Thịnh, Phường Vĩnh Phúc, Tỉnh Phú Thọ.</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t xml:space="preserve">TDP Vinh Thịnh, Phường Vĩnh Phúc, Tỉnh Phú Thọ.</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pPr>
            <w:r>
              <w:rPr>
                <w:sz w:val="22"/>
                <w:szCs w:val="22"/>
              </w:rPr>
              <w:t xml:space="preserve">TDP Vinh Thịnh, Phường Vĩnh Phúc, Tỉnh Phú Thọ.</w:t>
            </w:r>
            <w:r/>
          </w:p>
        </w:tc>
        <w:tc>
          <w:tcPr>
            <w:shd w:val="clear" w:color="000000" w:fill="ffffff"/>
            <w:tcBorders/>
            <w:tcW w:w="1522" w:type="dxa"/>
            <w:vAlign w:val="center"/>
            <w:textDirection w:val="lrTb"/>
            <w:noWrap w:val="false"/>
          </w:tcPr>
          <w:p>
            <w:pPr>
              <w:pBdr/>
              <w:spacing/>
              <w:ind/>
              <w:jc w:val="center"/>
              <w:rPr/>
            </w:pPr>
            <w:r>
              <w:rPr>
                <w:sz w:val="22"/>
                <w:szCs w:val="22"/>
              </w:rPr>
              <w:t xml:space="preserve">TDP Vinh Thịnh, Phường Vĩnh Phúc, Tỉnh Phú Thọ.</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21.648.114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14.681.818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21.966.292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-2.037.470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-1.910.112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19.355.960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14.509.091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r>
            <w:r>
              <w:rPr>
                <w:color w:val="000000" w:themeColor="text1"/>
                <w:sz w:val="22"/>
                <w:szCs w:val="22"/>
                <w:highlight w:val="white"/>
              </w:rPr>
              <w:t xml:space="preserve">19.817.416</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color w:val="000000" w:themeColor="text1"/>
                <w:sz w:val="22"/>
                <w:szCs w:val="22"/>
                <w14:ligatures w14:val="none"/>
              </w:rPr>
            </w:pPr>
            <w:r>
              <w:rPr>
                <w:color w:val="000000" w:themeColor="text1"/>
                <w:sz w:val="22"/>
                <w:szCs w:val="22"/>
              </w:rPr>
              <w:t xml:space="preserve">-8</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color w:val="000000" w:themeColor="text1"/>
                <w:sz w:val="22"/>
                <w:szCs w:val="22"/>
                <w14:ligatures w14:val="none"/>
              </w:rPr>
            </w:pPr>
            <w:r>
              <w:rPr>
                <w:color w:val="000000" w:themeColor="text1"/>
                <w:sz w:val="22"/>
                <w:szCs w:val="22"/>
              </w:rPr>
              <w:t xml:space="preserve">-10</w:t>
            </w:r>
            <w:r>
              <w:rPr>
                <w:color w:val="000000" w:themeColor="text1"/>
                <w:sz w:val="22"/>
                <w:szCs w:val="22"/>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-2.037.470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-2.387.640</w:t>
            </w:r>
            <w:r>
              <w:rPr>
                <w:color w:val="000000" w:themeColor="text1"/>
                <w:sz w:val="22"/>
                <w:szCs w:val="22"/>
              </w:rPr>
            </w:r>
            <w:r>
              <w:rPr>
                <w:color w:val="000000" w:themeColor="text1"/>
                <w:sz w:val="22"/>
                <w:szCs w:val="22"/>
                <w14:ligatures w14:val="none"/>
              </w:rPr>
            </w:r>
          </w:p>
        </w:tc>
      </w:tr>
      <w:tr>
        <w:trPr>
          <w:trHeight w:val="39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17.318.490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14.509.091</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17.429.776</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198,2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93,5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124,6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-3.056.204</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-2.072.727</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-1.910.112</w:t>
            </w:r>
            <w:r>
              <w:rPr>
                <w:color w:val="000000" w:themeColor="text1"/>
                <w:sz w:val="22"/>
                <w:szCs w:val="22"/>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14.262.286</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12.436.364</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15.519.664</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7,84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7,16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-2.387.640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14.262.286</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10.709.091</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13.132.024</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45,99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20,44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11,93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-2.037.470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-2.072.727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-1.910.112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12.224.816</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8.636.364</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11.221.912</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r>
            <w:r>
              <w:rPr>
                <w:color w:val="000000" w:themeColor="text1"/>
                <w:sz w:val="22"/>
                <w:szCs w:val="22"/>
                <w:highlight w:val="white"/>
              </w:rPr>
              <w:t xml:space="preserve">-1.727.273</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12.224.816</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6.909.091</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11.221.912</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-3.056.204</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-2.072.727</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-1.910.112</w:t>
            </w:r>
            <w:r>
              <w:rPr>
                <w:sz w:val="22"/>
                <w:szCs w:val="22"/>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9.168.612</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4.836.364</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9.311.800</w:t>
            </w:r>
            <w:r>
              <w:rPr>
                <w:sz w:val="22"/>
                <w:szCs w:val="22"/>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thông tin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thông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thông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r>
            <w:r>
              <w:rPr>
                <w:color w:val="000000" w:themeColor="text1"/>
                <w:sz w:val="22"/>
                <w:szCs w:val="22"/>
                <w:highlight w:val="white"/>
              </w:rPr>
              <w:t xml:space="preserve">2.590.909</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9.168.612</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7.427.273</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hd w:val="nil" w:color="auto"/>
              <w:spacing/>
              <w:ind/>
              <w:jc w:val="center"/>
              <w:rPr>
                <w:color w:val="000000" w:themeColor="text1"/>
                <w:sz w:val="22"/>
                <w:szCs w:val="22"/>
                <w14:ligatures w14:val="none"/>
              </w:rPr>
            </w:pPr>
            <w:r>
              <w:rPr>
                <w:color w:val="000000" w:themeColor="text1"/>
                <w:sz w:val="22"/>
                <w:szCs w:val="22"/>
              </w:rPr>
              <w:t xml:space="preserve">9.311.800</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b/>
                <w:bCs/>
                <w:sz w:val="22"/>
                <w:szCs w:val="22"/>
                <w14:ligatures w14:val="none"/>
              </w:rPr>
            </w:pPr>
            <w:r>
              <w:rPr>
                <w:b/>
                <w:bCs/>
                <w:sz w:val="22"/>
                <w:szCs w:val="22"/>
              </w:rPr>
              <w:t xml:space="preserve">9.168.612</w:t>
            </w:r>
            <w:r>
              <w:rPr>
                <w:b/>
                <w:bCs/>
                <w:sz w:val="22"/>
                <w:szCs w:val="22"/>
              </w:rPr>
            </w:r>
            <w:r>
              <w:rPr>
                <w:b/>
                <w:bCs/>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b/>
                <w:bCs/>
                <w:sz w:val="22"/>
                <w:szCs w:val="22"/>
                <w14:ligatures w14:val="none"/>
              </w:rPr>
            </w:pPr>
            <w:r>
              <w:rPr>
                <w:b/>
                <w:bCs/>
                <w:sz w:val="22"/>
                <w:szCs w:val="22"/>
              </w:rPr>
              <w:t xml:space="preserve">7.427.273</w:t>
            </w:r>
            <w:r>
              <w:rPr>
                <w:b/>
                <w:bCs/>
                <w:sz w:val="22"/>
                <w:szCs w:val="22"/>
              </w:rPr>
            </w:r>
            <w:r>
              <w:rPr>
                <w:b/>
                <w:bCs/>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b/>
                <w:bCs/>
                <w:sz w:val="22"/>
                <w:szCs w:val="22"/>
                <w14:ligatures w14:val="none"/>
              </w:rPr>
            </w:pPr>
            <w:r>
              <w:rPr>
                <w:b/>
                <w:bCs/>
                <w:sz w:val="22"/>
                <w:szCs w:val="22"/>
              </w:rPr>
              <w:t xml:space="preserve">9.311.800</w:t>
            </w:r>
            <w:r>
              <w:rPr>
                <w:b/>
                <w:bCs/>
                <w:sz w:val="22"/>
                <w:szCs w:val="22"/>
              </w:rPr>
            </w:r>
            <w:r>
              <w:rPr>
                <w:b/>
                <w:bCs/>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8.635.895</w:t>
            </w:r>
            <w:r>
              <w:rPr>
                <w:b/>
                <w:bCs/>
                <w:color w:val="000000"/>
                <w:sz w:val="22"/>
                <w:szCs w:val="22"/>
              </w:rPr>
            </w:r>
            <w:r>
              <w:rPr>
                <w:b/>
                <w:bCs/>
                <w:color w:val="000000"/>
                <w:sz w:val="22"/>
                <w:szCs w:val="22"/>
              </w:rPr>
            </w:r>
          </w:p>
        </w:tc>
      </w:tr>
      <w:tr>
        <w:trPr>
          <w:trHeight w:val="539"/>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6,17%</w:t>
            </w:r>
            <w:r>
              <w:rPr>
                <w:sz w:val="22"/>
                <w:szCs w:val="22"/>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-14,00%</w:t>
            </w:r>
            <w:r>
              <w:rPr>
                <w:sz w:val="22"/>
                <w:szCs w:val="22"/>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7,83%</w:t>
            </w:r>
            <w:r>
              <w:rPr>
                <w:sz w:val="22"/>
                <w:szCs w:val="22"/>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 </w:t>
            </w:r>
            <w:r>
              <w:rPr>
                <w:sz w:val="22"/>
                <w:szCs w:val="22"/>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16.299.757</w:t>
            </w:r>
            <w:r>
              <w:rPr>
                <w:sz w:val="22"/>
                <w:szCs w:val="22"/>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15.027.272</w:t>
            </w:r>
            <w:r>
              <w:rPr>
                <w:sz w:val="22"/>
                <w:szCs w:val="22"/>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14.564.604</w:t>
            </w:r>
            <w:r>
              <w:rPr>
                <w:sz w:val="22"/>
                <w:szCs w:val="22"/>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6</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7</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7</w:t>
            </w:r>
            <w:r>
              <w:rPr>
                <w:sz w:val="22"/>
                <w:szCs w:val="22"/>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8% - 16%</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10% - 16%</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8% - 10%</w:t>
            </w:r>
            <w:r>
              <w:rPr>
                <w:sz w:val="22"/>
                <w:szCs w:val="22"/>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16.299.757</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9.845.454</w:t>
            </w:r>
            <w:r>
              <w:rPr>
                <w:sz w:val="22"/>
                <w:szCs w:val="22"/>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14.564.604</w:t>
            </w:r>
            <w:r>
              <w:rPr>
                <w:sz w:val="22"/>
                <w:szCs w:val="22"/>
              </w:rPr>
            </w:r>
            <w:r>
              <w:rPr>
                <w:sz w:val="22"/>
                <w:szCs w:val="22"/>
                <w14:ligatures w14:val="none"/>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- 14,00</w:t>
      </w:r>
      <w:r>
        <w:t xml:space="preserve">% </w:t>
      </w:r>
      <w:r>
        <w:t xml:space="preserve">đến 7,83</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10.696.714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r>
            <w:r>
              <w:rPr>
                <w:rFonts w:ascii="Arial" w:hAnsi="Arial" w:eastAsia="Arial" w:cs="Arial"/>
                <w:color w:val="666666"/>
                <w:sz w:val="19"/>
                <w:highlight w:val="white"/>
              </w:rPr>
              <w:t xml:space="preserve">3.056.815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8.636.364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r>
            <w:r>
              <w:rPr>
                <w:rFonts w:ascii="Arial" w:hAnsi="Arial" w:eastAsia="Arial" w:cs="Arial"/>
                <w:color w:val="666666"/>
                <w:sz w:val="19"/>
                <w:highlight w:val="white"/>
              </w:rPr>
              <w:t xml:space="preserve">2.475.510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6.446.631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r>
            <w:r>
              <w:rPr>
                <w:rFonts w:ascii="Arial" w:hAnsi="Arial" w:eastAsia="Arial" w:cs="Arial"/>
                <w:color w:val="666666"/>
                <w:sz w:val="19"/>
                <w:highlight w:val="white"/>
              </w:rPr>
              <w:t xml:space="preserve">3.103.623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r>
            <w:r>
              <w:rPr>
                <w:rFonts w:ascii="Arial" w:hAnsi="Arial" w:eastAsia="Arial" w:cs="Arial"/>
                <w:color w:val="666666"/>
                <w:sz w:val="19"/>
                <w:highlight w:val="white"/>
              </w:rPr>
              <w:t xml:space="preserve">8.635.948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8.500.000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8.500.000</w:t>
      </w:r>
      <w:r>
        <w:rPr>
          <w:b/>
          <w:bCs/>
          <w:color w:val="000000" w:themeColor="text1"/>
        </w:rPr>
        <w:t xml:space="preserve"> </w:t>
      </w:r>
      <w:r>
        <w:rPr>
          <w:b/>
          <w:bCs/>
        </w:rPr>
        <w:t xml:space="preserve">đồng</w:t>
      </w:r>
      <w:r>
        <w:rPr>
          <w:b/>
          <w:bCs/>
        </w:rPr>
        <w:t xml:space="preserve">/m².</w:t>
      </w:r>
      <w:r>
        <w:rPr>
          <w:b/>
          <w:bCs/>
        </w:rPr>
      </w:r>
      <w:r>
        <w:rPr>
          <w:b/>
          <w:bCs/>
        </w:rPr>
      </w:r>
    </w:p>
    <w:p>
      <w:pPr>
        <w:pStyle w:val="1029"/>
        <w:numPr>
          <w:ilvl w:val="0"/>
          <w:numId w:val="26"/>
        </w:numPr>
        <w:pBdr/>
        <w:spacing w:after="120" w:before="120" w:line="276" w:lineRule="auto"/>
        <w:ind w:hanging="357" w:left="357"/>
        <w:jc w:val="both"/>
        <w:rPr>
          <w:b/>
          <w:bCs/>
          <w:lang w:val="pt-BR"/>
        </w:rPr>
      </w:pPr>
      <w:r>
        <w:rPr>
          <w:b/>
          <w:highlight w:val="none"/>
          <w:lang w:val="pt-BR"/>
        </w:rPr>
      </w:r>
      <w:r>
        <w:rPr>
          <w:b/>
          <w:highlight w:val="none"/>
          <w:lang w:val="pt-BR"/>
        </w:rPr>
      </w:r>
      <w:r>
        <w:rPr>
          <w:b/>
          <w:highlight w:val="none"/>
          <w:lang w:val="pt-BR"/>
        </w:rPr>
      </w:r>
      <w:r>
        <w:rPr>
          <w:rFonts w:ascii="Times New Roman" w:hAnsi="Times New Roman" w:eastAsia="Times New Roman" w:cs="Times New Roman"/>
          <w:b/>
          <w:color w:val="000000"/>
          <w:sz w:val="24"/>
        </w:rPr>
        <w:t xml:space="preserve">Xác định đơn giá đất ở và đất trồng cây lâu năm:</w:t>
      </w:r>
      <w:r/>
      <w:r>
        <w:rPr>
          <w:b/>
          <w:highlight w:val="none"/>
          <w:lang w:val="pt-BR"/>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Khu vực tài sản thẩm định tọa lạc hạn chế giao dịch đất trồng cây lâu năm do vậy, tổ thẩm định xác định giá trị đất trồng cây lâu năm và đất ở theo tỉ lệ giữa giá đất trồng cây lâu năm với đất ở theo bảng giá UBND.</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 Vận dụng </w:t>
      </w:r>
      <w:r>
        <w:rPr>
          <w:rFonts w:ascii="Times New Roman" w:hAnsi="Times New Roman" w:eastAsia="Times New Roman" w:cs="Times New Roman"/>
          <w:b/>
          <w:color w:val="000000"/>
          <w:sz w:val="24"/>
          <w:szCs w:val="24"/>
          <w:highlight w:val="white"/>
        </w:rPr>
        <w:t xml:space="preserve">Nghị quyết 85/2025/NQ-HĐND</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rPr>
        <w:t xml:space="preserve"> ngày 30/12/1025 của UBND tỉnh Phú Thọ về việc quy định giá các loại đất trên địa bàn </w:t>
      </w:r>
      <w:r>
        <w:rPr>
          <w:rFonts w:ascii="Times New Roman" w:hAnsi="Times New Roman" w:eastAsia="Times New Roman" w:cs="Times New Roman"/>
          <w:color w:val="000000"/>
          <w:sz w:val="24"/>
        </w:rPr>
        <w:t xml:space="preserve">ỉnh Phú Thọ</w:t>
      </w:r>
      <w:r>
        <w:rPr>
          <w:rFonts w:ascii="Times New Roman" w:hAnsi="Times New Roman" w:eastAsia="Times New Roman" w:cs="Times New Roman"/>
          <w:color w:val="000000"/>
          <w:sz w:val="24"/>
        </w:rPr>
        <w:t xml:space="preserve"> thực hiện từ ngày 01/01/2026;</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 Đơn giá đất “ Đoạn đường Mê Linh: Từ đường Hai Bà Trưng đến Nguyễn Tất Thành ” VT4 có đơn giá là </w:t>
      </w:r>
      <w:r>
        <w:rPr>
          <w:rFonts w:ascii="Times New Roman" w:hAnsi="Times New Roman" w:eastAsia="Times New Roman" w:cs="Times New Roman"/>
          <w:b/>
          <w:color w:val="000000"/>
          <w:sz w:val="24"/>
        </w:rPr>
        <w:t xml:space="preserve">8.200.000 đồng/ m².</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z w:val="24"/>
        </w:rPr>
        <w:t xml:space="preserve">+ Đơn giá “ Đất trồng cây lâu năm ” phường Vĩnh Phúc: </w:t>
      </w:r>
      <w:r>
        <w:rPr>
          <w:rFonts w:ascii="Times New Roman" w:hAnsi="Times New Roman" w:eastAsia="Times New Roman" w:cs="Times New Roman"/>
          <w:b/>
          <w:color w:val="000000"/>
          <w:sz w:val="24"/>
        </w:rPr>
        <w:t xml:space="preserve">66.000 đồng/m².</w:t>
      </w: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both"/>
        <w:rPr/>
      </w:pPr>
      <w:r>
        <w:rPr>
          <w:rFonts w:ascii="Times New Roman" w:hAnsi="Times New Roman" w:eastAsia="Times New Roman" w:cs="Times New Roman"/>
          <w:color w:val="000000"/>
          <w:sz w:val="24"/>
        </w:rPr>
        <w:t xml:space="preserve">Gọi đơn giá đất ở là X, đơn giá đất trồng cây lâu năm là Y ta có tổng giá trị quyền sử dụng đất là:</w:t>
      </w:r>
      <w:r/>
    </w:p>
    <w:p>
      <w:pPr>
        <w:pBdr>
          <w:top w:val="none" w:color="000000" w:sz="4" w:space="0"/>
          <w:left w:val="none" w:color="000000" w:sz="4" w:space="0"/>
          <w:bottom w:val="none" w:color="000000" w:sz="4" w:space="0"/>
          <w:right w:val="none" w:color="000000" w:sz="4" w:space="0"/>
        </w:pBdr>
        <w:tabs>
          <w:tab w:val="left" w:leader="none" w:pos="426"/>
          <w:tab w:val="left" w:leader="none" w:pos="851"/>
        </w:tabs>
        <w:spacing w:after="120" w:before="120"/>
        <w:ind w:right="0" w:firstLine="284" w:left="0"/>
        <w:jc w:val="both"/>
        <w:rPr/>
      </w:pPr>
      <w:r>
        <w:rPr>
          <w:rFonts w:ascii="Times New Roman" w:hAnsi="Times New Roman" w:eastAsia="Times New Roman" w:cs="Times New Roman"/>
          <w:color w:val="000000"/>
          <w:sz w:val="24"/>
        </w:rPr>
        <w:tab/>
        <w:tab/>
        <w:t xml:space="preserve">50*X + 148,2*Y = 8.500.000</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 198,2</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tab/>
        <w:t xml:space="preserve">50*X + 148,2*Y = 1.648.700.000 (1)</w:t>
      </w:r>
      <w:r/>
    </w:p>
    <w:p>
      <w:pPr>
        <w:pBdr>
          <w:top w:val="none" w:color="000000" w:sz="4" w:space="0"/>
          <w:left w:val="none" w:color="000000" w:sz="4" w:space="0"/>
          <w:bottom w:val="none" w:color="000000" w:sz="4" w:space="0"/>
          <w:right w:val="none" w:color="000000" w:sz="4" w:space="0"/>
        </w:pBdr>
        <w:tabs>
          <w:tab w:val="left" w:leader="none" w:pos="426"/>
        </w:tabs>
        <w:spacing w:after="120" w:before="120"/>
        <w:ind w:right="0" w:firstLine="0" w:left="0"/>
        <w:jc w:val="both"/>
        <w:rPr/>
      </w:pPr>
      <w:r>
        <w:rPr>
          <w:rFonts w:ascii="Times New Roman" w:hAnsi="Times New Roman" w:eastAsia="Times New Roman" w:cs="Times New Roman"/>
          <w:color w:val="000000"/>
          <w:sz w:val="24"/>
        </w:rPr>
        <w:t xml:space="preserve">Theo chênh lệch giá đất ở so với đất trồng cây lâu năm theo giá UBND:</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284" w:left="0"/>
        <w:jc w:val="both"/>
        <w:rPr/>
      </w:pPr>
      <w:r>
        <w:rPr>
          <w:rFonts w:ascii="Times New Roman" w:hAnsi="Times New Roman" w:eastAsia="Times New Roman" w:cs="Times New Roman"/>
          <w:color w:val="000000"/>
          <w:sz w:val="24"/>
        </w:rPr>
        <w:tab/>
        <w:t xml:space="preserve">X – Y = 8.200.000 - 66.000</w:t>
      </w:r>
      <w:r/>
    </w:p>
    <w:p>
      <w:pPr>
        <w:pBdr>
          <w:top w:val="none" w:color="000000" w:sz="4" w:space="0"/>
          <w:left w:val="none" w:color="000000" w:sz="4" w:space="0"/>
          <w:bottom w:val="none" w:color="000000" w:sz="4" w:space="0"/>
          <w:right w:val="none" w:color="000000" w:sz="4" w:space="0"/>
        </w:pBdr>
        <w:tabs>
          <w:tab w:val="left" w:leader="none" w:pos="851"/>
        </w:tabs>
        <w:spacing w:after="120" w:before="120"/>
        <w:ind w:right="0" w:firstLine="0" w:left="0"/>
        <w:jc w:val="both"/>
        <w:rPr/>
      </w:pPr>
      <w:r>
        <w:rPr>
          <w:rFonts w:ascii="Times New Roman" w:hAnsi="Times New Roman" w:eastAsia="Times New Roman" w:cs="Times New Roman"/>
          <w:color w:val="000000"/>
          <w:sz w:val="24"/>
        </w:rPr>
        <w:t xml:space="preserve">  </w:t>
        <w:tab/>
        <w:t xml:space="preserve">X – Y = 8.134.000 (2)</w:t>
      </w:r>
      <w:r/>
    </w:p>
    <w:p>
      <w:pPr>
        <w:pBdr/>
        <w:spacing w:after="120" w:before="120" w:line="276" w:lineRule="auto"/>
        <w:ind w:firstLine="0" w:left="357"/>
        <w:jc w:val="both"/>
        <w:rPr>
          <w:b/>
          <w:bCs/>
          <w:lang w:val="pt-BR"/>
        </w:rPr>
      </w:pPr>
      <w:r>
        <w:rPr>
          <w:rFonts w:ascii="Times New Roman" w:hAnsi="Times New Roman" w:eastAsia="Times New Roman" w:cs="Times New Roman"/>
          <w:color w:val="000000"/>
          <w:sz w:val="24"/>
        </w:rPr>
        <w:t xml:space="preserve">Từ (1) và (2) suy ra : X = </w:t>
      </w:r>
      <w:r>
        <w:rPr>
          <w:rFonts w:ascii="Times New Roman" w:hAnsi="Times New Roman" w:eastAsia="Times New Roman" w:cs="Times New Roman"/>
          <w:b/>
          <w:bCs/>
          <w:color w:val="000000"/>
          <w:sz w:val="24"/>
        </w:rPr>
        <w:t xml:space="preserve">1</w:t>
      </w:r>
      <w:r>
        <w:rPr>
          <w:rFonts w:ascii="Times New Roman" w:hAnsi="Times New Roman" w:eastAsia="Times New Roman" w:cs="Times New Roman"/>
          <w:b/>
          <w:bCs/>
          <w:color w:val="000000"/>
          <w:sz w:val="24"/>
        </w:rPr>
        <w:t xml:space="preserve">4.582.032</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đồng/m</w:t>
      </w:r>
      <w:r>
        <w:rPr>
          <w:rFonts w:ascii="Times New Roman" w:hAnsi="Times New Roman" w:eastAsia="Times New Roman" w:cs="Times New Roman"/>
          <w:b/>
          <w:color w:val="000000"/>
          <w:sz w:val="20"/>
          <w:vertAlign w:val="superscript"/>
        </w:rPr>
        <w:t xml:space="preserve">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và Y =</w:t>
      </w:r>
      <w:r>
        <w:rPr>
          <w:rFonts w:ascii="Times New Roman" w:hAnsi="Times New Roman" w:eastAsia="Times New Roman" w:cs="Times New Roman"/>
          <w:b/>
          <w:color w:val="000000"/>
          <w:sz w:val="24"/>
        </w:rPr>
        <w:t xml:space="preserve"> 6.448.032 đồng/m</w:t>
      </w:r>
      <w:r>
        <w:rPr>
          <w:rFonts w:ascii="Times New Roman" w:hAnsi="Times New Roman" w:eastAsia="Times New Roman" w:cs="Times New Roman"/>
          <w:b/>
          <w:color w:val="000000"/>
          <w:sz w:val="20"/>
          <w:vertAlign w:val="superscript"/>
        </w:rPr>
        <w:t xml:space="preserve">2</w:t>
      </w:r>
      <w:r>
        <w:rPr>
          <w:b/>
          <w:highlight w:val="none"/>
          <w:lang w:val="pt-BR"/>
        </w:rPr>
      </w:r>
      <w:r>
        <w:rPr>
          <w:b/>
          <w:highlight w:val="none"/>
          <w:lang w:val="pt-BR"/>
        </w:rPr>
      </w:r>
    </w:p>
    <w:p>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904, tờ bản đồ số: 43 có địa chỉ: TDP Vinh Thịnh, phường Vĩn</w:t>
            </w:r>
            <w:r>
              <w:rPr>
                <w:color w:val="000000"/>
              </w:rPr>
              <w:t xml:space="preserve">h Phúc, tỉnh Phú Thọ theo Giấy chứng nhận quyền sử dụng đất, quyền sở hữu tài sản khác gắn liền với đất số: AA 05399427, số vào sổ cấp GCN: CN 11084 do Chi nhánh văn phòng đăng kí đất đai Vĩnh Yên cấp ngày 03/12/2025; chủ sử dụng đất là Ông Trần Hải Thành.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r>
            <w:r/>
            <w:r>
              <w:t xml:space="preserve">14.582.032 </w:t>
            </w:r>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r>
            <w:r/>
            <w:r>
              <w:t xml:space="preserve">729.101.615 </w:t>
            </w:r>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trồng cây lâu năm</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148,2</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r>
            <w:r/>
            <w:r>
              <w:t xml:space="preserve">6.448.032 </w:t>
            </w:r>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r>
            <w:r/>
            <w:r>
              <w:t xml:space="preserve">955.598.385</w:t>
            </w:r>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1.684.700.000</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1.684.700.000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sáu trăm tám mươi bốn triệu bảy trăm nghìn đồng</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lang w:val="pt-BR"/>
        </w:rPr>
      </w:r>
    </w:p>
    <w:p>
      <w:pPr>
        <w:pStyle w:val="1029"/>
        <w:numPr>
          <w:ilvl w:val="0"/>
          <w:numId w:val="5"/>
        </w:numPr>
        <w:pBdr/>
        <w:tabs>
          <w:tab w:val="left" w:leader="none" w:pos="993"/>
        </w:tabs>
        <w:spacing w:after="120" w:before="120" w:line="288" w:lineRule="auto"/>
        <w:ind w:hanging="357" w:left="357"/>
        <w:jc w:val="both"/>
        <w:rPr>
          <w:b/>
          <w:bCs/>
          <w:lang w:val="pt-BR"/>
        </w:rPr>
      </w:pPr>
      <w:r>
        <w:rPr>
          <w:lang w:val="pt-BR"/>
        </w:rPr>
      </w:r>
      <w:r>
        <w:rPr>
          <w:rFonts w:ascii="Times New Roman" w:hAnsi="Times New Roman" w:eastAsia="Times New Roman" w:cs="Times New Roman"/>
          <w:color w:val="000000"/>
          <w:sz w:val="24"/>
        </w:rPr>
        <w:t xml:space="preserve">Tại thời điểm khảo sát, CTXD gắn l</w:t>
      </w:r>
      <w:r>
        <w:rPr>
          <w:rFonts w:ascii="Times New Roman" w:hAnsi="Times New Roman" w:eastAsia="Times New Roman" w:cs="Times New Roman"/>
          <w:color w:val="000000" w:themeColor="text1"/>
          <w:sz w:val="24"/>
          <w:highlight w:val="none"/>
        </w:rPr>
        <w:t xml:space="preserve">i</w:t>
      </w:r>
      <w:r>
        <w:rPr>
          <w:rFonts w:ascii="Times New Roman" w:hAnsi="Times New Roman" w:eastAsia="Times New Roman" w:cs="Times New Roman"/>
          <w:color w:val="000000" w:themeColor="text1"/>
          <w:sz w:val="24"/>
          <w:highlight w:val="none"/>
        </w:rPr>
        <w:t xml:space="preserve">ền với thửa đất</w:t>
      </w:r>
      <w:r>
        <w:rPr>
          <w:rFonts w:ascii="Times New Roman" w:hAnsi="Times New Roman" w:eastAsia="Times New Roman" w:cs="Times New Roman"/>
          <w:b w:val="0"/>
          <w:bCs w:val="0"/>
          <w:color w:val="000000" w:themeColor="text1"/>
          <w:sz w:val="24"/>
          <w:highlight w:val="none"/>
        </w:rPr>
        <w:t xml:space="preserve"> </w:t>
      </w:r>
      <w:r>
        <w:rPr>
          <w:rFonts w:ascii="Times New Roman" w:hAnsi="Times New Roman" w:eastAsia="Times New Roman" w:cs="Times New Roman"/>
          <w:color w:val="000000"/>
          <w:sz w:val="24"/>
          <w:highlight w:val="none"/>
        </w:rPr>
        <w:t xml:space="preserve">l</w:t>
      </w:r>
      <w:r>
        <w:rPr>
          <w:rFonts w:ascii="Times New Roman" w:hAnsi="Times New Roman" w:eastAsia="Times New Roman" w:cs="Times New Roman"/>
          <w:color w:val="000000"/>
          <w:sz w:val="24"/>
          <w:highlight w:val="none"/>
        </w:rPr>
        <w:t xml:space="preserve">à</w:t>
      </w:r>
      <w:r>
        <w:rPr>
          <w:rFonts w:ascii="Times New Roman" w:hAnsi="Times New Roman" w:eastAsia="Times New Roman" w:cs="Times New Roman"/>
          <w:color w:val="000000"/>
          <w:sz w:val="24"/>
        </w:rPr>
        <w:t xml:space="preserve"> Nhà 02 tầng, kết cấu BTCT, tường xây gạch, mái BTCT, diện tích sàn:</w:t>
      </w:r>
      <w:r>
        <w:rPr>
          <w:rFonts w:ascii="Times New Roman" w:hAnsi="Times New Roman" w:eastAsia="Times New Roman" w:cs="Times New Roman"/>
          <w:color w:val="000000"/>
          <w:sz w:val="24"/>
          <w:highlight w:val="none"/>
        </w:rPr>
        <w:t xml:space="preserve"> 300m</w:t>
      </w:r>
      <w:r>
        <w:rPr>
          <w:rFonts w:ascii="Times New Roman" w:hAnsi="Times New Roman" w:eastAsia="Times New Roman" w:cs="Times New Roman"/>
          <w:color w:val="000000"/>
          <w:sz w:val="24"/>
          <w:highlight w:val="none"/>
          <w:vertAlign w:val="superscript"/>
        </w:rPr>
        <w:t xml:space="preserve">2</w:t>
      </w:r>
      <w:r>
        <w:rPr>
          <w:rFonts w:ascii="Times New Roman" w:hAnsi="Times New Roman" w:eastAsia="Times New Roman" w:cs="Times New Roman"/>
          <w:color w:val="000000"/>
          <w:sz w:val="24"/>
          <w:highlight w:val="none"/>
        </w:rPr>
        <w:t xml:space="preserve">; Xây dựng năm 2020. </w:t>
      </w:r>
      <w:r>
        <w:rPr>
          <w:rFonts w:ascii="Times New Roman" w:hAnsi="Times New Roman" w:eastAsia="Times New Roman" w:cs="Times New Roman"/>
          <w:color w:val="000000"/>
          <w:sz w:val="24"/>
        </w:rPr>
        <w:t xml:space="preserve">Công trình chưa được chứng nhận trên Giấy chứng nhận quyền sử dụng đất quyền sở hữu nhà ở và tài sản khác gắn liền với đất số: AA 05399427. </w:t>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b/>
          <w:bCs/>
          <w:lang w:val="pt-BR"/>
        </w:rPr>
      </w:r>
      <w:r>
        <w:rPr>
          <w:b/>
          <w:bCs/>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hd w:val="nil" w:color="auto"/>
        <w:spacing/>
        <w:ind/>
        <w:rPr>
          <w:b/>
          <w:bCs/>
          <w:lang w:val="pt-BR"/>
        </w:rPr>
      </w:pPr>
      <w:r>
        <w:rPr>
          <w:b/>
          <w:bCs/>
          <w:highlight w:val="none"/>
          <w:lang w:val="pt-BR"/>
        </w:rPr>
        <w:br w:type="page" w:clear="all"/>
      </w:r>
      <w:r>
        <w:rPr>
          <w:b/>
          <w:bCs/>
          <w:highlight w:val="none"/>
          <w:lang w:val="pt-BR"/>
        </w:rPr>
      </w:r>
      <w:r>
        <w:rPr>
          <w:b/>
          <w:bCs/>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highlight w:val="none"/>
          <w:lang w:val="pt-BR"/>
        </w:rPr>
      </w:r>
    </w:p>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275/2026/0190/VFI-CT.61.A</w:t>
      </w:r>
      <w:r>
        <w:rPr>
          <w:color w:val="ff0000"/>
          <w:lang w:val="vi-VN"/>
        </w:rPr>
        <w:t xml:space="preserve"> </w:t>
      </w:r>
      <w:r>
        <w:rPr>
          <w:color w:val="000000" w:themeColor="text1"/>
        </w:rPr>
        <w:t xml:space="preserve">ngày 23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9"/>
        <w:pBdr/>
        <w:tabs>
          <w:tab w:val="left" w:leader="none" w:pos="993"/>
        </w:tabs>
        <w:spacing w:after="120" w:before="120" w:line="288" w:lineRule="auto"/>
        <w:ind w:left="0"/>
        <w:jc w:val="both"/>
        <w:rPr>
          <w:lang w:val="vi-VN"/>
        </w:rPr>
      </w:pPr>
      <w:r>
        <w:rPr>
          <w:lang w:val="vi-VN"/>
        </w:rPr>
      </w:r>
      <w:r>
        <w:rPr>
          <w:lang w:val="vi-VN"/>
        </w:rPr>
      </w:r>
      <w:r>
        <w:rPr>
          <w:lang w:val="vi-VN"/>
        </w:rPr>
      </w:r>
    </w:p>
    <w:p>
      <w:pPr>
        <w:pStyle w:val="1029"/>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VIII13.721</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275/2026/0190/VFI-BC.61.A</w:t>
      </w:r>
      <w:r>
        <w:rPr>
          <w:i/>
          <w:lang w:val="pt-BR"/>
        </w:rPr>
        <w:t xml:space="preserve"> </w:t>
      </w:r>
      <w:r>
        <w:rPr>
          <w:i/>
          <w:lang w:val="pt-BR"/>
        </w:rPr>
        <w:t xml:space="preserve">Ngày 23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Cs/>
                <w:i/>
                <w:lang w:val="pt-BR"/>
              </w:rPr>
            </w:pPr>
            <w:r>
              <w:rPr>
                <w:highlight w:val="none"/>
              </w:rPr>
            </w:r>
            <w:r>
              <mc:AlternateContent>
                <mc:Choice Requires="wpg">
                  <w:drawing>
                    <wp:inline xmlns:wp="http://schemas.openxmlformats.org/drawingml/2006/wordprocessingDrawing" distT="0" distB="0" distL="0" distR="0">
                      <wp:extent cx="1844107" cy="264314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86380" name=""/>
                              <pic:cNvPicPr>
                                <a:picLocks noChangeAspect="1"/>
                              </pic:cNvPicPr>
                              <pic:nvPr/>
                            </pic:nvPicPr>
                            <pic:blipFill rotWithShape="1">
                              <a:blip r:embed="rId18"/>
                              <a:srcRect l="0" t="18358" r="0" b="17188"/>
                              <a:stretch/>
                            </pic:blipFill>
                            <pic:spPr bwMode="auto">
                              <a:xfrm flipH="0" flipV="0">
                                <a:off x="0" y="0"/>
                                <a:ext cx="1844107" cy="26431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45.21pt;height:208.12pt;mso-wrap-distance-left:0.00pt;mso-wrap-distance-top:0.00pt;mso-wrap-distance-right:0.00pt;mso-wrap-distance-bottom:0.00pt;z-index:1;" stroked="false">
                      <v:imagedata r:id="rId18" o:title="" croptop="12031f" cropleft="0f" cropbottom="11264f" cropright="0f"/>
                      <o:lock v:ext="edit" rotation="t"/>
                    </v:shape>
                  </w:pict>
                </mc:Fallback>
              </mc:AlternateContent>
            </w:r>
            <w:r>
              <w:rPr>
                <w:bCs/>
                <w:i/>
                <w:lang w:val="pt-BR"/>
              </w:rPr>
            </w:r>
            <w:r>
              <w:rPr>
                <w:bCs/>
                <w:i/>
                <w:lang w:val="pt-BR"/>
              </w:rPr>
            </w:r>
          </w:p>
        </w:tc>
        <w:tc>
          <w:tcPr>
            <w:tcBorders/>
            <w:tcW w:w="4757" w:type="dxa"/>
            <w:vAlign w:val="center"/>
            <w:textDirection w:val="lrTb"/>
            <w:noWrap w:val="false"/>
          </w:tcPr>
          <w:p>
            <w:pPr>
              <w:pBdr/>
              <w:spacing w:after="120"/>
              <w:ind/>
              <w:jc w:val="center"/>
              <w:rPr>
                <w:i/>
                <w:lang w:val="pt-BR"/>
              </w:rPr>
            </w:pPr>
            <w:r>
              <w:rPr>
                <w:i/>
                <w:lang w:val="pt-BR"/>
              </w:rPr>
            </w:r>
            <w:r>
              <w:rPr>
                <w:i/>
                <w:lang w:val="pt-BR"/>
              </w:rPr>
              <mc:AlternateContent>
                <mc:Choice Requires="wpg">
                  <w:drawing>
                    <wp:inline xmlns:wp="http://schemas.openxmlformats.org/drawingml/2006/wordprocessingDrawing" distT="0" distB="0" distL="0" distR="0">
                      <wp:extent cx="2939662" cy="2214543"/>
                      <wp:effectExtent l="0" t="0" r="0" b="0"/>
                      <wp:docPr id="7" name=""/>
                      <wp:cNvGraphicFramePr/>
                      <a:graphic xmlns:a="http://schemas.openxmlformats.org/drawingml/2006/main">
                        <a:graphicData uri="http://schemas.openxmlformats.org/drawingml/2006/picture">
                          <pic:pic xmlns:pic="http://schemas.openxmlformats.org/drawingml/2006/picture">
                            <pic:nvPicPr>
                              <pic:cNvPr id="329883879" name="" descr=""/>
                              <pic:cNvPicPr/>
                              <pic:nvPr/>
                            </pic:nvPicPr>
                            <pic:blipFill rotWithShape="1">
                              <a:blip r:embed="rId19"/>
                              <a:stretch/>
                            </pic:blipFill>
                            <pic:spPr bwMode="auto">
                              <a:xfrm flipH="0" flipV="0">
                                <a:off x="0" y="0"/>
                                <a:ext cx="2939662" cy="221454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1.47pt;height:174.3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06130" cy="240817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15500" name=""/>
                              <pic:cNvPicPr>
                                <a:picLocks noChangeAspect="1"/>
                              </pic:cNvPicPr>
                              <pic:nvPr/>
                            </pic:nvPicPr>
                            <pic:blipFill rotWithShape="1">
                              <a:blip r:embed="rId20"/>
                              <a:stretch/>
                            </pic:blipFill>
                            <pic:spPr bwMode="auto">
                              <a:xfrm flipH="0" flipV="0">
                                <a:off x="0" y="0"/>
                                <a:ext cx="1806129" cy="2408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2.21pt;height:189.6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975290" cy="2168447"/>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flipH="0" flipV="0">
                                <a:off x="0" y="0"/>
                                <a:ext cx="2975289" cy="21684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4.27pt;height:170.7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Mặt tiền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54443" cy="21004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58053" name=""/>
                              <pic:cNvPicPr>
                                <a:picLocks noChangeAspect="1"/>
                              </pic:cNvPicPr>
                              <pic:nvPr/>
                            </pic:nvPicPr>
                            <pic:blipFill rotWithShape="1">
                              <a:blip r:embed="rId22"/>
                              <a:stretch/>
                            </pic:blipFill>
                            <pic:spPr bwMode="auto">
                              <a:xfrm flipH="0" flipV="0">
                                <a:off x="0" y="0"/>
                                <a:ext cx="2854443" cy="2100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4.76pt;height:165.3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i/>
                <w:lang w:val="pt-BR"/>
              </w:rPr>
              <mc:AlternateContent>
                <mc:Choice Requires="wpg">
                  <w:drawing>
                    <wp:inline xmlns:wp="http://schemas.openxmlformats.org/drawingml/2006/wordprocessingDrawing" distT="0" distB="0" distL="0" distR="0">
                      <wp:extent cx="2960573" cy="2110349"/>
                      <wp:effectExtent l="0" t="0" r="0" b="0"/>
                      <wp:docPr id="11" name=""/>
                      <wp:cNvGraphicFramePr/>
                      <a:graphic xmlns:a="http://schemas.openxmlformats.org/drawingml/2006/main">
                        <a:graphicData uri="http://schemas.openxmlformats.org/drawingml/2006/picture">
                          <pic:pic xmlns:pic="http://schemas.openxmlformats.org/drawingml/2006/picture">
                            <pic:nvPicPr>
                              <pic:cNvPr id="1946288528" name="" descr=""/>
                              <pic:cNvPicPr/>
                              <pic:nvPr/>
                            </pic:nvPicPr>
                            <pic:blipFill rotWithShape="1">
                              <a:blip r:embed="rId23"/>
                              <a:stretch/>
                            </pic:blipFill>
                            <pic:spPr bwMode="auto">
                              <a:xfrm flipH="0" flipV="0">
                                <a:off x="0" y="0"/>
                                <a:ext cx="2960573" cy="21103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3.12pt;height:166.17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275/2026/0190/VFI-BC.61.A</w:t>
      </w:r>
      <w:r>
        <w:rPr>
          <w:i/>
          <w:lang w:val="pt-BR"/>
        </w:rPr>
        <w:t xml:space="preserve"> </w:t>
      </w:r>
      <w:r>
        <w:rPr>
          <w:i/>
          <w:lang w:val="pt-BR"/>
        </w:rPr>
        <w:t xml:space="preserve">Ngày 23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https://www.facebook.com/groups/724624910941362/permalink/33341005722209859/</w:t>
            </w:r>
            <w:r>
              <w:rPr>
                <w:color w:val="000000" w:themeColor="text1"/>
                <w:sz w:val="22"/>
                <w:szCs w:val="22"/>
              </w:rPr>
              <w:br/>
              <w:t xml:space="preserve">0968 148 922</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2.950.000.000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2.507.500.000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(50 m²), Đất trồng cây lâu năm (42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14/10/2043,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sz w:val="22"/>
                <w:szCs w:val="22"/>
              </w:rPr>
              <w:t xml:space="preserve">TDP Vinh Thịnh, Phường Vĩnh Phúc, Tỉnh Phú Thọ.</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92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 kinh doanh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3355"/>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114602" cy="2024247"/>
                      <wp:effectExtent l="0" t="0" r="0" b="0"/>
                      <wp:docPr id="12" name=""/>
                      <wp:cNvGraphicFramePr/>
                      <a:graphic xmlns:a="http://schemas.openxmlformats.org/drawingml/2006/main">
                        <a:graphicData uri="http://schemas.openxmlformats.org/drawingml/2006/picture">
                          <pic:pic xmlns:pic="http://schemas.openxmlformats.org/drawingml/2006/picture">
                            <pic:nvPicPr>
                              <pic:cNvPr id="1826249786" name="" descr=""/>
                              <pic:cNvPicPr/>
                              <pic:nvPr/>
                            </pic:nvPicPr>
                            <pic:blipFill rotWithShape="1">
                              <a:blip r:embed="rId24"/>
                              <a:stretch/>
                            </pic:blipFill>
                            <pic:spPr bwMode="auto">
                              <a:xfrm flipH="0" flipV="0">
                                <a:off x="0" y="0"/>
                                <a:ext cx="1114602" cy="20242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87.76pt;height:159.39pt;mso-wrap-distance-left:0.00pt;mso-wrap-distance-top:0.00pt;mso-wrap-distance-right:0.00pt;mso-wrap-distance-bottom:0.00pt;z-index:1;" stroked="false">
                      <v:imagedata r:id="rId24"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746375" cy="192106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767614749" name="" descr=""/>
                              <pic:cNvPicPr/>
                              <pic:nvPr/>
                            </pic:nvPicPr>
                            <pic:blipFill rotWithShape="1">
                              <a:blip r:embed="rId25"/>
                              <a:stretch/>
                            </pic:blipFill>
                            <pic:spPr bwMode="auto">
                              <a:xfrm flipH="0" flipV="0">
                                <a:off x="0" y="0"/>
                                <a:ext cx="2746374" cy="19210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6.25pt;height:151.26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76554" cy="192106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455413813" name="" descr=""/>
                              <pic:cNvPicPr/>
                              <pic:nvPr/>
                            </pic:nvPicPr>
                            <pic:blipFill rotWithShape="1">
                              <a:blip r:embed="rId26"/>
                              <a:stretch/>
                            </pic:blipFill>
                            <pic:spPr bwMode="auto">
                              <a:xfrm flipH="0" flipV="0">
                                <a:off x="0" y="0"/>
                                <a:ext cx="1476554" cy="19210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6.26pt;height:151.26pt;mso-wrap-distance-left:0.00pt;mso-wrap-distance-top:0.00pt;mso-wrap-distance-right:0.00pt;mso-wrap-distance-bottom:0.00pt;z-index:1;" stroked="false">
                      <v:imagedata r:id="rId2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Minh Phúc</w:t>
            </w:r>
            <w:r/>
          </w:p>
        </w:tc>
      </w:tr>
    </w:tbl>
    <w:p>
      <w:pPr>
        <w:pBdr/>
        <w:spacing w:after="200" w:line="276" w:lineRule="auto"/>
        <w:ind/>
        <w:jc w:val="center"/>
        <w:rPr>
          <w:b/>
          <w:bCs/>
          <w:lang w:val="pt-BR"/>
        </w:rPr>
      </w:pPr>
      <w:r>
        <w:rPr>
          <w:b/>
          <w:bCs/>
          <w:iCs/>
          <w:highlight w:val="none"/>
          <w:lang w:val="pt-BR"/>
        </w:rPr>
      </w:r>
      <w:r>
        <w:rPr>
          <w:b/>
          <w:bCs/>
          <w:iCs/>
          <w:highlight w:val="none"/>
          <w:lang w:val="pt-BR"/>
        </w:rPr>
      </w:r>
      <w:r>
        <w:rPr>
          <w:b/>
          <w:bCs/>
          <w:lang w:val="pt-BR"/>
        </w:rPr>
      </w:r>
    </w:p>
    <w:p>
      <w:pPr>
        <w:pBdr/>
        <w:spacing w:after="200" w:line="276" w:lineRule="auto"/>
        <w:ind/>
        <w:jc w:val="center"/>
        <w:rPr>
          <w:b/>
          <w:bCs/>
          <w:iCs/>
          <w:highlight w:val="none"/>
          <w:lang w:val="pt-BR"/>
        </w:rPr>
      </w:pPr>
      <w:r>
        <w:rPr>
          <w:b/>
          <w:bCs/>
          <w:iCs/>
          <w:lang w:val="pt-BR"/>
        </w:rPr>
      </w:r>
      <w:r>
        <w:rPr>
          <w:b/>
          <w:bCs/>
          <w:iCs/>
          <w:lang w:val="pt-BR"/>
        </w:rPr>
        <w:t xml:space="preserve">TSSS2</w:t>
      </w:r>
      <w:r>
        <w:rPr>
          <w:b/>
          <w:bCs/>
          <w:iCs/>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0968 148 922</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1.615.000.000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(50 m²), Đất trồng cây lâu năm (43.5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14/10/2043,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sz w:val="22"/>
                <w:szCs w:val="22"/>
              </w:rPr>
              <w:t xml:space="preserve">TDP Vinh Thịnh, Phường Vĩnh Phúc, Tỉnh Phú Thọ.</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93,5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7,84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3976"/>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left"/>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289227" cy="26035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1346833659" name="" descr=""/>
                              <pic:cNvPicPr/>
                              <pic:nvPr/>
                            </pic:nvPicPr>
                            <pic:blipFill rotWithShape="1">
                              <a:blip r:embed="rId27"/>
                              <a:stretch/>
                            </pic:blipFill>
                            <pic:spPr bwMode="auto">
                              <a:xfrm flipH="0" flipV="0">
                                <a:off x="0" y="0"/>
                                <a:ext cx="1289227" cy="26034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01.51pt;height:205.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43076" cy="251064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1743076" cy="251064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37.25pt;height:197.69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65487" cy="1944687"/>
                      <wp:effectExtent l="0" t="0" r="0" b="0"/>
                      <wp:docPr id="17" name=""/>
                      <wp:cNvGraphicFramePr/>
                      <a:graphic xmlns:a="http://schemas.openxmlformats.org/drawingml/2006/main">
                        <a:graphicData uri="http://schemas.openxmlformats.org/drawingml/2006/picture">
                          <pic:pic xmlns:pic="http://schemas.openxmlformats.org/drawingml/2006/picture">
                            <pic:nvPicPr>
                              <pic:cNvPr id="1112956850" name="" descr=""/>
                              <pic:cNvPicPr/>
                              <pic:nvPr/>
                            </pic:nvPicPr>
                            <pic:blipFill rotWithShape="1">
                              <a:blip r:embed="rId29"/>
                              <a:stretch/>
                            </pic:blipFill>
                            <pic:spPr bwMode="auto">
                              <a:xfrm flipH="0" flipV="0">
                                <a:off x="0" y="0"/>
                                <a:ext cx="2465486" cy="19446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4.13pt;height:153.12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left"/>
              <w:rPr>
                <w:b/>
                <w:bCs/>
                <w:highlight w:val="none"/>
              </w:rPr>
            </w:pPr>
            <w:r>
              <w:rPr>
                <w:b/>
                <w:bCs/>
              </w:rPr>
              <w:t xml:space="preserve">  </w:t>
            </w:r>
            <w:r>
              <w:rPr>
                <w:b/>
                <w:bCs/>
              </w:rPr>
            </w:r>
            <w:r>
              <w:rPr>
                <w:b/>
                <w:bCs/>
                <w:highlight w:val="none"/>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rPr>
            </w:r>
            <w:r>
              <w:rPr>
                <w:b/>
                <w:bCs/>
              </w:rPr>
            </w:r>
            <w:r>
              <w:rPr>
                <w:b/>
                <w:bCs/>
              </w:rPr>
            </w:r>
          </w:p>
          <w:p>
            <w:pPr>
              <w:pBdr/>
              <w:spacing/>
              <w:ind/>
              <w:jc w:val="left"/>
              <w:rPr>
                <w:b/>
                <w:bCs/>
              </w:rPr>
            </w:pPr>
            <w:r>
              <w:rPr>
                <w:b/>
                <w:bCs/>
                <w:highlight w:val="none"/>
              </w:rPr>
            </w:r>
            <w:r>
              <w:rPr>
                <w:b/>
                <w:bCs/>
                <w:highlight w:val="none"/>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Minh Phúc</w:t>
            </w:r>
            <w:r/>
          </w:p>
        </w:tc>
      </w:tr>
    </w:tbl>
    <w:p>
      <w:pPr>
        <w:pBdr/>
        <w:spacing w:after="200" w:line="276" w:lineRule="auto"/>
        <w:ind/>
        <w:jc w:val="center"/>
        <w:rPr>
          <w:b/>
          <w:bCs/>
          <w:iCs/>
          <w:highlight w:val="none"/>
          <w:lang w:val="pt-BR"/>
        </w:rPr>
      </w:pPr>
      <w:r>
        <w:rPr>
          <w:iCs/>
          <w:lang w:val="pt-BR"/>
        </w:rPr>
      </w:r>
      <w:r>
        <w:rPr>
          <w:b/>
          <w:bCs/>
          <w:iCs/>
          <w:lang w:val="pt-BR"/>
        </w:rPr>
        <w:t xml:space="preserve">TSSS 3</w:t>
      </w:r>
      <w:r>
        <w:rPr>
          <w:iCs/>
          <w:lang w:val="pt-BR"/>
        </w:rPr>
      </w:r>
      <w:r>
        <w:rPr>
          <w:b/>
          <w:bCs/>
          <w:iCs/>
          <w:highlight w:val="none"/>
          <w:lang w:val="pt-BR"/>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https://www.facebook.com/groups/724624910941362/permalink/32828677720109331/</w:t>
            </w:r>
            <w:r>
              <w:rPr>
                <w:color w:val="000000" w:themeColor="text1"/>
                <w:sz w:val="22"/>
                <w:szCs w:val="22"/>
              </w:rPr>
              <w:br/>
            </w:r>
            <w:r>
              <w:rPr>
                <w:sz w:val="22"/>
                <w:szCs w:val="22"/>
              </w:rPr>
              <w:t xml:space="preserve">SĐT: </w:t>
            </w:r>
            <w:r>
              <w:rPr>
                <w:color w:val="000000" w:themeColor="text1"/>
                <w:sz w:val="22"/>
                <w:szCs w:val="22"/>
              </w:rPr>
              <w:t xml:space="preserve">0965688493</w:t>
            </w:r>
            <w:r>
              <w:rPr>
                <w:sz w:val="22"/>
                <w:szCs w:val="22"/>
              </w:rPr>
              <w:t xml:space="preserve">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2.975.000.000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(40 m²), Đất trồng cây lâu năm (84.6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Có thời hạn (đến 14/10/2043, 17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ind/>
              <w:jc w:val="center"/>
              <w:rPr>
                <w:sz w:val="22"/>
                <w:szCs w:val="22"/>
              </w:rPr>
            </w:pPr>
            <w:r>
              <w:rPr>
                <w:sz w:val="22"/>
                <w:szCs w:val="22"/>
              </w:rPr>
              <w:t xml:space="preserve">TDP Vinh Thịnh, Phường Vĩnh Phúc, Tỉnh Phú Thọ.</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124,6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7,16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Phù hợp để ở</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Điều kiện môi trường an ninh</w:t>
            </w: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25953" cy="2621649"/>
                      <wp:effectExtent l="0" t="0" r="0" b="0"/>
                      <wp:docPr id="18" name=""/>
                      <wp:cNvGraphicFramePr/>
                      <a:graphic xmlns:a="http://schemas.openxmlformats.org/drawingml/2006/main">
                        <a:graphicData uri="http://schemas.openxmlformats.org/drawingml/2006/picture">
                          <pic:pic xmlns:pic="http://schemas.openxmlformats.org/drawingml/2006/picture">
                            <pic:nvPicPr>
                              <pic:cNvPr id="282216057" name="" descr=""/>
                              <pic:cNvPicPr/>
                              <pic:nvPr/>
                            </pic:nvPicPr>
                            <pic:blipFill rotWithShape="1">
                              <a:blip r:embed="rId30"/>
                              <a:stretch/>
                            </pic:blipFill>
                            <pic:spPr bwMode="auto">
                              <a:xfrm flipH="0" flipV="0">
                                <a:off x="0" y="0"/>
                                <a:ext cx="2025953" cy="26216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59.52pt;height:206.43pt;mso-wrap-distance-left:0.00pt;mso-wrap-distance-top:0.00pt;mso-wrap-distance-right:0.00pt;mso-wrap-distance-bottom:0.00pt;z-index:1;" stroked="false">
                      <v:imagedata r:id="rId30" o:title=""/>
                      <o:lock v:ext="edit" rotation="t"/>
                    </v:shape>
                  </w:pict>
                </mc:Fallback>
              </mc:AlternateContent>
              <w:t xml:space="preserve">           </w:t>
            </w:r>
            <w:r>
              <w:rPr>
                <w:color w:val="000000"/>
                <w:sz w:val="22"/>
                <w:szCs w:val="22"/>
              </w:rPr>
              <mc:AlternateContent>
                <mc:Choice Requires="wpg">
                  <w:drawing>
                    <wp:inline xmlns:wp="http://schemas.openxmlformats.org/drawingml/2006/wordprocessingDrawing" distT="0" distB="0" distL="0" distR="0">
                      <wp:extent cx="2175322" cy="2621649"/>
                      <wp:effectExtent l="0" t="0" r="0" b="0"/>
                      <wp:docPr id="19" name=""/>
                      <wp:cNvGraphicFramePr/>
                      <a:graphic xmlns:a="http://schemas.openxmlformats.org/drawingml/2006/main">
                        <a:graphicData uri="http://schemas.openxmlformats.org/drawingml/2006/picture">
                          <pic:pic xmlns:pic="http://schemas.openxmlformats.org/drawingml/2006/picture">
                            <pic:nvPicPr>
                              <pic:cNvPr id="479532847" name="" descr=""/>
                              <pic:cNvPicPr/>
                              <pic:nvPr/>
                            </pic:nvPicPr>
                            <pic:blipFill rotWithShape="1">
                              <a:blip r:embed="rId31"/>
                              <a:stretch/>
                            </pic:blipFill>
                            <pic:spPr bwMode="auto">
                              <a:xfrm flipH="0" flipV="0">
                                <a:off x="0" y="0"/>
                                <a:ext cx="2175322" cy="26216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71.29pt;height:206.43pt;mso-wrap-distance-left:0.00pt;mso-wrap-distance-top:0.00pt;mso-wrap-distance-right:0.00pt;mso-wrap-distance-bottom:0.00pt;z-index:1;" stroked="false">
                      <v:imagedata r:id="rId31" o:title=""/>
                      <o:lock v:ext="edit" rotation="t"/>
                    </v:shape>
                  </w:pict>
                </mc:Fallback>
              </mc:AlternateConten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highlight w:val="none"/>
              </w:rPr>
            </w:pPr>
            <w:r>
              <w:t xml:space="preserve">   </w:t>
            </w:r>
            <w:r>
              <w:rPr>
                <w:highlight w:val="none"/>
              </w:rPr>
            </w:r>
            <w:r>
              <w:rPr>
                <w:highlight w:val="none"/>
              </w:rPr>
            </w:r>
          </w:p>
          <w:p>
            <w:pPr>
              <w:pBdr/>
              <w:spacing/>
              <w:ind/>
              <w:rPr/>
            </w:pPr>
            <w:r/>
            <w:r/>
          </w:p>
          <w:p>
            <w:pPr>
              <w:pBdr/>
              <w:spacing/>
              <w:ind/>
              <w:rPr/>
            </w:pPr>
            <w:r/>
            <w:r/>
          </w:p>
          <w:p>
            <w:pPr>
              <w:pBdr/>
              <w:spacing/>
              <w:ind/>
              <w:rPr/>
            </w:pPr>
            <w:r>
              <w:rPr>
                <w:highlight w:val="none"/>
              </w:rPr>
            </w:r>
            <w:r>
              <w:rPr>
                <w:highlight w:val="none"/>
              </w:rPr>
            </w:r>
            <w:r/>
          </w:p>
          <w:p>
            <w:pPr>
              <w:pBdr/>
              <w:spacing/>
              <w:ind/>
              <w:jc w:val="left"/>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Nguyễn Minh Phúc</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27F2D1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127F2D1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0">
    <w:nsid w:val="583EC5C6"/>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png"/><Relationship Id="rId21" Type="http://schemas.openxmlformats.org/officeDocument/2006/relationships/image" Target="media/image7.jpg"/><Relationship Id="rId22" Type="http://schemas.openxmlformats.org/officeDocument/2006/relationships/image" Target="media/image8.pn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Hồng Ngọc</cp:lastModifiedBy>
  <cp:revision>274</cp:revision>
  <dcterms:created xsi:type="dcterms:W3CDTF">2025-09-15T09:58:00Z</dcterms:created>
  <dcterms:modified xsi:type="dcterms:W3CDTF">2026-01-26T08:58:09Z</dcterms:modified>
</cp:coreProperties>
</file>