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92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92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BẢO NGUYÊN</w:t>
                            </w:r>
                            <w:r>
                              <w:rPr>
                                <w:rFonts w:ascii="Times New Roman Bold" w:hAnsi="Times New Roman Bold"/>
                                <w:b/>
                                <w:lang w:val="pt-BR"/>
                              </w:rPr>
                            </w:r>
                            <w:r>
                              <w:rPr>
                                <w:rFonts w:ascii="Times New Roman Bold" w:hAnsi="Times New Roman Bold"/>
                                <w:b/>
                                <w:lang w:val="pt-BR"/>
                              </w:rPr>
                            </w:r>
                          </w:p>
                          <w:p>
                            <w:pPr>
                              <w:pBdr/>
                              <w:spacing w:after="40" w:before="40" w:line="276" w:lineRule="auto"/>
                              <w:ind/>
                              <w:jc w:val="both"/>
                              <w:rPr>
                                <w:b w:val="0"/>
                                <w:bCs w:val="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color w:val="000000"/>
                              </w:rPr>
                              <w:t xml:space="preserve">Quyền sử dụng đất và tài sản gắn liền với đất tại thửa đất số: 99, tờ bản đồ số: 22 có địa chỉ: Tổ dân phố 8, phường Phú La, quận Hà Đông, Hà Nội ( Nay là phường Dương Nội, Thành phố Hà </w:t>
                            </w:r>
                            <w:r>
                              <w:rPr>
                                <w:b w:val="0"/>
                                <w:bCs w:val="0"/>
                                <w:color w:val="000000"/>
                              </w:rPr>
                              <w:t xml:space="preserve">Nội) theo 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b w:val="0"/>
                                <w:bCs w:val="0"/>
                              </w:rPr>
                              <w:t xml:space="preserve">.</w:t>
                            </w:r>
                            <w:r>
                              <w:rPr>
                                <w:b w:val="0"/>
                                <w:bCs w:val="0"/>
                              </w:rPr>
                            </w:r>
                            <w:r>
                              <w:rPr>
                                <w:b w:val="0"/>
                                <w:bCs w:val="0"/>
                              </w:rPr>
                            </w:r>
                          </w:p>
                          <w:p>
                            <w:pPr>
                              <w:pBdr/>
                              <w:spacing w:after="120" w:before="120" w:line="360" w:lineRule="auto"/>
                              <w:ind/>
                              <w:jc w:val="both"/>
                              <w:rPr>
                                <w:bCs/>
                                <w:i/>
                              </w:rPr>
                            </w:pPr>
                            <w:r>
                              <w:rPr>
                                <w:b/>
                              </w:rPr>
                            </w:r>
                            <w:r>
                              <w:rPr>
                                <w:bCs/>
                                <w:i/>
                                <w:iCs/>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BẢO NGUYÊN</w:t>
                      </w:r>
                      <w:r>
                        <w:rPr>
                          <w:rFonts w:ascii="Times New Roman Bold" w:hAnsi="Times New Roman Bold"/>
                          <w:b/>
                          <w:lang w:val="pt-BR"/>
                        </w:rPr>
                      </w:r>
                      <w:r>
                        <w:rPr>
                          <w:rFonts w:ascii="Times New Roman Bold" w:hAnsi="Times New Roman Bold"/>
                          <w:b/>
                          <w:lang w:val="pt-BR"/>
                        </w:rPr>
                      </w:r>
                    </w:p>
                    <w:p>
                      <w:pPr>
                        <w:pBdr/>
                        <w:spacing w:after="40" w:before="40" w:line="276" w:lineRule="auto"/>
                        <w:ind/>
                        <w:jc w:val="both"/>
                        <w:rPr>
                          <w:b w:val="0"/>
                          <w:bCs w:val="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color w:val="000000"/>
                        </w:rPr>
                        <w:t xml:space="preserve">Quyền sử dụng đất và tài sản gắn liền với đất tại thửa đất số: 99, tờ bản đồ số: 22 có địa chỉ: Tổ dân phố 8, phường Phú La, quận Hà Đông, Hà Nội ( Nay là phường Dương Nội, Thành phố Hà </w:t>
                      </w:r>
                      <w:r>
                        <w:rPr>
                          <w:b w:val="0"/>
                          <w:bCs w:val="0"/>
                          <w:color w:val="000000"/>
                        </w:rPr>
                        <w:t xml:space="preserve">Nội) theo 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b w:val="0"/>
                          <w:bCs w:val="0"/>
                        </w:rPr>
                        <w:t xml:space="preserve">.</w:t>
                      </w:r>
                      <w:r>
                        <w:rPr>
                          <w:b w:val="0"/>
                          <w:bCs w:val="0"/>
                        </w:rPr>
                      </w:r>
                      <w:r>
                        <w:rPr>
                          <w:b w:val="0"/>
                          <w:bCs w:val="0"/>
                        </w:rPr>
                      </w:r>
                    </w:p>
                    <w:p>
                      <w:pPr>
                        <w:pBdr/>
                        <w:spacing w:after="120" w:before="120" w:line="360" w:lineRule="auto"/>
                        <w:ind/>
                        <w:jc w:val="both"/>
                        <w:rPr>
                          <w:bCs/>
                          <w:i/>
                        </w:rPr>
                      </w:pPr>
                      <w:r>
                        <w:rPr>
                          <w:b/>
                        </w:rPr>
                      </w:r>
                      <w:r>
                        <w:rPr>
                          <w:bCs/>
                          <w:i/>
                          <w:iCs/>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1"/>
              <w:pBdr/>
              <w:spacing w:after="60"/>
              <w:ind/>
              <w:rPr>
                <w:color w:val="000000" w:themeColor="text1"/>
                <w:sz w:val="24"/>
                <w:szCs w:val="24"/>
              </w:rPr>
            </w:pPr>
            <w:r>
              <w:rPr>
                <w:rStyle w:val="1040"/>
                <w:rFonts w:ascii="Times New Roman" w:hAnsi="Times New Roman"/>
                <w:color w:val="000000" w:themeColor="text1"/>
                <w:lang w:val="pt-BR"/>
              </w:rPr>
              <w:t xml:space="preserve">Số</w:t>
            </w:r>
            <w:r>
              <w:rPr>
                <w:rStyle w:val="1040"/>
                <w:rFonts w:ascii="Times New Roman" w:hAnsi="Times New Roman"/>
                <w:color w:val="000000" w:themeColor="text1"/>
                <w:lang w:val="pt-BR"/>
              </w:rPr>
              <w:t xml:space="preserve">: </w:t>
            </w:r>
            <w:r>
              <w:rPr>
                <w:rStyle w:val="1040"/>
                <w:rFonts w:ascii="Times New Roman" w:hAnsi="Times New Roman"/>
                <w:color w:val="000000" w:themeColor="text1"/>
                <w:lang w:val="pt-BR"/>
              </w:rPr>
              <w:t xml:space="preserve">275/2026/0185/VFI-CT.53.A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1"/>
              <w:pBdr/>
              <w:spacing w:after="60"/>
              <w:ind w:right="-56"/>
              <w:jc w:val="right"/>
              <w:rPr>
                <w:color w:val="000000" w:themeColor="text1"/>
                <w:sz w:val="24"/>
                <w:szCs w:val="24"/>
                <w:lang w:val="vi-VN"/>
              </w:rPr>
            </w:pPr>
            <w:r>
              <w:rPr>
                <w:rStyle w:val="1040"/>
                <w:rFonts w:ascii="Times New Roman" w:hAnsi="Times New Roman"/>
                <w:i/>
                <w:color w:val="auto"/>
              </w:rPr>
              <w:t xml:space="preserve">TP. </w:t>
            </w:r>
            <w:r>
              <w:rPr>
                <w:rStyle w:val="1040"/>
                <w:rFonts w:ascii="Times New Roman" w:hAnsi="Times New Roman"/>
                <w:i/>
                <w:color w:val="auto"/>
              </w:rPr>
              <w:t xml:space="preserve">Hà</w:t>
            </w:r>
            <w:r>
              <w:rPr>
                <w:rStyle w:val="1040"/>
                <w:rFonts w:ascii="Times New Roman" w:hAnsi="Times New Roman"/>
                <w:i/>
                <w:color w:val="auto"/>
              </w:rPr>
              <w:t xml:space="preserve"> </w:t>
            </w:r>
            <w:r>
              <w:rPr>
                <w:rStyle w:val="1040"/>
                <w:rFonts w:ascii="Times New Roman" w:hAnsi="Times New Roman"/>
                <w:i/>
                <w:color w:val="auto"/>
              </w:rPr>
              <w:t xml:space="preserve">Nội</w:t>
            </w:r>
            <w:r>
              <w:rPr>
                <w:rStyle w:val="1040"/>
                <w:rFonts w:ascii="Times New Roman" w:hAnsi="Times New Roman"/>
                <w:i/>
                <w:color w:val="auto"/>
                <w:lang w:val="vi-VN"/>
              </w:rPr>
              <w:t xml:space="preserve">, </w:t>
            </w:r>
            <w:r>
              <w:rPr>
                <w:rStyle w:val="1040"/>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41"/>
        <w:pBdr/>
        <w:spacing w:after="120" w:before="200" w:line="288" w:lineRule="auto"/>
        <w:ind/>
        <w:jc w:val="center"/>
        <w:rPr>
          <w:rStyle w:val="1040"/>
          <w:rFonts w:ascii="Times New Roman" w:hAnsi="Times New Roman"/>
          <w:b/>
          <w:bCs/>
          <w:color w:val="auto"/>
          <w:sz w:val="30"/>
          <w:szCs w:val="30"/>
          <w:lang w:val="vi-VN"/>
        </w:rPr>
      </w:pPr>
      <w:r>
        <w:rPr>
          <w:rStyle w:val="1040"/>
          <w:rFonts w:ascii="Times New Roman" w:hAnsi="Times New Roman"/>
          <w:b/>
          <w:bCs/>
          <w:color w:val="auto"/>
          <w:sz w:val="30"/>
          <w:szCs w:val="30"/>
          <w:lang w:val="vi-VN"/>
        </w:rPr>
        <w:t xml:space="preserve">CHỨNG THƯ THẨM ĐỊNH GIÁ</w:t>
      </w:r>
      <w:r>
        <w:rPr>
          <w:rStyle w:val="1040"/>
          <w:rFonts w:ascii="Times New Roman" w:hAnsi="Times New Roman"/>
          <w:b/>
          <w:bCs/>
          <w:color w:val="auto"/>
          <w:sz w:val="30"/>
          <w:szCs w:val="30"/>
          <w:lang w:val="vi-VN"/>
        </w:rPr>
      </w:r>
      <w:r>
        <w:rPr>
          <w:rStyle w:val="1040"/>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BẢO NGUYÊN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275/2026/0185/VFI-HĐTĐ.53.A</w:t>
      </w:r>
      <w:r>
        <w:rPr>
          <w:spacing w:val="-4"/>
          <w:lang w:val="vi-VN"/>
        </w:rPr>
        <w:t xml:space="preserve"> ký ngày </w:t>
      </w:r>
      <w:r>
        <w:rPr>
          <w:color w:val="000000" w:themeColor="text1"/>
          <w:spacing w:val="-4"/>
        </w:rPr>
        <w:t xml:space="preserve">22 tháng 1 năm 2026</w:t>
      </w:r>
      <w:r>
        <w:rPr>
          <w:spacing w:val="-4"/>
          <w:lang w:val="vi-VN"/>
        </w:rPr>
        <w:t xml:space="preserve"> </w:t>
      </w:r>
      <w:r>
        <w:rPr>
          <w:spacing w:val="-4"/>
          <w:lang w:val="vi-VN"/>
        </w:rPr>
        <w:t xml:space="preserve">giữa </w:t>
      </w:r>
      <w:r>
        <w:rPr>
          <w:color w:val="000000" w:themeColor="text1"/>
          <w:spacing w:val="-4"/>
        </w:rPr>
        <w:t xml:space="preserve">ÔNG NGUYỄN BẢO NGUYÊN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275/2026/0185/VFI-BC.53.A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BẢO NGUYÊN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001088028372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19 ngõ 163 đường Trần Phú, Văn Quán, Hà Đông,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99, tờ bản đồ số: 22 có địa chỉ: Tổ dân phố 8, phường Phú La, quận Hà Đông, Hà Nội ( Nay là phường Dương Nội, Thành phố Hà </w:t>
      </w:r>
      <w:r>
        <w:rPr>
          <w:color w:val="000000" w:themeColor="text1"/>
        </w:rPr>
        <w:t xml:space="preserve">Nội) theo 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p>
    <w:tbl>
      <w:tblPr>
        <w:tblStyle w:val="104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111"/>
        <w:gridCol w:w="1396"/>
        <w:gridCol w:w="1456"/>
        <w:gridCol w:w="1307"/>
        <w:gridCol w:w="2010"/>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1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33"/>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270" w:type="dxa"/>
            <w:vAlign w:val="center"/>
            <w:textDirection w:val="lrTb"/>
            <w:noWrap w:val="false"/>
          </w:tcPr>
          <w:p>
            <w:pPr>
              <w:pBdr/>
              <w:spacing w:after="40" w:before="40" w:line="276" w:lineRule="auto"/>
              <w:ind/>
              <w:jc w:val="both"/>
              <w:rPr>
                <w:b/>
                <w:bCs/>
              </w:rPr>
            </w:pPr>
            <w:r>
              <w:rPr>
                <w:b/>
                <w:bCs/>
                <w:color w:val="000000"/>
              </w:rPr>
              <w:t xml:space="preserve">Quyền sử dụng đất và tài sản gắn liền với đất tại thửa đất số: 99, tờ bản đồ số: 22 có địa chỉ: Tổ dân phố 8, phường Phú La, quận Hà Đông, Hà Nội ( Nay là phường Dương Nội, Thành phố Hà </w:t>
            </w:r>
            <w:r>
              <w:rPr>
                <w:b/>
                <w:bCs/>
                <w:color w:val="000000"/>
              </w:rPr>
              <w:t xml:space="preserve">Nội) theo 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b/>
                <w:bCs/>
              </w:rPr>
              <w:t xml:space="preserve">.</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5" w:space="0"/>
              <w:right w:val="single" w:color="000000" w:sz="5" w:space="0"/>
            </w:tcBorders>
            <w:tcMar>
              <w:left w:w="0" w:type="dxa"/>
              <w:top w:w="0" w:type="dxa"/>
              <w:right w:w="0" w:type="dxa"/>
              <w:bottom w:w="0" w:type="dxa"/>
            </w:tcMar>
            <w:tcW w:w="13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75,50 </w:t>
            </w:r>
            <w:r/>
          </w:p>
        </w:tc>
        <w:tc>
          <w:tcPr>
            <w:shd w:val="clear" w:color="ffffff" w:fill="ffffff"/>
            <w:tcBorders>
              <w:bottom w:val="single" w:color="000000" w:sz="5" w:space="0"/>
              <w:right w:val="single" w:color="000000" w:sz="5" w:space="0"/>
            </w:tcBorders>
            <w:tcMar>
              <w:left w:w="0" w:type="dxa"/>
              <w:top w:w="0" w:type="dxa"/>
              <w:right w:w="0" w:type="dxa"/>
              <w:bottom w:w="0" w:type="dxa"/>
            </w:tcMar>
            <w:tcW w:w="14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134.000.000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10.117.000.000</w:t>
            </w:r>
            <w:r/>
          </w:p>
        </w:tc>
      </w:tr>
      <w:tr>
        <w:trPr>
          <w:trHeight w:val="75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5 tầng 1 tum </w:t>
            </w:r>
            <w:r/>
          </w:p>
        </w:tc>
        <w:tc>
          <w:tcPr>
            <w:tcBorders>
              <w:bottom w:val="single" w:color="000000" w:sz="5" w:space="0"/>
              <w:right w:val="single" w:color="000000" w:sz="5" w:space="0"/>
            </w:tcBorders>
            <w:tcMar>
              <w:left w:w="0" w:type="dxa"/>
              <w:top w:w="0" w:type="dxa"/>
              <w:right w:w="0" w:type="dxa"/>
              <w:bottom w:w="0" w:type="dxa"/>
            </w:tcMar>
            <w:tcW w:w="13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377,50 </w:t>
            </w:r>
            <w:r/>
          </w:p>
        </w:tc>
        <w:tc>
          <w:tcPr>
            <w:shd w:val="clear" w:color="ffffff" w:fill="ffffff"/>
            <w:tcBorders>
              <w:bottom w:val="single" w:color="000000" w:sz="5" w:space="0"/>
              <w:right w:val="single" w:color="000000" w:sz="5" w:space="0"/>
            </w:tcBorders>
            <w:tcMar>
              <w:left w:w="0" w:type="dxa"/>
              <w:top w:w="0" w:type="dxa"/>
              <w:right w:w="0" w:type="dxa"/>
              <w:bottom w:w="0" w:type="dxa"/>
            </w:tcMar>
            <w:tcW w:w="14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7.304.696 </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98%</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2.702.372.285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96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12.851.772.285</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96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12.852.000.000</w:t>
            </w:r>
            <w:r/>
          </w:p>
        </w:tc>
      </w:tr>
      <w:tr>
        <w:trPr>
          <w:trHeight w:val="300"/>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8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Mười hai tỷ, tám trăm năm mươi hai triệu đồng chẵn./.)</w:t>
            </w: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618" w:type="dxa"/>
        <w:tblW w:w="10099" w:type="dxa"/>
        <w:tblBorders/>
        <w:tblLayout w:type="fixed"/>
        <w:tblLook w:val="04A0" w:firstRow="1" w:lastRow="0" w:firstColumn="1" w:lastColumn="0" w:noHBand="0" w:noVBand="1"/>
      </w:tblPr>
      <w:tblGrid>
        <w:gridCol w:w="1808"/>
        <w:gridCol w:w="8291"/>
      </w:tblGrid>
      <w:tr>
        <w:trPr>
          <w:trHeight w:val="1152"/>
        </w:trPr>
        <w:tc>
          <w:tcPr>
            <w:tcBorders/>
            <w:tcW w:w="180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29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539"/>
        </w:trPr>
        <w:tc>
          <w:tcPr>
            <w:gridSpan w:val="2"/>
            <w:shd w:val="clear" w:color="auto" w:fill="auto"/>
            <w:tcBorders/>
            <w:tcMar>
              <w:left w:w="108" w:type="dxa"/>
              <w:top w:w="0" w:type="dxa"/>
              <w:right w:w="108" w:type="dxa"/>
              <w:bottom w:w="0" w:type="dxa"/>
            </w:tcMar>
            <w:tcW w:w="10099" w:type="dxa"/>
            <w:textDirection w:val="lrTb"/>
            <w:noWrap w:val="false"/>
          </w:tcPr>
          <w:p>
            <w:pPr>
              <w:pStyle w:val="1041"/>
              <w:pBdr/>
              <w:spacing w:after="60"/>
              <w:ind w:right="0" w:firstLine="810" w:left="-810"/>
              <w:rPr>
                <w:color w:val="000000" w:themeColor="text1"/>
                <w:sz w:val="24"/>
                <w:szCs w:val="24"/>
              </w:rPr>
            </w:pPr>
            <w:r>
              <w:rPr>
                <w:rStyle w:val="1040"/>
                <w:rFonts w:ascii="Times New Roman" w:hAnsi="Times New Roman"/>
                <w:color w:val="000000" w:themeColor="text1"/>
                <w:lang w:val="pt-BR"/>
              </w:rPr>
              <w:t xml:space="preserve">Số</w:t>
            </w:r>
            <w:r>
              <w:rPr>
                <w:rStyle w:val="1040"/>
                <w:rFonts w:ascii="Times New Roman" w:hAnsi="Times New Roman"/>
                <w:color w:val="000000" w:themeColor="text1"/>
                <w:lang w:val="pt-BR"/>
              </w:rPr>
              <w:t xml:space="preserve">: </w:t>
            </w:r>
            <w:r>
              <w:rPr>
                <w:rStyle w:val="1040"/>
                <w:rFonts w:ascii="Times New Roman" w:hAnsi="Times New Roman"/>
                <w:color w:val="000000" w:themeColor="text1"/>
                <w:lang w:val="pt-BR"/>
              </w:rPr>
              <w:t xml:space="preserve">275/2026/0185/VFI-CT.53.A                  </w:t>
            </w:r>
            <w:r>
              <w:rPr>
                <w:color w:val="000000" w:themeColor="text1"/>
                <w:sz w:val="24"/>
                <w:szCs w:val="24"/>
              </w:rPr>
            </w:r>
            <w:r>
              <w:rPr>
                <w:color w:val="000000" w:themeColor="text1"/>
                <w:sz w:val="24"/>
                <w:szCs w:val="24"/>
              </w:rPr>
            </w:r>
            <w:r>
              <w:rPr>
                <w:rStyle w:val="1040"/>
                <w:rFonts w:ascii="Times New Roman" w:hAnsi="Times New Roman"/>
                <w:i/>
                <w:color w:val="auto"/>
              </w:rPr>
              <w:t xml:space="preserve">TP. </w:t>
            </w:r>
            <w:r>
              <w:rPr>
                <w:rStyle w:val="1040"/>
                <w:rFonts w:ascii="Times New Roman" w:hAnsi="Times New Roman"/>
                <w:i/>
                <w:color w:val="auto"/>
              </w:rPr>
              <w:t xml:space="preserve">Hà</w:t>
            </w:r>
            <w:r>
              <w:rPr>
                <w:rStyle w:val="1040"/>
                <w:rFonts w:ascii="Times New Roman" w:hAnsi="Times New Roman"/>
                <w:i/>
                <w:color w:val="auto"/>
              </w:rPr>
              <w:t xml:space="preserve"> </w:t>
            </w:r>
            <w:r>
              <w:rPr>
                <w:rStyle w:val="1040"/>
                <w:rFonts w:ascii="Times New Roman" w:hAnsi="Times New Roman"/>
                <w:i/>
                <w:color w:val="auto"/>
              </w:rPr>
              <w:t xml:space="preserve">Nội</w:t>
            </w:r>
            <w:r>
              <w:rPr>
                <w:rStyle w:val="1040"/>
                <w:rFonts w:ascii="Times New Roman" w:hAnsi="Times New Roman"/>
                <w:i/>
                <w:color w:val="auto"/>
                <w:lang w:val="vi-VN"/>
              </w:rPr>
              <w:t xml:space="preserve">, </w:t>
            </w:r>
            <w:r>
              <w:rPr>
                <w:rStyle w:val="1040"/>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41"/>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275/2026/0185/VFI-CT.53.A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286" w:type="dxa"/>
        <w:tblW w:w="9781" w:type="dxa"/>
        <w:tblBorders/>
        <w:tblLayout w:type="fixed"/>
        <w:tblLook w:val="04A0" w:firstRow="1" w:lastRow="0" w:firstColumn="1" w:lastColumn="0" w:noHBand="0" w:noVBand="1"/>
      </w:tblPr>
      <w:tblGrid>
        <w:gridCol w:w="2125"/>
        <w:gridCol w:w="283"/>
        <w:gridCol w:w="7373"/>
      </w:tblGrid>
      <w:tr>
        <w:trPr>
          <w:trHeight w:val="20"/>
        </w:trPr>
        <w:tc>
          <w:tcPr>
            <w:tcBorders/>
            <w:tcW w:w="2125"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125"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125"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373"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125"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125"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125"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373"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125"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373"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Ind w:w="-318" w:type="dxa"/>
        <w:tblW w:w="10065" w:type="dxa"/>
        <w:tblBorders/>
        <w:tblLayout w:type="fixed"/>
        <w:tblLook w:val="04A0" w:firstRow="1" w:lastRow="0" w:firstColumn="1" w:lastColumn="0" w:noHBand="0" w:noVBand="1"/>
      </w:tblPr>
      <w:tblGrid>
        <w:gridCol w:w="2409"/>
        <w:gridCol w:w="283"/>
        <w:gridCol w:w="7373"/>
      </w:tblGrid>
      <w:tr>
        <w:trPr>
          <w:trHeight w:val="20"/>
        </w:trPr>
        <w:tc>
          <w:tcPr>
            <w:tcBorders/>
            <w:tcW w:w="2409"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ind/>
              <w:rPr/>
            </w:pPr>
            <w:r>
              <w:rPr>
                <w:b/>
                <w:bCs/>
              </w:rPr>
              <w:t xml:space="preserve">ÔNG NGUYỄN BẢO NGUYÊN</w:t>
            </w:r>
            <w:r/>
          </w:p>
        </w:tc>
      </w:tr>
      <w:tr>
        <w:trPr>
          <w:trHeight w:val="20"/>
        </w:trPr>
        <w:tc>
          <w:tcPr>
            <w:tcBorders/>
            <w:tcW w:w="2409"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001088028372</w:t>
            </w:r>
            <w:r>
              <w:rPr>
                <w:color w:val="ff0000"/>
                <w:lang w:val="pt-BR"/>
              </w:rPr>
            </w:r>
            <w:r>
              <w:rPr>
                <w:color w:val="ff0000"/>
                <w:lang w:val="pt-BR"/>
              </w:rPr>
            </w:r>
          </w:p>
        </w:tc>
      </w:tr>
      <w:tr>
        <w:trPr>
          <w:trHeight w:val="20"/>
        </w:trPr>
        <w:tc>
          <w:tcPr>
            <w:tcBorders/>
            <w:tcW w:w="2409"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tcBorders/>
            <w:tcW w:w="2409"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19 ngõ 163 đường Trần Phú, Văn Quán, Hà Đông, Hà Nội</w:t>
            </w:r>
            <w:r>
              <w:rPr>
                <w:color w:val="ff0000"/>
                <w:lang w:val="pt-BR"/>
              </w:rPr>
            </w:r>
            <w:r>
              <w:rPr>
                <w:color w:val="ff0000"/>
                <w:lang w:val="pt-BR"/>
              </w:rPr>
            </w:r>
          </w:p>
        </w:tc>
      </w:tr>
      <w:tr>
        <w:trPr>
          <w:trHeight w:val="20"/>
        </w:trPr>
        <w:tc>
          <w:tcPr>
            <w:tcBorders/>
            <w:tcW w:w="2409"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99, tờ bản đồ số: 22 có địa chỉ: Tổ dân phố 8, phường Phú La, quận Hà Đông, Hà Nội ( Nay là phường Dương Nội, Thành phố Hà </w:t>
            </w:r>
            <w:r>
              <w:rPr>
                <w:bCs/>
                <w:color w:val="000000" w:themeColor="text1"/>
                <w:lang w:val="pt-BR"/>
              </w:rPr>
              <w:t xml:space="preserve">Nội) theo 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bCs/>
                <w:spacing w:val="2"/>
              </w:rPr>
              <w:t xml:space="preserve">.</w:t>
            </w:r>
            <w:r>
              <w:rPr>
                <w:b/>
                <w:bCs/>
                <w:spacing w:val="2"/>
                <w:lang w:val="vi-VN"/>
              </w:rPr>
            </w:r>
            <w:r>
              <w:rPr>
                <w:b/>
                <w:bCs/>
                <w:spacing w:val="2"/>
                <w:lang w:val="vi-VN"/>
              </w:rPr>
            </w:r>
          </w:p>
        </w:tc>
      </w:tr>
      <w:tr>
        <w:trPr>
          <w:trHeight w:val="20"/>
        </w:trPr>
        <w:tc>
          <w:tcPr>
            <w:tcBorders/>
            <w:tcW w:w="2409"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409"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409"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409"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Dương Nội, Thành phố Hà Nội.</w:t>
            </w:r>
            <w:r>
              <w:rPr>
                <w:color w:val="ee0000"/>
                <w:lang w:val="pt-BR"/>
              </w:rPr>
            </w:r>
            <w:r>
              <w:rPr>
                <w:color w:val="ee0000"/>
                <w:lang w:val="pt-BR"/>
              </w:rPr>
            </w:r>
          </w:p>
        </w:tc>
      </w:tr>
      <w:tr>
        <w:trPr>
          <w:trHeight w:val="20"/>
        </w:trPr>
        <w:tc>
          <w:tcPr>
            <w:tcBorders/>
            <w:tcW w:w="2409"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Style w:val="1022"/>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20.957611111111, 105.75725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409"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3" w:type="dxa"/>
            <w:vAlign w:val="center"/>
            <w:textDirection w:val="lrTb"/>
            <w:noWrap w:val="false"/>
          </w:tcPr>
          <w:p>
            <w:pPr>
              <w:pStyle w:val="1042"/>
              <w:pBdr/>
              <w:spacing w:after="60" w:before="60" w:line="276" w:lineRule="auto"/>
              <w:ind w:left="0"/>
              <w:rPr>
                <w:bCs/>
                <w:lang w:val="pt-BR"/>
              </w:rPr>
            </w:pPr>
            <w:r>
              <w:rPr>
                <w:bCs/>
                <w:lang w:val="pt-BR"/>
              </w:rPr>
              <w:t xml:space="preserve">:</w:t>
            </w:r>
            <w:r>
              <w:rPr>
                <w:bCs/>
                <w:lang w:val="pt-BR"/>
              </w:rPr>
            </w:r>
            <w:r>
              <w:rPr>
                <w:bCs/>
                <w:lang w:val="pt-BR"/>
              </w:rPr>
            </w:r>
          </w:p>
        </w:tc>
        <w:tc>
          <w:tcPr>
            <w:tcBorders/>
            <w:tcW w:w="7373"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2"/>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2"/>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2"/>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2"/>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2"/>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2"/>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2"/>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42"/>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42"/>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42"/>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2"/>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42"/>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42"/>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275/2026/0185/VFI-HĐTĐ.53.A ngày 21/01/2026 giữa Nguyễn Bảo Nguyên với Công ty Cổ phần Thẩm định và Đầu tư Tài chính Hoa Sen.</w:t>
      </w:r>
      <w:r>
        <w:rPr>
          <w:b/>
          <w:lang w:val="pt-BR"/>
        </w:rPr>
      </w:r>
      <w:r>
        <w:rPr>
          <w:b/>
          <w:lang w:val="pt-BR"/>
        </w:rPr>
      </w:r>
    </w:p>
    <w:p>
      <w:pPr>
        <w:pStyle w:val="1042"/>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lang w:val="pt-BR"/>
        </w:rPr>
        <w:tab/>
      </w:r>
      <w:r>
        <w:rPr>
          <w:rFonts w:ascii="Times New Roman" w:hAnsi="Times New Roman" w:eastAsia="Times New Roman" w:cs="Times New Roman"/>
          <w:color w:val="000000" w:themeColor="text1"/>
          <w:sz w:val="24"/>
          <w:szCs w:val="24"/>
        </w:rPr>
        <w:t xml:space="preserve">Quận Hà Đông đang bước vào giai đoạn phát triển đô thị mạnh mẽ với định hướng rõ ràng từ thành phố Hà Nội. Khu vực từ phía Nam sông Hồng đến đường vành đai 2 sẽ được phát triển gắn với bảo tồn, nhằm giữ lại vẻ đẹp văn hóa - lịch sử vốn có mà không làm mất </w:t>
      </w:r>
      <w:r>
        <w:rPr>
          <w:rFonts w:ascii="Times New Roman" w:hAnsi="Times New Roman" w:eastAsia="Times New Roman" w:cs="Times New Roman"/>
          <w:color w:val="000000" w:themeColor="text1"/>
          <w:sz w:val="24"/>
          <w:szCs w:val="24"/>
        </w:rPr>
        <w:t xml:space="preserve">đi sự năng động của khu vực.</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khi đó, khu nội đô mở rộng kéo dài đến vành đai 4 sẽ là nơi hình thành các khu đô thị, dịch vụ, thương mại hiện đại, hứa hẹn trở thành trung tâm sôi động trong tương lai. Khu vực hai bên sông Hồng cũng được xác định là không gian đô thị công cộng, nơ</w:t>
      </w:r>
      <w:r>
        <w:rPr>
          <w:rFonts w:ascii="Times New Roman" w:hAnsi="Times New Roman" w:eastAsia="Times New Roman" w:cs="Times New Roman"/>
          <w:color w:val="000000" w:themeColor="text1"/>
          <w:sz w:val="24"/>
          <w:szCs w:val="24"/>
        </w:rPr>
        <w:t xml:space="preserve">i bố trí các công trình văn hóa và sinh hoạt chung.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hoạch quận Hà Đông có nhiều tác động tích cực đến thị trường bất động sản tại khu vực này. Tại quận Hà Đông, khách hàng quan tâm nhà đất nhiều tại các khu vực:</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42"/>
        <w:numPr>
          <w:ilvl w:val="0"/>
          <w:numId w:val="39"/>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Văn Quán, Trần Phú, Nguyễn Trãi: Giá nhà cao nhất, khu vực trung tâm, giao thông thuận lợi.</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42"/>
        <w:numPr>
          <w:ilvl w:val="0"/>
          <w:numId w:val="39"/>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Hà Cầu, Vạn Phúc, Mộ Lao, Dương Nội, La Khê: Vị trí lõi, hạ tầng tốt, giá nhà tăng nhanh.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42"/>
        <w:numPr>
          <w:ilvl w:val="0"/>
          <w:numId w:val="39"/>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Yên Nghĩa: Gần bến xe và ga metro, giá nhà tăng đáng kể.</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42"/>
        <w:numPr>
          <w:ilvl w:val="0"/>
          <w:numId w:val="39"/>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Biên Giang, Đồng Mai: Xa hơn nhưng cũng ghi nhận mức giá tăng.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 cạnh đó, các nhà đầu tư cũng cần lưu ý đến một số rủi ro khi quy hoạch quận Hà Đông được công bố:</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42"/>
        <w:numPr>
          <w:ilvl w:val="0"/>
          <w:numId w:val="40"/>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Một số khu vực có thể gặp rủi ro nếu nằm trong diện quy hoạch như đất công cộng, đất cây xanh hoặc đất giao thông.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42"/>
        <w:numPr>
          <w:ilvl w:val="0"/>
          <w:numId w:val="40"/>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Sự phát triển nhanh chóng có thể dẫn đến nguồn cung bất động sản tăng mạnh, tạo áp lực cạnh tranh và ảnh hưởng đến lợi nhuận đầu tư.</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42"/>
        <w:numPr>
          <w:ilvl w:val="0"/>
          <w:numId w:val="40"/>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trị bất động sản có thể bị ảnh hưởng nếu các dự án hạ tầng chậm tiến độ hoặc không được triển khai như kế hoạch.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hoạch quận Hà Đông không chỉ giúp nâng cao chất lượng cuộc sống mà còn tạo ra động lực mạnh mẽ cho sự phát triển kinh tế và thị trường bất động sản, đồng thời góp phần xây dựng một cộng đồng dân cư ổn định, văn minh.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rFonts w:ascii="Times New Roman" w:hAnsi="Times New Roman" w:cs="Times New Roman"/>
          <w:bCs/>
          <w:i/>
          <w:sz w:val="24"/>
          <w:szCs w:val="24"/>
          <w:u w:val="single"/>
        </w:rPr>
      </w:pPr>
      <w:r>
        <w:rPr>
          <w:rFonts w:ascii="Times New Roman" w:hAnsi="Times New Roman" w:eastAsia="Times New Roman" w:cs="Times New Roman"/>
          <w:sz w:val="24"/>
          <w:szCs w:val="24"/>
          <w:u w:val="single"/>
          <w:lang w:val="pt-BR"/>
        </w:rPr>
      </w:r>
      <w:r>
        <w:rPr>
          <w:rFonts w:ascii="Times New Roman" w:hAnsi="Times New Roman" w:eastAsia="Times New Roman" w:cs="Times New Roman"/>
          <w:i/>
          <w:iCs/>
          <w:sz w:val="24"/>
          <w:szCs w:val="24"/>
          <w:u w:val="single"/>
          <w:lang w:val="pt-BR"/>
        </w:rPr>
        <w:t xml:space="preserve">Nguồn:https://onehousing.vn/blog/quy-hoach-quan-ha-dong-ha-noi-sau-khi-sap-xep-lai-don-vi-hanh-chinh-n17t</w:t>
      </w:r>
      <w:r>
        <w:rPr>
          <w:rFonts w:ascii="Times New Roman" w:hAnsi="Times New Roman" w:eastAsia="Times New Roman" w:cs="Times New Roman"/>
          <w:sz w:val="24"/>
          <w:szCs w:val="24"/>
          <w:u w:val="single"/>
        </w:rPr>
      </w:r>
      <w:r>
        <w:rPr>
          <w:rFonts w:ascii="Times New Roman" w:hAnsi="Times New Roman" w:cs="Times New Roman"/>
          <w:bCs/>
          <w:i/>
          <w:sz w:val="24"/>
          <w:szCs w:val="24"/>
          <w:u w:val="single"/>
        </w:rPr>
      </w:r>
    </w:p>
    <w:p>
      <w:pPr>
        <w:pStyle w:val="104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323"/>
        <w:gridCol w:w="2051"/>
        <w:gridCol w:w="2540"/>
        <w:gridCol w:w="2793"/>
      </w:tblGrid>
      <w:tr>
        <w:trPr>
          <w:trHeight w:val="1953"/>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99, tờ bản đồ số: 22 có địa chỉ: Tổ dân phố 8, phường Phú La, quận Hà Đông, Hà Nội ( Nay là phường Dương Nội, Thành phố Hà Nội) theo Giấy chứng nhận quyền sử dụng dất, quyền sở hữu tài sản  gắn liền với đất  số: AA 006718</w:t>
            </w:r>
            <w:r>
              <w:rPr>
                <w:rFonts w:ascii="Times New Roman" w:hAnsi="Times New Roman" w:eastAsia="Times New Roman" w:cs="Times New Roman"/>
                <w:b/>
                <w:color w:val="000000"/>
                <w:sz w:val="24"/>
              </w:rPr>
              <w:t xml:space="preserve">59, số vào sổ cấp GCN: CN 110 do Chi nhánh Văn phòng Đăng ký đất đai Hà Nội- Quận Hà Đông  cấp ngày 45752 cho  Ông Nguyễn Bảo Nguyên và Bà Dương Thị Thu Trang</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99</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22</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Tổ dân phố 8, phường Phú La, quận Hà Đông, Hà Nội ( Nay là phường Dương Nội,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75,5 </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chung </w:t>
            </w:r>
            <w:r/>
          </w:p>
        </w:tc>
      </w:tr>
      <w:tr>
        <w:trPr>
          <w:trHeight w:val="15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đô thị  </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73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Tổ dân phố 8, phường Phú La, quận Hà Đông, Hà Nội ( Nay là phường Dương Nội,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793"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2 mặt tiền</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w:t>
            </w:r>
            <w:r/>
          </w:p>
        </w:tc>
        <w:tc>
          <w:tcPr>
            <w:tcBorders>
              <w:top w:val="single" w:color="000000" w:sz="5" w:space="0"/>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nội khu, cách đường QL6 khoảng 300m</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bê tông rộng khoảng 2m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19666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030107101" name="" descr=""/>
                              <pic:cNvPicPr/>
                              <pic:nvPr/>
                            </pic:nvPicPr>
                            <pic:blipFill rotWithShape="1">
                              <a:blip r:embed="rId17"/>
                              <a:stretch/>
                            </pic:blipFill>
                            <pic:spPr bwMode="auto">
                              <a:xfrm rot="0" flipH="0" flipV="0">
                                <a:off x="0" y="0"/>
                                <a:ext cx="519666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9.19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75,5 </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4,48 và 3,8</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18,21 và 18,26</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3,80</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Thóp hậu</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73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Thích hợp để ở và kinh doanh </w:t>
            </w:r>
            <w:r/>
          </w:p>
        </w:tc>
        <w:tc>
          <w:tcPr>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116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tổ thẩm định thấy trên đất có : 01 nhà 5 tầng 1 tum, xây năm 2025, Tổng diện tích xây sàn xây dựng là 377,5m2. Hiện công trình chưa được chứng nhận trên GCN số Â 00671859</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2"/>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42"/>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2"/>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2"/>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2"/>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2"/>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2"/>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2"/>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2"/>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2"/>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2"/>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4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2"/>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42"/>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42"/>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Phúc La,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Dương Nội,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Dương Nội,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Dương Nội, Quận Hà Đông,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sale Tiến</w:t>
            </w:r>
            <w:r>
              <w:rPr>
                <w:sz w:val="22"/>
                <w:szCs w:val="22"/>
              </w:rPr>
              <w:t xml:space="preserve"> </w:t>
            </w:r>
            <w:r>
              <w:rPr>
                <w:sz w:val="22"/>
                <w:szCs w:val="22"/>
              </w:rPr>
              <w:br/>
              <w:t xml:space="preserve">(</w:t>
            </w:r>
            <w:r>
              <w:rPr>
                <w:sz w:val="22"/>
                <w:szCs w:val="22"/>
              </w:rPr>
              <w:t xml:space="preserve">0963232636</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sale Đạt</w:t>
            </w:r>
            <w:r>
              <w:rPr>
                <w:sz w:val="22"/>
                <w:szCs w:val="22"/>
              </w:rPr>
              <w:br/>
            </w:r>
            <w:r>
              <w:rPr>
                <w:sz w:val="22"/>
                <w:szCs w:val="22"/>
              </w:rPr>
              <w:t xml:space="preserve">(</w:t>
            </w:r>
            <w:r>
              <w:rPr>
                <w:sz w:val="22"/>
                <w:szCs w:val="22"/>
              </w:rPr>
              <w:t xml:space="preserve">Mạnh Đạt 0768938685</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sale Đạt</w:t>
            </w:r>
            <w:r>
              <w:rPr>
                <w:sz w:val="22"/>
                <w:szCs w:val="22"/>
              </w:rPr>
              <w:br/>
            </w:r>
            <w:r>
              <w:rPr>
                <w:sz w:val="22"/>
                <w:szCs w:val="22"/>
              </w:rPr>
              <w:t xml:space="preserve">(</w:t>
            </w:r>
            <w:r>
              <w:rPr>
                <w:sz w:val="22"/>
                <w:szCs w:val="22"/>
              </w:rPr>
              <w:t xml:space="preserve">Mạnh Đạt 0768938685</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Phúc La, Quận Hà Đông, Thành phố Hà Nội, cách đường QL6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Dương Nội, Quận Hà Đông, Thành phố Hà Nội, đường Tài sản nằm trong ngách 23, ngõ 14 quang trung, hà đông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Dương Nội, Quận Hà Đông, Thành phố Hà Nội, khoảng cách ra đường chính Tài sản nằm tiếp giáp đường nội khu, cách đường Quang Trung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Dương Nội, Quận Hà Đông, Thành phố Hà Nội, khoảng cách ra đường chính Tài sản nằm tiếp giáp đường nội khu, cách đường Quang Trung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8.685.000.000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8.685.000.000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8.685.000.000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200.198.897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193.407.838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166.999.514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2"/>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7.006.961.405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6.382.458.648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7.347.978.604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200.198.897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193.407.838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166.999.514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213.198.897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206.286.626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177.965.423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213.198.897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206.286.626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177.965.423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213.198.897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206.286.626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177.965.423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Phúc La, Quận Hà Đông, Thành phố Hà Nội, cách đường QL6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Dương Nội, Quận Hà Đông, Thành phố Hà Nội, đường Tài sản nằm trong ngách 23, ngõ 14 quang trung, hà đông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Dương Nội, Quận Hà Đông, Thành phố Hà Nội, khoảng cách ra đường chính Tài sản nằm tiếp giáp đường nội khu, cách đường Quang Trung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Dương Nội, Quận Hà Đông, Thành phố Hà Nội, khoảng cách ra đường chính Tài sản nằm tiếp giáp đường nội khu, cách đường Quang Trung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213.198.897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206.286.626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177.965.423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213.198.897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206.286.626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177.965.423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-31.979.835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-30.942.994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181.219.062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175.343.632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177.965.423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-40.039.779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-38.681.568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-30.059.913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128.179.283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123.783.276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136.939.601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10.009.945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11.604.470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11.689.966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138.189.228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135.387.746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148.629.567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-21.319.890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-20.628.663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-17.796.542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116.869.338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114.759.083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130.833.025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20.019.890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19.340.784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136.889.228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134.099.867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130.833.025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136.889.228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134.099.867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130.833.025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136.889.228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134.099.867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130.833.025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133.940.707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123.369.339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121.198.479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59.546.421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63.309.669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59.307.971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36.166.489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-2,32</w:t>
      </w:r>
      <w:r>
        <w:t xml:space="preserve">% </w:t>
      </w:r>
      <w:r>
        <w:t xml:space="preserve">đến</w:t>
      </w:r>
      <w:r>
        <w:t xml:space="preserve"> </w:t>
      </w:r>
      <w:r>
        <w:t xml:space="preserve"> </w:t>
      </w:r>
      <w:r>
        <w:t xml:space="preserve">2,2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136.889.228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45.638.869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134.099.867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44.695.486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130.833.025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43.606.647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133.941.002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134.000.000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134.000.000</w:t>
      </w:r>
      <w:r>
        <w:rPr>
          <w:b/>
          <w:bCs/>
          <w:color w:val="000000" w:themeColor="text1"/>
        </w:rPr>
        <w:t xml:space="preserve"> </w:t>
      </w:r>
      <w:r>
        <w:rPr>
          <w:b/>
          <w:bCs/>
        </w:rPr>
        <w:t xml:space="preserve">đồng</w:t>
      </w:r>
      <w:r>
        <w:rPr>
          <w:b/>
          <w:bCs/>
        </w:rPr>
        <w:t xml:space="preserve">/m².</w:t>
      </w:r>
      <w:r>
        <w:rPr>
          <w:b/>
          <w:bCs/>
        </w:rPr>
      </w:r>
      <w:r>
        <w:rPr>
          <w:b/>
          <w:bCs/>
        </w:rPr>
      </w:r>
    </w:p>
    <w:p>
      <w:pPr>
        <w:pStyle w:val="1042"/>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05 tầng, cân nhắc và xem xét với mức độ hoàn thiện của công trình xây dựng hiện có, Tổ thẩm định nhận thấy đơn giá vận dụng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Nhà từ 4 đến 5 tầng, kết cấu khung chịu lực BTCT; tường bao xây gạch; sàn, mái BTCT đổ tại chỗ, không có tầng hầm - Diện tích xây dựng từ 70 - dưới 90m² có đơn giá đã bao gồm VAT là:</w:t>
      </w:r>
      <w:r>
        <w:rPr>
          <w:rFonts w:ascii="Times New Roman" w:hAnsi="Times New Roman" w:eastAsia="Times New Roman" w:cs="Times New Roman"/>
          <w:b/>
          <w:i/>
          <w:color w:val="000000"/>
          <w:sz w:val="24"/>
        </w:rPr>
        <w:t xml:space="preserve">7.673.000 </w:t>
      </w:r>
      <w:r>
        <w:rPr>
          <w:rFonts w:ascii="Times New Roman" w:hAnsi="Times New Roman" w:eastAsia="Times New Roman" w:cs="Times New Roman"/>
          <w:i/>
          <w:color w:val="000000"/>
          <w:spacing w:val="3"/>
          <w:sz w:val="24"/>
          <w:highlight w:val="white"/>
        </w:rPr>
        <w:t xml:space="preserve">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7.673.000 </w:t>
      </w:r>
      <w:r>
        <w:rPr>
          <w:rFonts w:ascii="Times New Roman" w:hAnsi="Times New Roman" w:eastAsia="Times New Roman" w:cs="Times New Roman"/>
          <w:i/>
          <w:color w:val="000000"/>
          <w:spacing w:val="3"/>
          <w:sz w:val="24"/>
          <w:highlight w:val="white"/>
        </w:rPr>
        <w:t xml:space="preserve">x0,952 =</w:t>
      </w:r>
      <w:r>
        <w:rPr>
          <w:rFonts w:ascii="Times New Roman" w:hAnsi="Times New Roman" w:eastAsia="Times New Roman" w:cs="Times New Roman"/>
          <w:b/>
          <w:i/>
          <w:color w:val="000000"/>
          <w:spacing w:val="3"/>
          <w:sz w:val="24"/>
          <w:highlight w:val="white"/>
        </w:rPr>
        <w:t xml:space="preserve"> 7.304.696đồng/m².</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 dựng được hoàn thành năm 20</w:t>
      </w:r>
      <w:r>
        <w:rPr>
          <w:rFonts w:ascii="Times New Roman" w:hAnsi="Times New Roman" w:eastAsia="Times New Roman" w:cs="Times New Roman"/>
          <w:color w:val="000000"/>
          <w:spacing w:val="2"/>
          <w:sz w:val="24"/>
        </w:rPr>
        <w:t xml:space="preserve">25, do đó, Tổ thẩm định ước tính tuổi đời hiệu quả của công trình là khoảng 0 năm.</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tbl>
      <w:tblPr>
        <w:tblStyle w:val="104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7"/>
        <w:gridCol w:w="1868"/>
        <w:gridCol w:w="2085"/>
        <w:gridCol w:w="2086"/>
        <w:gridCol w:w="2086"/>
        <w:gridCol w:w="20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05 tầng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6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color w:val="000000"/>
          <w:sz w:val="24"/>
        </w:rPr>
        <w:t xml:space="preserve">2%, theo đó tỷ lệ chất lượng còn lại của tài sản là: </w:t>
      </w:r>
      <w:r>
        <w:rPr>
          <w:rFonts w:ascii="Times New Roman" w:hAnsi="Times New Roman" w:eastAsia="Times New Roman" w:cs="Times New Roman"/>
          <w:b/>
          <w:color w:val="000000"/>
          <w:sz w:val="24"/>
        </w:rPr>
        <w:t xml:space="preserve">98%</w:t>
      </w:r>
      <w:r>
        <w:rPr>
          <w:rFonts w:ascii="Times New Roman" w:hAnsi="Times New Roman" w:eastAsia="Times New Roman" w:cs="Times New Roman"/>
          <w:sz w:val="24"/>
        </w:rPr>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6"/>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271"/>
        <w:gridCol w:w="873"/>
        <w:gridCol w:w="1192"/>
        <w:gridCol w:w="1590"/>
        <w:gridCol w:w="850"/>
        <w:gridCol w:w="1417"/>
        <w:gridCol w:w="170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Diện tích sàn</w:t>
              <w:br/>
              <w:t xml:space="preserve">  (m²</w:t>
            </w:r>
            <w:r>
              <w:rPr>
                <w:rFonts w:ascii="Times New Roman" w:hAnsi="Times New Roman" w:eastAsia="Times New Roman" w:cs="Times New Roman"/>
                <w:b/>
                <w:color w:val="000000" w:themeColor="text1"/>
                <w:sz w:val="28"/>
              </w:rPr>
              <w:t xml:space="preserve">)</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Đơn giá xây dựng mới (đồng/m²)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Chi phí thay thế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b/>
                <w:color w:val="000000" w:themeColor="text1"/>
                <w:sz w:val="24"/>
                <w:highlight w:val="none"/>
              </w:rPr>
            </w:r>
            <w:r>
              <w:rPr>
                <w:rFonts w:ascii="Times New Roman" w:hAnsi="Times New Roman" w:eastAsia="Times New Roman" w:cs="Times New Roman"/>
                <w:b/>
                <w:color w:val="000000" w:themeColor="text1"/>
                <w:sz w:val="24"/>
                <w:highlight w:val="none"/>
              </w:rPr>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bCs/>
                <w:color w:val="000000" w:themeColor="text1"/>
                <w:sz w:val="24"/>
                <w:szCs w:val="24"/>
                <w:highlight w:val="none"/>
              </w:rPr>
            </w:pPr>
            <w:r>
              <w:rPr>
                <w:rFonts w:ascii="Times New Roman" w:hAnsi="Times New Roman" w:eastAsia="Times New Roman" w:cs="Times New Roman"/>
                <w:b/>
                <w:color w:val="000000" w:themeColor="text1"/>
                <w:sz w:val="24"/>
                <w:highlight w:val="none"/>
              </w:rPr>
            </w:r>
            <w:r>
              <w:rPr>
                <w:rFonts w:ascii="Times New Roman" w:hAnsi="Times New Roman" w:eastAsia="Times New Roman" w:cs="Times New Roman"/>
                <w:b/>
                <w:color w:val="000000" w:themeColor="text1"/>
                <w:sz w:val="24"/>
                <w:highlight w:val="none"/>
              </w:rPr>
            </w:r>
            <w:r>
              <w:rPr>
                <w:rFonts w:ascii="Times New Roman" w:hAnsi="Times New Roman" w:eastAsia="Times New Roman" w:cs="Times New Roman"/>
                <w:b/>
                <w:bCs/>
                <w:color w:val="000000" w:themeColor="text1"/>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bCs/>
                <w:color w:val="000000" w:themeColor="text1"/>
                <w:sz w:val="24"/>
                <w:szCs w:val="24"/>
                <w:highlight w:val="none"/>
              </w:rPr>
            </w:pPr>
            <w:r>
              <w:rPr>
                <w:rFonts w:ascii="Times New Roman" w:hAnsi="Times New Roman" w:eastAsia="Times New Roman" w:cs="Times New Roman"/>
                <w:b/>
                <w:color w:val="000000" w:themeColor="text1"/>
                <w:sz w:val="24"/>
                <w:highlight w:val="none"/>
              </w:rPr>
            </w:r>
            <w:r>
              <w:rPr>
                <w:rFonts w:ascii="Times New Roman" w:hAnsi="Times New Roman" w:eastAsia="Times New Roman" w:cs="Times New Roman"/>
                <w:b/>
                <w:color w:val="000000" w:themeColor="text1"/>
                <w:sz w:val="24"/>
                <w:highlight w:val="none"/>
              </w:rPr>
            </w:r>
            <w:r>
              <w:rPr>
                <w:rFonts w:ascii="Times New Roman" w:hAnsi="Times New Roman" w:eastAsia="Times New Roman" w:cs="Times New Roman"/>
                <w:b/>
                <w:bCs/>
                <w:color w:val="000000" w:themeColor="text1"/>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bCs/>
                <w:color w:val="000000" w:themeColor="text1"/>
                <w:sz w:val="24"/>
                <w:szCs w:val="24"/>
                <w:highlight w:val="none"/>
              </w:rPr>
            </w:pPr>
            <w:r>
              <w:rPr>
                <w:rFonts w:ascii="Times New Roman" w:hAnsi="Times New Roman" w:eastAsia="Times New Roman" w:cs="Times New Roman"/>
                <w:b/>
                <w:color w:val="000000" w:themeColor="text1"/>
                <w:sz w:val="24"/>
              </w:rPr>
              <w:t xml:space="preserve"> Tỷ lệ hao mòn (%)</w:t>
            </w:r>
            <w:r>
              <w:rPr>
                <w:color w:val="000000" w:themeColor="text1"/>
              </w:rPr>
            </w:r>
            <w:r>
              <w:rPr>
                <w:rFonts w:ascii="Times New Roman" w:hAnsi="Times New Roman" w:eastAsia="Times New Roman" w:cs="Times New Roman"/>
                <w:b/>
                <w:bCs/>
                <w:color w:val="000000" w:themeColor="text1"/>
                <w:sz w:val="24"/>
                <w:szCs w:val="24"/>
                <w:highlight w:val="non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Giá trị hao mòn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Giá trị thẩm định tại thời điểm thẩm định giá (đồng)</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color w:val="000000" w:themeColor="text1"/>
              </w:rPr>
            </w:pPr>
            <w:r>
              <w:rPr>
                <w:rFonts w:ascii="Times New Roman" w:hAnsi="Times New Roman" w:eastAsia="Times New Roman" w:cs="Times New Roman"/>
                <w:b/>
                <w:color w:val="000000" w:themeColor="text1"/>
                <w:sz w:val="22"/>
              </w:rPr>
              <w:t xml:space="preserve">(4) = (2)*(3)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(6)=(4)*(5)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color w:val="000000" w:themeColor="text1"/>
              </w:rPr>
            </w:pPr>
            <w:r>
              <w:rPr>
                <w:rFonts w:ascii="Times New Roman" w:hAnsi="Times New Roman" w:eastAsia="Times New Roman" w:cs="Times New Roman"/>
                <w:b/>
                <w:color w:val="000000" w:themeColor="text1"/>
                <w:sz w:val="22"/>
              </w:rPr>
              <w:t xml:space="preserve">(7) = (4) -(6)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Nhà 05 tầng 1 tum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8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377,5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19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7.304.696</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5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2.757.522.740</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8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rPr>
              <w:t xml:space="preserve"> </w:t>
            </w:r>
            <w:r>
              <w:rPr>
                <w:color w:val="000000" w:themeColor="text1"/>
              </w:rPr>
            </w:r>
            <w:r>
              <w:rPr>
                <w:rFonts w:ascii="Times New Roman" w:hAnsi="Times New Roman" w:eastAsia="Times New Roman" w:cs="Times New Roman"/>
                <w:color w:val="000000" w:themeColor="text1"/>
                <w:sz w:val="24"/>
              </w:rPr>
              <w:t xml:space="preserve">2%</w:t>
            </w:r>
            <w:r>
              <w:rPr>
                <w:color w:val="000000" w:themeColor="text1"/>
              </w:rPr>
            </w:r>
            <w:r/>
            <w:r>
              <w:rPr>
                <w:rFonts w:ascii="Times New Roman" w:hAnsi="Times New Roman" w:eastAsia="Times New Roman" w:cs="Times New Roman"/>
                <w:color w:val="000000" w:themeColor="text1"/>
                <w:sz w:val="24"/>
                <w:szCs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55.150.455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2.702.372.285</w:t>
            </w:r>
            <w:r>
              <w:rPr>
                <w:color w:val="000000" w:themeColor="text1"/>
              </w:rPr>
            </w:r>
            <w:r>
              <w:rPr>
                <w:color w:val="000000" w:themeColor="text1"/>
              </w:rPr>
            </w:r>
          </w:p>
        </w:tc>
      </w:tr>
    </w:tbl>
    <w:p>
      <w:pPr>
        <w:pStyle w:val="1042"/>
        <w:pBdr/>
        <w:spacing w:after="120" w:before="120" w:line="276" w:lineRule="auto"/>
        <w:ind w:left="357"/>
        <w:jc w:val="both"/>
        <w:rPr>
          <w:b/>
          <w:lang w:val="pt-BR"/>
        </w:rPr>
      </w:pPr>
      <w:r>
        <w:rPr>
          <w:b/>
          <w:lang w:val="pt-BR"/>
        </w:rPr>
      </w:r>
      <w:r>
        <w:rPr>
          <w:b/>
          <w:lang w:val="pt-BR"/>
        </w:rPr>
      </w:r>
      <w:r>
        <w:rPr>
          <w:b/>
          <w:lang w:val="pt-BR"/>
        </w:rPr>
      </w:r>
    </w:p>
    <w:p>
      <w:pPr>
        <w:pStyle w:val="1042"/>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2"/>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Style w:val="104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111"/>
        <w:gridCol w:w="1396"/>
        <w:gridCol w:w="1456"/>
        <w:gridCol w:w="1307"/>
        <w:gridCol w:w="2010"/>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1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76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270" w:type="dxa"/>
            <w:vAlign w:val="center"/>
            <w:textDirection w:val="lrTb"/>
            <w:noWrap w:val="false"/>
          </w:tcPr>
          <w:p>
            <w:pPr>
              <w:pBdr/>
              <w:spacing w:after="40" w:before="40" w:line="276" w:lineRule="auto"/>
              <w:ind/>
              <w:jc w:val="both"/>
              <w:rPr>
                <w:b/>
                <w:bCs/>
              </w:rPr>
            </w:pPr>
            <w:r>
              <w:rPr>
                <w:b/>
                <w:bCs/>
                <w:color w:val="000000"/>
              </w:rPr>
              <w:t xml:space="preserve">Quyền sử dụng đất và tài sản gắn liền với đất tại thửa đất số: 99, tờ bản đồ số: 22 có địa chỉ: Tổ dân phố 8, phường Phú La, quận Hà Đông, Hà Nội ( Nay là phường Dương Nội, Thành phố Hà </w:t>
            </w:r>
            <w:r>
              <w:rPr>
                <w:b/>
                <w:bCs/>
                <w:color w:val="000000"/>
              </w:rPr>
              <w:t xml:space="preserve">Nội) theo 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b/>
                <w:bCs/>
              </w:rPr>
              <w:t xml:space="preserve">.</w:t>
            </w:r>
            <w:r>
              <w:rPr>
                <w:b/>
                <w:bCs/>
              </w:rPr>
            </w:r>
            <w:r>
              <w:rPr>
                <w:b/>
                <w:bCs/>
              </w:rPr>
            </w:r>
            <w:r>
              <w:rPr>
                <w:rFonts w:ascii="Times New Roman" w:hAnsi="Times New Roman" w:eastAsia="Times New Roman" w:cs="Times New Roman"/>
                <w:b/>
                <w:color w:val="000000"/>
                <w:sz w:val="24"/>
              </w:rPr>
            </w: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5" w:space="0"/>
              <w:right w:val="single" w:color="000000" w:sz="5" w:space="0"/>
            </w:tcBorders>
            <w:tcMar>
              <w:left w:w="0" w:type="dxa"/>
              <w:top w:w="0" w:type="dxa"/>
              <w:right w:w="0" w:type="dxa"/>
              <w:bottom w:w="0" w:type="dxa"/>
            </w:tcMar>
            <w:tcW w:w="13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75,50 </w:t>
            </w:r>
            <w:r/>
          </w:p>
        </w:tc>
        <w:tc>
          <w:tcPr>
            <w:shd w:val="clear" w:color="ffffff" w:fill="ffffff"/>
            <w:tcBorders>
              <w:bottom w:val="single" w:color="000000" w:sz="5" w:space="0"/>
              <w:right w:val="single" w:color="000000" w:sz="5" w:space="0"/>
            </w:tcBorders>
            <w:tcMar>
              <w:left w:w="0" w:type="dxa"/>
              <w:top w:w="0" w:type="dxa"/>
              <w:right w:w="0" w:type="dxa"/>
              <w:bottom w:w="0" w:type="dxa"/>
            </w:tcMar>
            <w:tcW w:w="14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134.000.000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10.117.000.000</w:t>
            </w:r>
            <w:r/>
          </w:p>
        </w:tc>
      </w:tr>
      <w:tr>
        <w:trPr>
          <w:trHeight w:val="75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5 tầng 1 tum </w:t>
            </w:r>
            <w:r/>
          </w:p>
        </w:tc>
        <w:tc>
          <w:tcPr>
            <w:tcBorders>
              <w:bottom w:val="single" w:color="000000" w:sz="5" w:space="0"/>
              <w:right w:val="single" w:color="000000" w:sz="5" w:space="0"/>
            </w:tcBorders>
            <w:tcMar>
              <w:left w:w="0" w:type="dxa"/>
              <w:top w:w="0" w:type="dxa"/>
              <w:right w:w="0" w:type="dxa"/>
              <w:bottom w:w="0" w:type="dxa"/>
            </w:tcMar>
            <w:tcW w:w="13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377,50 </w:t>
            </w:r>
            <w:r/>
          </w:p>
        </w:tc>
        <w:tc>
          <w:tcPr>
            <w:shd w:val="clear" w:color="ffffff" w:fill="ffffff"/>
            <w:tcBorders>
              <w:bottom w:val="single" w:color="000000" w:sz="5" w:space="0"/>
              <w:right w:val="single" w:color="000000" w:sz="5" w:space="0"/>
            </w:tcBorders>
            <w:tcMar>
              <w:left w:w="0" w:type="dxa"/>
              <w:top w:w="0" w:type="dxa"/>
              <w:right w:w="0" w:type="dxa"/>
              <w:bottom w:w="0" w:type="dxa"/>
            </w:tcMar>
            <w:tcW w:w="14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7.304.696 </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98%</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2.702.372.285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96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12.851.772.285</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96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5" w:space="0"/>
              <w:right w:val="single" w:color="000000" w:sz="5" w:space="0"/>
            </w:tcBorders>
            <w:tcMar>
              <w:left w:w="0" w:type="dxa"/>
              <w:top w:w="0" w:type="dxa"/>
              <w:right w:w="0" w:type="dxa"/>
              <w:bottom w:w="0" w:type="dxa"/>
            </w:tcMar>
            <w:tcW w:w="13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12.852.000.000</w:t>
            </w:r>
            <w:r/>
          </w:p>
        </w:tc>
      </w:tr>
      <w:tr>
        <w:trPr>
          <w:trHeight w:val="300"/>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8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Mười hai tỷ, tám trăm năm mươi hai triệu đồng chẵn./.)</w:t>
            </w:r>
            <w:r/>
          </w:p>
        </w:tc>
      </w:tr>
    </w:tbl>
    <w:p>
      <w:pPr>
        <w:pStyle w:val="104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2"/>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2"/>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2"/>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2"/>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2"/>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2"/>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2"/>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2"/>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2"/>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2"/>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2"/>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2"/>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2"/>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2"/>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2"/>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2"/>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2"/>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2"/>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Bdr/>
        <w:spacing w:after="40" w:before="40" w:line="288" w:lineRule="auto"/>
        <w:ind w:right="0" w:hanging="1170" w:left="450"/>
        <w:jc w:val="both"/>
        <w:rPr>
          <w:b/>
          <w:bCs/>
          <w:i/>
        </w:rPr>
      </w:pPr>
      <w:r>
        <w:rPr>
          <w:rFonts w:ascii="Times New Roman" w:hAnsi="Times New Roman" w:eastAsia="Times New Roman" w:cs="Times New Roman"/>
          <w:color w:val="000000"/>
          <w:spacing w:val="-2"/>
          <w:sz w:val="24"/>
        </w:rPr>
        <w:t xml:space="preserve">                    Chúng tôi giả định rằng “</w:t>
      </w:r>
      <w:r>
        <w:rPr>
          <w:b/>
          <w:bCs/>
          <w:i/>
          <w:iCs/>
          <w:color w:val="000000"/>
        </w:rPr>
        <w:t xml:space="preserve">Quyền sử dụng đất và tài sản gắn liền với đất tại thửa đất số: 99, tờ bản đồ số: 22 có địa chỉ: Tổ dân phố 8, phường Phú La, quận Hà Đông, Hà Nội ( Nay là phường Dương Nội, Thành phố Hà </w:t>
      </w:r>
      <w:r>
        <w:rPr>
          <w:b/>
          <w:bCs/>
          <w:i/>
          <w:iCs/>
          <w:color w:val="000000"/>
        </w:rPr>
        <w:t xml:space="preserve">Nội) theo Giấy chứng nhận quyền sử dụng dất, quyền sở hữu tài sản  gắn liền với đất  số: AA 00671859, số vào sổ cấp GCN: CN 110 do Chi nhánh Văn phòng Đăng ký đất đai Hà Nội- Quận Hà Đông  cấp ngày 45752 cho  Ông Nguyễn Bảo Nguyên và Bà Dương Thị Thu Trang</w:t>
      </w:r>
      <w:r>
        <w:rPr>
          <w:b/>
          <w:bCs/>
          <w:i/>
          <w:iCs/>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2"/>
          <w:sz w:val="24"/>
        </w:rPr>
        <w:t xml:space="preserve">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w:t>
      </w:r>
      <w:r>
        <w:rPr>
          <w:rFonts w:ascii="Times New Roman" w:hAnsi="Times New Roman" w:eastAsia="Times New Roman" w:cs="Times New Roman"/>
          <w:color w:val="000000"/>
          <w:spacing w:val="-2"/>
          <w:sz w:val="24"/>
        </w:rPr>
        <w:t xml:space="preserve">có) trong trường hợp này.</w:t>
      </w:r>
      <w:r>
        <w:rPr>
          <w:b/>
          <w:bCs/>
          <w:i/>
        </w:rPr>
      </w:r>
      <w:r>
        <w:rPr>
          <w:b/>
          <w:bCs/>
          <w:i/>
        </w:rPr>
      </w:r>
    </w:p>
    <w:p>
      <w:pPr>
        <w:pStyle w:val="1042"/>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42"/>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2"/>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2"/>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2"/>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2"/>
        <w:pBdr/>
        <w:tabs>
          <w:tab w:val="left" w:leader="none" w:pos="993"/>
        </w:tabs>
        <w:spacing w:after="120" w:before="120" w:line="288" w:lineRule="auto"/>
        <w:ind w:left="0"/>
        <w:jc w:val="both"/>
        <w:rPr>
          <w:lang w:val="pt-BR"/>
        </w:rPr>
      </w:pPr>
      <w:r>
        <w:rPr>
          <w:highlight w:val="none"/>
          <w:lang w:val="pt-BR" w:bidi="pt-BR"/>
        </w:rPr>
      </w:r>
      <w:r>
        <w:rPr>
          <w:highlight w:val="none"/>
          <w:lang w:val="pt-BR"/>
        </w:rPr>
      </w:r>
      <w:r>
        <w:rPr>
          <w:lang w:val="pt-BR"/>
        </w:rPr>
      </w:r>
    </w:p>
    <w:p>
      <w:pPr>
        <w:pStyle w:val="1042"/>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275/2026/0185/VFI-CT.53.A</w:t>
      </w:r>
      <w:r>
        <w:rPr>
          <w:color w:val="ff0000"/>
          <w:lang w:val="vi-VN"/>
        </w:rPr>
        <w:t xml:space="preserve"> </w:t>
      </w:r>
      <w:r>
        <w:rPr>
          <w:color w:val="000000" w:themeColor="text1"/>
        </w:rPr>
        <w:t xml:space="preserve">ngày 23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42"/>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275/2026/0185/VFI-BC.53.A</w:t>
      </w:r>
      <w:r>
        <w:rPr>
          <w:i/>
          <w:lang w:val="pt-BR"/>
        </w:rPr>
        <w:t xml:space="preserve"> ngày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86141" cy="214211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72352" name=""/>
                              <pic:cNvPicPr>
                                <a:picLocks noChangeAspect="1"/>
                              </pic:cNvPicPr>
                              <pic:nvPr/>
                            </pic:nvPicPr>
                            <pic:blipFill rotWithShape="1">
                              <a:blip r:embed="rId18"/>
                              <a:stretch/>
                            </pic:blipFill>
                            <pic:spPr bwMode="auto">
                              <a:xfrm flipH="0" flipV="0">
                                <a:off x="0" y="0"/>
                                <a:ext cx="1786140" cy="2142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0.64pt;height:168.6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7137" cy="211285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92415" name=""/>
                              <pic:cNvPicPr>
                                <a:picLocks noChangeAspect="1"/>
                              </pic:cNvPicPr>
                              <pic:nvPr/>
                            </pic:nvPicPr>
                            <pic:blipFill rotWithShape="1">
                              <a:blip r:embed="rId19"/>
                              <a:stretch/>
                            </pic:blipFill>
                            <pic:spPr bwMode="auto">
                              <a:xfrm flipH="0" flipV="0">
                                <a:off x="0" y="0"/>
                                <a:ext cx="2817136" cy="2112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1.82pt;height:166.3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8370" cy="205377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03749" name=""/>
                              <pic:cNvPicPr>
                                <a:picLocks noChangeAspect="1"/>
                              </pic:cNvPicPr>
                              <pic:nvPr/>
                            </pic:nvPicPr>
                            <pic:blipFill rotWithShape="1">
                              <a:blip r:embed="rId20"/>
                              <a:stretch/>
                            </pic:blipFill>
                            <pic:spPr bwMode="auto">
                              <a:xfrm flipH="0" flipV="0">
                                <a:off x="0" y="0"/>
                                <a:ext cx="2738369" cy="2053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62pt;height:161.7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18368" cy="213697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31440" name=""/>
                              <pic:cNvPicPr>
                                <a:picLocks noChangeAspect="1"/>
                              </pic:cNvPicPr>
                              <pic:nvPr/>
                            </pic:nvPicPr>
                            <pic:blipFill rotWithShape="1">
                              <a:blip r:embed="rId21"/>
                              <a:stretch/>
                            </pic:blipFill>
                            <pic:spPr bwMode="auto">
                              <a:xfrm flipH="0" flipV="0">
                                <a:off x="0" y="0"/>
                                <a:ext cx="2318367" cy="2136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2.55pt;height:168.27pt;mso-wrap-distance-left:0.00pt;mso-wrap-distance-top:0.00pt;mso-wrap-distance-right:0.00pt;mso-wrap-distance-bottom:0.00pt;z-index:1;" stroked="false">
                      <v:imagedata r:id="rId21" o:title=""/>
                      <o:lock v:ext="edit" rotation="t"/>
                    </v:shape>
                  </w:pict>
                </mc:Fallback>
              </mc:AlternateContent>
            </w:r>
            <w:r>
              <w:rPr>
                <w:i/>
                <w:lang w:val="pt-BR"/>
              </w:rPr>
            </w: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65510" cy="24491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26269" name=""/>
                              <pic:cNvPicPr>
                                <a:picLocks noChangeAspect="1"/>
                              </pic:cNvPicPr>
                              <pic:nvPr/>
                            </pic:nvPicPr>
                            <pic:blipFill rotWithShape="1">
                              <a:blip r:embed="rId22"/>
                              <a:stretch/>
                            </pic:blipFill>
                            <pic:spPr bwMode="auto">
                              <a:xfrm flipH="0" flipV="0">
                                <a:off x="0" y="0"/>
                                <a:ext cx="3265509" cy="24491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7.13pt;height:192.8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18604" cy="241395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14877" name=""/>
                              <pic:cNvPicPr>
                                <a:picLocks noChangeAspect="1"/>
                              </pic:cNvPicPr>
                              <pic:nvPr/>
                            </pic:nvPicPr>
                            <pic:blipFill rotWithShape="1">
                              <a:blip r:embed="rId23"/>
                              <a:stretch/>
                            </pic:blipFill>
                            <pic:spPr bwMode="auto">
                              <a:xfrm flipH="0" flipV="0">
                                <a:off x="0" y="0"/>
                                <a:ext cx="3218604" cy="24139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3.43pt;height:190.08pt;mso-wrap-distance-left:0.00pt;mso-wrap-distance-top:0.00pt;mso-wrap-distance-right:0.00pt;mso-wrap-distance-bottom:0.00pt;z-index:1;" stroked="false">
                      <v:imagedata r:id="rId23" o:title=""/>
                      <o:lock v:ext="edit" rotation="t"/>
                    </v:shape>
                  </w:pict>
                </mc:Fallback>
              </mc:AlternateContent>
            </w:r>
            <w:r>
              <w:rPr>
                <w:i/>
                <w:lang w:val="pt-BR"/>
              </w:rPr>
            </w:r>
            <w:r/>
            <w:r>
              <w:rPr>
                <w:i/>
                <w:lang w:val="pt-BR"/>
              </w:rPr>
            </w:r>
            <w: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275/2026/0185/VFI-BC.53.A ngày</w:t>
      </w:r>
      <w:r>
        <w:rPr>
          <w:i/>
          <w:lang w:val="pt-BR"/>
        </w:rPr>
        <w:t xml:space="preserve">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 Tiến</w:t>
            </w:r>
            <w:r>
              <w:rPr>
                <w:sz w:val="22"/>
                <w:szCs w:val="22"/>
              </w:rPr>
              <w:t xml:space="preserve"> </w:t>
            </w:r>
            <w:r>
              <w:rPr>
                <w:sz w:val="22"/>
                <w:szCs w:val="22"/>
              </w:rPr>
              <w:br/>
              <w:t xml:space="preserve">(0963232636</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Dương Nội, Quận Hà Đông, Thành phố Hà Nội, đường Tài sản nằm trong ngách 23, ngõ 14 quang trung, hà đông, độ rộng đường trước mặt tài sản 3m, mặt tiền 3.10m, 20.957837633955528, 105.75806398813857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5479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1547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5.8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5479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1547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5.8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r>
      <w:r>
        <w:rPr>
          <w:b/>
          <w:bCs/>
          <w:iCs/>
          <w:lang w:val="pt-BR"/>
        </w:rPr>
      </w:r>
      <w:r>
        <w:rPr>
          <w:b/>
          <w:bCs/>
          <w:iCs/>
          <w:lang w:val="pt-BR"/>
        </w:rPr>
        <w:t xml:space="preserve">TSSS2</w:t>
      </w:r>
      <w:r>
        <w:rPr>
          <w:iCs/>
          <w:lang w:val="pt-BR"/>
        </w:rPr>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 Đạt</w:t>
            </w:r>
            <w:r>
              <w:rPr>
                <w:sz w:val="22"/>
                <w:szCs w:val="22"/>
              </w:rPr>
              <w:t xml:space="preserve"> </w:t>
            </w:r>
            <w:r>
              <w:rPr>
                <w:sz w:val="22"/>
                <w:szCs w:val="22"/>
              </w:rPr>
              <w:br/>
              <w:t xml:space="preserve">(Mạnh Đạt 0768938685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Dương Nội, Quận Hà Đông, Thành phố Hà Nội, khoảng cách ra đường chính Tài sản nằm tiếp giáp đường nội khu, cách đường Quang Trung khoảng 300mm, độ rộng đường trước mặt tài sản 3m, mặt tiền 3.5m, 20.961198563573333, 105.76162147415378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4657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1465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5.2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4657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1465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5.2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iCs/>
          <w:lang w:val="pt-BR"/>
        </w:rPr>
      </w:r>
    </w:p>
    <w:p>
      <w:pPr>
        <w:pBdr/>
        <w:spacing w:after="200" w:line="276" w:lineRule="auto"/>
        <w:ind/>
        <w:rPr>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rPr>
          <w:b/>
          <w:bCs/>
          <w:highlight w:val="none"/>
          <w:lang w:val="pt-BR"/>
        </w:rPr>
      </w:pPr>
      <w:r>
        <w:rPr>
          <w:iCs/>
          <w:lang w:val="pt-BR"/>
        </w:rPr>
        <w:t xml:space="preserve">                                                                      </w:t>
      </w:r>
      <w:r>
        <w:rPr>
          <w:b/>
          <w:bCs/>
          <w:iCs/>
          <w:lang w:val="pt-BR"/>
        </w:rPr>
        <w:t xml:space="preserve">TSSS 3</w:t>
      </w:r>
      <w:r>
        <w:rPr>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sale Đạt</w:t>
            </w:r>
            <w:r>
              <w:rPr>
                <w:sz w:val="22"/>
                <w:szCs w:val="22"/>
              </w:rPr>
              <w:t xml:space="preserve"> </w:t>
            </w:r>
            <w:r>
              <w:rPr>
                <w:sz w:val="22"/>
                <w:szCs w:val="22"/>
              </w:rPr>
              <w:br/>
              <w:t xml:space="preserve">(Mạnh Đạt 0768938685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Dương Nội, Quận Hà Đông, Thành phố Hà Nội, khoảng cách ra đường chính Tài sản nằm tiếp giáp đường nội khu, cách đường Quang Trung khoảng 300mm, độ rộng đường trước mặt tài sản 2m, mặt tiền 3.7m, 20.961261125992145, 105.76164718769685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3905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0390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6.7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3905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0390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96.7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jc w:val="center"/>
        <w:rPr>
          <w:b/>
          <w:bCs/>
          <w:iCs/>
          <w:highlight w:val="none"/>
          <w:lang w:val="pt-BR"/>
        </w:rPr>
      </w:pPr>
      <w:r>
        <w:rPr>
          <w:b/>
          <w:bCs/>
          <w:iCs/>
          <w:lang w:val="pt-BR"/>
        </w:rPr>
        <w:t xml:space="preserve">HỒ SƠ PHÁP LÝ </w:t>
      </w:r>
      <w:r>
        <w:rPr>
          <w:b/>
          <w:bCs/>
          <w:iCs/>
        </w:rPr>
      </w:r>
    </w:p>
    <w:p>
      <w:pPr>
        <w:pBdr/>
        <w:spacing w:after="200" w:line="276" w:lineRule="auto"/>
        <w:ind/>
        <w:jc w:val="center"/>
        <w:rPr>
          <w:b/>
          <w:bCs/>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
        <mc:AlternateContent>
          <mc:Choice Requires="wpg">
            <w:drawing>
              <wp:inline xmlns:wp="http://schemas.openxmlformats.org/drawingml/2006/wordprocessingDrawing" distT="0" distB="0" distL="0" distR="0">
                <wp:extent cx="6360990" cy="866252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41197" name=""/>
                        <pic:cNvPicPr>
                          <a:picLocks noChangeAspect="1"/>
                        </pic:cNvPicPr>
                        <pic:nvPr/>
                      </pic:nvPicPr>
                      <pic:blipFill rotWithShape="1">
                        <a:blip r:embed="rId31"/>
                        <a:stretch/>
                      </pic:blipFill>
                      <pic:spPr bwMode="auto">
                        <a:xfrm flipH="0" flipV="0">
                          <a:off x="0" y="0"/>
                          <a:ext cx="6360990" cy="8662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00.87pt;height:682.09pt;mso-wrap-distance-left:0.00pt;mso-wrap-distance-top:0.00pt;mso-wrap-distance-right:0.00pt;mso-wrap-distance-bottom:0.00pt;z-index:1;" stroked="false">
                <v:imagedata r:id="rId31" o:title=""/>
                <o:lock v:ext="edit" rotation="t"/>
              </v:shape>
            </w:pict>
          </mc:Fallback>
        </mc:AlternateContent>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41243" cy="89053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59226" name=""/>
                        <pic:cNvPicPr>
                          <a:picLocks noChangeAspect="1"/>
                        </pic:cNvPicPr>
                        <pic:nvPr/>
                      </pic:nvPicPr>
                      <pic:blipFill rotWithShape="1">
                        <a:blip r:embed="rId32"/>
                        <a:stretch/>
                      </pic:blipFill>
                      <pic:spPr bwMode="auto">
                        <a:xfrm flipH="0" flipV="0">
                          <a:off x="0" y="0"/>
                          <a:ext cx="6141242" cy="8905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83.56pt;height:701.21pt;mso-wrap-distance-left:0.00pt;mso-wrap-distance-top:0.00pt;mso-wrap-distance-right:0.00pt;mso-wrap-distance-bottom:0.00pt;z-index:1;" stroked="false">
                <v:imagedata r:id="rId32" o:title=""/>
                <o:lock v:ext="edit" rotation="t"/>
              </v:shape>
            </w:pict>
          </mc:Fallback>
        </mc:AlternateContent>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left"/>
        <w:rPr>
          <w:b/>
          <w:bCs/>
          <w:highlight w:val="none"/>
        </w:rPr>
      </w:pPr>
      <w:r>
        <w:rPr>
          <w:b/>
          <w:bCs/>
          <w:highlight w:val="none"/>
        </w:rPr>
        <w:t xml:space="preserve">                                     BIÊN BẢN KHẢO SÁT</w:t>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648325" cy="850060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2715" name=""/>
                        <pic:cNvPicPr>
                          <a:picLocks noChangeAspect="1"/>
                        </pic:cNvPicPr>
                        <pic:nvPr/>
                      </pic:nvPicPr>
                      <pic:blipFill rotWithShape="1">
                        <a:blip r:embed="rId33"/>
                        <a:stretch/>
                      </pic:blipFill>
                      <pic:spPr bwMode="auto">
                        <a:xfrm flipH="0" flipV="0">
                          <a:off x="0" y="0"/>
                          <a:ext cx="5648324" cy="8500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4.75pt;height:669.34pt;mso-wrap-distance-left:0.00pt;mso-wrap-distance-top:0.00pt;mso-wrap-distance-right:0.00pt;mso-wrap-distance-bottom:0.00pt;z-index:1;" stroked="false">
                <v:imagedata r:id="rId33" o:title=""/>
                <o:lock v:ext="edit" rotation="t"/>
              </v:shape>
            </w:pict>
          </mc:Fallback>
        </mc:AlternateContent>
      </w:r>
      <w:r>
        <w:rPr>
          <w:b/>
          <w:bCs/>
          <w:highlight w:val="none"/>
        </w:rPr>
      </w:r>
      <w:r>
        <w:rPr>
          <w:b/>
          <w:bCs/>
          <w:highlight w:val="none"/>
        </w:rPr>
      </w:r>
      <w:r>
        <w:rPr>
          <w:b/>
          <w:bCs/>
          <w:highlight w:val="none"/>
        </w:rPr>
      </w:r>
    </w:p>
    <w:sectPr>
      <w:footerReference w:type="even" r:id="rId12"/>
      <w:footnotePr/>
      <w:endnotePr/>
      <w:type w:val="nextPage"/>
      <w:pgSz w:h="16839" w:orient="portrait" w:w="11907"/>
      <w:pgMar w:top="1134" w:right="851" w:bottom="1134" w:left="216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FF5E58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6CA513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0B55E6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39ED9E7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549174F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45D0043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3582DF8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285CF89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445CAAA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4">
    <w:name w:val="Table Grid Light"/>
    <w:basedOn w:val="102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1"/>
    <w:basedOn w:val="102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2"/>
    <w:basedOn w:val="102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3"/>
    <w:basedOn w:val="102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4"/>
    <w:basedOn w:val="102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5"/>
    <w:basedOn w:val="102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w:basedOn w:val="102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1"/>
    <w:basedOn w:val="102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2"/>
    <w:basedOn w:val="102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3"/>
    <w:basedOn w:val="102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4"/>
    <w:basedOn w:val="102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5"/>
    <w:basedOn w:val="102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6"/>
    <w:basedOn w:val="102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w:basedOn w:val="102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1"/>
    <w:basedOn w:val="102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2"/>
    <w:basedOn w:val="102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3"/>
    <w:basedOn w:val="102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4"/>
    <w:basedOn w:val="102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5"/>
    <w:basedOn w:val="102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6"/>
    <w:basedOn w:val="102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w:basedOn w:val="102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1"/>
    <w:basedOn w:val="102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2"/>
    <w:basedOn w:val="102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3"/>
    <w:basedOn w:val="102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4"/>
    <w:basedOn w:val="102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5"/>
    <w:basedOn w:val="102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6"/>
    <w:basedOn w:val="102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w:basedOn w:val="102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1"/>
    <w:basedOn w:val="102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2"/>
    <w:basedOn w:val="102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3"/>
    <w:basedOn w:val="102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4"/>
    <w:basedOn w:val="102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5"/>
    <w:basedOn w:val="102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6"/>
    <w:basedOn w:val="102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w:basedOn w:val="10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1"/>
    <w:basedOn w:val="10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2"/>
    <w:basedOn w:val="10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3"/>
    <w:basedOn w:val="10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4"/>
    <w:basedOn w:val="10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5"/>
    <w:basedOn w:val="10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6"/>
    <w:basedOn w:val="10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6 Colorful"/>
    <w:basedOn w:val="102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6">
    <w:name w:val="Grid Table 6 Colorful - Accent 1"/>
    <w:basedOn w:val="102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7">
    <w:name w:val="Grid Table 6 Colorful - Accent 2"/>
    <w:basedOn w:val="102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8">
    <w:name w:val="Grid Table 6 Colorful - Accent 3"/>
    <w:basedOn w:val="102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9">
    <w:name w:val="Grid Table 6 Colorful - Accent 4"/>
    <w:basedOn w:val="102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0">
    <w:name w:val="Grid Table 6 Colorful - Accent 5"/>
    <w:basedOn w:val="102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6 Colorful - Accent 6"/>
    <w:basedOn w:val="102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7 Colorful"/>
    <w:basedOn w:val="102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1"/>
    <w:basedOn w:val="102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2"/>
    <w:basedOn w:val="102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3"/>
    <w:basedOn w:val="102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4"/>
    <w:basedOn w:val="102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5"/>
    <w:basedOn w:val="102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6"/>
    <w:basedOn w:val="102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w:basedOn w:val="10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1"/>
    <w:basedOn w:val="10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2"/>
    <w:basedOn w:val="10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3"/>
    <w:basedOn w:val="10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4"/>
    <w:basedOn w:val="10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5"/>
    <w:basedOn w:val="10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6"/>
    <w:basedOn w:val="10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w:basedOn w:val="102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1"/>
    <w:basedOn w:val="102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2"/>
    <w:basedOn w:val="102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3"/>
    <w:basedOn w:val="102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4"/>
    <w:basedOn w:val="102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5"/>
    <w:basedOn w:val="102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6"/>
    <w:basedOn w:val="102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w:basedOn w:val="102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1"/>
    <w:basedOn w:val="102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2"/>
    <w:basedOn w:val="102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3"/>
    <w:basedOn w:val="102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4"/>
    <w:basedOn w:val="102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5"/>
    <w:basedOn w:val="102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6"/>
    <w:basedOn w:val="102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w:basedOn w:val="102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1"/>
    <w:basedOn w:val="102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2"/>
    <w:basedOn w:val="102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3"/>
    <w:basedOn w:val="102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4"/>
    <w:basedOn w:val="102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5"/>
    <w:basedOn w:val="102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6"/>
    <w:basedOn w:val="102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5 Dark"/>
    <w:basedOn w:val="102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1"/>
    <w:basedOn w:val="102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2"/>
    <w:basedOn w:val="102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3"/>
    <w:basedOn w:val="102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4"/>
    <w:basedOn w:val="102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5"/>
    <w:basedOn w:val="102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6"/>
    <w:basedOn w:val="102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6 Colorful"/>
    <w:basedOn w:val="102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1"/>
    <w:basedOn w:val="102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2"/>
    <w:basedOn w:val="102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3"/>
    <w:basedOn w:val="102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4"/>
    <w:basedOn w:val="102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5"/>
    <w:basedOn w:val="102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6"/>
    <w:basedOn w:val="102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7 Colorful"/>
    <w:basedOn w:val="102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2">
    <w:name w:val="List Table 7 Colorful - Accent 1"/>
    <w:basedOn w:val="102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3">
    <w:name w:val="List Table 7 Colorful - Accent 2"/>
    <w:basedOn w:val="102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4">
    <w:name w:val="List Table 7 Colorful - Accent 3"/>
    <w:basedOn w:val="102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5">
    <w:name w:val="List Table 7 Colorful - Accent 4"/>
    <w:basedOn w:val="102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6">
    <w:name w:val="List Table 7 Colorful - Accent 5"/>
    <w:basedOn w:val="102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7">
    <w:name w:val="List Table 7 Colorful - Accent 6"/>
    <w:basedOn w:val="102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8">
    <w:name w:val="Lined - Accent"/>
    <w:basedOn w:val="10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1"/>
    <w:basedOn w:val="10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2"/>
    <w:basedOn w:val="10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3"/>
    <w:basedOn w:val="10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4"/>
    <w:basedOn w:val="10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5"/>
    <w:basedOn w:val="10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6"/>
    <w:basedOn w:val="10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w:basedOn w:val="102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1"/>
    <w:basedOn w:val="102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2"/>
    <w:basedOn w:val="102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3"/>
    <w:basedOn w:val="102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4"/>
    <w:basedOn w:val="102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5"/>
    <w:basedOn w:val="102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6"/>
    <w:basedOn w:val="102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w:basedOn w:val="102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1"/>
    <w:basedOn w:val="102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2"/>
    <w:basedOn w:val="102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3"/>
    <w:basedOn w:val="102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4"/>
    <w:basedOn w:val="102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5"/>
    <w:basedOn w:val="102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6"/>
    <w:basedOn w:val="102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9">
    <w:name w:val="Heading 5"/>
    <w:basedOn w:val="1020"/>
    <w:next w:val="1020"/>
    <w:link w:val="98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0">
    <w:name w:val="Heading 6"/>
    <w:basedOn w:val="1020"/>
    <w:next w:val="1020"/>
    <w:link w:val="98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1">
    <w:name w:val="Heading 7"/>
    <w:basedOn w:val="1020"/>
    <w:next w:val="1020"/>
    <w:link w:val="98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2">
    <w:name w:val="Heading 8"/>
    <w:basedOn w:val="1020"/>
    <w:next w:val="1020"/>
    <w:link w:val="98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3">
    <w:name w:val="Heading 9"/>
    <w:basedOn w:val="1020"/>
    <w:next w:val="1020"/>
    <w:link w:val="98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4">
    <w:name w:val="Heading 5 Char"/>
    <w:basedOn w:val="1025"/>
    <w:link w:val="979"/>
    <w:uiPriority w:val="9"/>
    <w:pPr>
      <w:pBdr/>
      <w:spacing/>
      <w:ind/>
    </w:pPr>
    <w:rPr>
      <w:rFonts w:ascii="Arial" w:hAnsi="Arial" w:eastAsia="Arial" w:cs="Arial"/>
      <w:color w:val="0f4761" w:themeColor="accent1" w:themeShade="BF"/>
    </w:rPr>
  </w:style>
  <w:style w:type="character" w:styleId="985">
    <w:name w:val="Heading 6 Char"/>
    <w:basedOn w:val="1025"/>
    <w:link w:val="980"/>
    <w:uiPriority w:val="9"/>
    <w:pPr>
      <w:pBdr/>
      <w:spacing/>
      <w:ind/>
    </w:pPr>
    <w:rPr>
      <w:rFonts w:ascii="Arial" w:hAnsi="Arial" w:eastAsia="Arial" w:cs="Arial"/>
      <w:i/>
      <w:iCs/>
      <w:color w:val="595959" w:themeColor="text1" w:themeTint="A6"/>
    </w:rPr>
  </w:style>
  <w:style w:type="character" w:styleId="986">
    <w:name w:val="Heading 7 Char"/>
    <w:basedOn w:val="1025"/>
    <w:link w:val="981"/>
    <w:uiPriority w:val="9"/>
    <w:pPr>
      <w:pBdr/>
      <w:spacing/>
      <w:ind/>
    </w:pPr>
    <w:rPr>
      <w:rFonts w:ascii="Arial" w:hAnsi="Arial" w:eastAsia="Arial" w:cs="Arial"/>
      <w:color w:val="595959" w:themeColor="text1" w:themeTint="A6"/>
    </w:rPr>
  </w:style>
  <w:style w:type="character" w:styleId="987">
    <w:name w:val="Heading 8 Char"/>
    <w:basedOn w:val="1025"/>
    <w:link w:val="982"/>
    <w:uiPriority w:val="9"/>
    <w:pPr>
      <w:pBdr/>
      <w:spacing/>
      <w:ind/>
    </w:pPr>
    <w:rPr>
      <w:rFonts w:ascii="Arial" w:hAnsi="Arial" w:eastAsia="Arial" w:cs="Arial"/>
      <w:i/>
      <w:iCs/>
      <w:color w:val="272727" w:themeColor="text1" w:themeTint="D8"/>
    </w:rPr>
  </w:style>
  <w:style w:type="character" w:styleId="988">
    <w:name w:val="Heading 9 Char"/>
    <w:basedOn w:val="1025"/>
    <w:link w:val="983"/>
    <w:uiPriority w:val="9"/>
    <w:pPr>
      <w:pBdr/>
      <w:spacing/>
      <w:ind/>
    </w:pPr>
    <w:rPr>
      <w:rFonts w:ascii="Arial" w:hAnsi="Arial" w:eastAsia="Arial" w:cs="Arial"/>
      <w:i/>
      <w:iCs/>
      <w:color w:val="272727" w:themeColor="text1" w:themeTint="D8"/>
    </w:rPr>
  </w:style>
  <w:style w:type="paragraph" w:styleId="989">
    <w:name w:val="Subtitle"/>
    <w:basedOn w:val="1020"/>
    <w:next w:val="1020"/>
    <w:link w:val="990"/>
    <w:uiPriority w:val="11"/>
    <w:qFormat/>
    <w:pPr>
      <w:numPr>
        <w:ilvl w:val="1"/>
      </w:numPr>
      <w:pBdr/>
      <w:spacing/>
      <w:ind/>
    </w:pPr>
    <w:rPr>
      <w:color w:val="595959" w:themeColor="text1" w:themeTint="A6"/>
      <w:spacing w:val="15"/>
      <w:sz w:val="28"/>
      <w:szCs w:val="28"/>
    </w:rPr>
  </w:style>
  <w:style w:type="character" w:styleId="990">
    <w:name w:val="Subtitle Char"/>
    <w:basedOn w:val="1025"/>
    <w:link w:val="989"/>
    <w:uiPriority w:val="11"/>
    <w:pPr>
      <w:pBdr/>
      <w:spacing/>
      <w:ind/>
    </w:pPr>
    <w:rPr>
      <w:color w:val="595959" w:themeColor="text1" w:themeTint="A6"/>
      <w:spacing w:val="15"/>
      <w:sz w:val="28"/>
      <w:szCs w:val="28"/>
    </w:rPr>
  </w:style>
  <w:style w:type="paragraph" w:styleId="991">
    <w:name w:val="Quote"/>
    <w:basedOn w:val="1020"/>
    <w:next w:val="1020"/>
    <w:link w:val="992"/>
    <w:uiPriority w:val="29"/>
    <w:qFormat/>
    <w:pPr>
      <w:pBdr/>
      <w:spacing w:before="160"/>
      <w:ind/>
      <w:jc w:val="center"/>
    </w:pPr>
    <w:rPr>
      <w:i/>
      <w:iCs/>
      <w:color w:val="404040" w:themeColor="text1" w:themeTint="BF"/>
    </w:rPr>
  </w:style>
  <w:style w:type="character" w:styleId="992">
    <w:name w:val="Quote Char"/>
    <w:basedOn w:val="1025"/>
    <w:link w:val="991"/>
    <w:uiPriority w:val="29"/>
    <w:pPr>
      <w:pBdr/>
      <w:spacing/>
      <w:ind/>
    </w:pPr>
    <w:rPr>
      <w:i/>
      <w:iCs/>
      <w:color w:val="404040" w:themeColor="text1" w:themeTint="BF"/>
    </w:rPr>
  </w:style>
  <w:style w:type="character" w:styleId="993">
    <w:name w:val="Intense Emphasis"/>
    <w:basedOn w:val="1025"/>
    <w:uiPriority w:val="21"/>
    <w:qFormat/>
    <w:pPr>
      <w:pBdr/>
      <w:spacing/>
      <w:ind/>
    </w:pPr>
    <w:rPr>
      <w:i/>
      <w:iCs/>
      <w:color w:val="0f4761" w:themeColor="accent1" w:themeShade="BF"/>
    </w:rPr>
  </w:style>
  <w:style w:type="paragraph" w:styleId="994">
    <w:name w:val="Intense Quote"/>
    <w:basedOn w:val="1020"/>
    <w:next w:val="1020"/>
    <w:link w:val="99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5">
    <w:name w:val="Intense Quote Char"/>
    <w:basedOn w:val="1025"/>
    <w:link w:val="994"/>
    <w:uiPriority w:val="30"/>
    <w:pPr>
      <w:pBdr/>
      <w:spacing/>
      <w:ind/>
    </w:pPr>
    <w:rPr>
      <w:i/>
      <w:iCs/>
      <w:color w:val="0f4761" w:themeColor="accent1" w:themeShade="BF"/>
    </w:rPr>
  </w:style>
  <w:style w:type="character" w:styleId="996">
    <w:name w:val="Intense Reference"/>
    <w:basedOn w:val="1025"/>
    <w:uiPriority w:val="32"/>
    <w:qFormat/>
    <w:pPr>
      <w:pBdr/>
      <w:spacing/>
      <w:ind/>
    </w:pPr>
    <w:rPr>
      <w:b/>
      <w:bCs/>
      <w:smallCaps/>
      <w:color w:val="0f4761" w:themeColor="accent1" w:themeShade="BF"/>
      <w:spacing w:val="5"/>
    </w:rPr>
  </w:style>
  <w:style w:type="paragraph" w:styleId="997">
    <w:name w:val="No Spacing"/>
    <w:basedOn w:val="1020"/>
    <w:uiPriority w:val="1"/>
    <w:qFormat/>
    <w:pPr>
      <w:pBdr/>
      <w:spacing w:after="0" w:line="240" w:lineRule="auto"/>
      <w:ind/>
    </w:pPr>
  </w:style>
  <w:style w:type="character" w:styleId="998">
    <w:name w:val="Subtle Emphasis"/>
    <w:basedOn w:val="1025"/>
    <w:uiPriority w:val="19"/>
    <w:qFormat/>
    <w:pPr>
      <w:pBdr/>
      <w:spacing/>
      <w:ind/>
    </w:pPr>
    <w:rPr>
      <w:i/>
      <w:iCs/>
      <w:color w:val="404040" w:themeColor="text1" w:themeTint="BF"/>
    </w:rPr>
  </w:style>
  <w:style w:type="character" w:styleId="999">
    <w:name w:val="Subtle Reference"/>
    <w:basedOn w:val="1025"/>
    <w:uiPriority w:val="31"/>
    <w:qFormat/>
    <w:pPr>
      <w:pBdr/>
      <w:spacing/>
      <w:ind/>
    </w:pPr>
    <w:rPr>
      <w:smallCaps/>
      <w:color w:val="5a5a5a" w:themeColor="text1" w:themeTint="A5"/>
    </w:rPr>
  </w:style>
  <w:style w:type="character" w:styleId="1000">
    <w:name w:val="Book Title"/>
    <w:basedOn w:val="1025"/>
    <w:uiPriority w:val="33"/>
    <w:qFormat/>
    <w:pPr>
      <w:pBdr/>
      <w:spacing/>
      <w:ind/>
    </w:pPr>
    <w:rPr>
      <w:b/>
      <w:bCs/>
      <w:i/>
      <w:iCs/>
      <w:spacing w:val="5"/>
    </w:rPr>
  </w:style>
  <w:style w:type="paragraph" w:styleId="1001">
    <w:name w:val="Caption"/>
    <w:basedOn w:val="1020"/>
    <w:next w:val="1020"/>
    <w:uiPriority w:val="35"/>
    <w:unhideWhenUsed/>
    <w:qFormat/>
    <w:pPr>
      <w:pBdr/>
      <w:spacing w:after="200" w:line="240" w:lineRule="auto"/>
      <w:ind/>
    </w:pPr>
    <w:rPr>
      <w:i/>
      <w:iCs/>
      <w:color w:val="0e2841" w:themeColor="text2"/>
      <w:sz w:val="18"/>
      <w:szCs w:val="18"/>
    </w:rPr>
  </w:style>
  <w:style w:type="paragraph" w:styleId="1002">
    <w:name w:val="footnote text"/>
    <w:basedOn w:val="1020"/>
    <w:link w:val="1003"/>
    <w:uiPriority w:val="99"/>
    <w:semiHidden/>
    <w:unhideWhenUsed/>
    <w:pPr>
      <w:pBdr/>
      <w:spacing w:after="0" w:line="240" w:lineRule="auto"/>
      <w:ind/>
    </w:pPr>
    <w:rPr>
      <w:sz w:val="20"/>
      <w:szCs w:val="20"/>
    </w:rPr>
  </w:style>
  <w:style w:type="character" w:styleId="1003">
    <w:name w:val="Footnote Text Char"/>
    <w:basedOn w:val="1025"/>
    <w:link w:val="1002"/>
    <w:uiPriority w:val="99"/>
    <w:semiHidden/>
    <w:pPr>
      <w:pBdr/>
      <w:spacing/>
      <w:ind/>
    </w:pPr>
    <w:rPr>
      <w:sz w:val="20"/>
      <w:szCs w:val="20"/>
    </w:rPr>
  </w:style>
  <w:style w:type="character" w:styleId="1004">
    <w:name w:val="footnote reference"/>
    <w:basedOn w:val="1025"/>
    <w:uiPriority w:val="99"/>
    <w:semiHidden/>
    <w:unhideWhenUsed/>
    <w:pPr>
      <w:pBdr/>
      <w:spacing/>
      <w:ind/>
    </w:pPr>
    <w:rPr>
      <w:vertAlign w:val="superscript"/>
    </w:rPr>
  </w:style>
  <w:style w:type="paragraph" w:styleId="1005">
    <w:name w:val="endnote text"/>
    <w:basedOn w:val="1020"/>
    <w:link w:val="1006"/>
    <w:uiPriority w:val="99"/>
    <w:semiHidden/>
    <w:unhideWhenUsed/>
    <w:pPr>
      <w:pBdr/>
      <w:spacing w:after="0" w:line="240" w:lineRule="auto"/>
      <w:ind/>
    </w:pPr>
    <w:rPr>
      <w:sz w:val="20"/>
      <w:szCs w:val="20"/>
    </w:rPr>
  </w:style>
  <w:style w:type="character" w:styleId="1006">
    <w:name w:val="Endnote Text Char"/>
    <w:basedOn w:val="1025"/>
    <w:link w:val="1005"/>
    <w:uiPriority w:val="99"/>
    <w:semiHidden/>
    <w:pPr>
      <w:pBdr/>
      <w:spacing/>
      <w:ind/>
    </w:pPr>
    <w:rPr>
      <w:sz w:val="20"/>
      <w:szCs w:val="20"/>
    </w:rPr>
  </w:style>
  <w:style w:type="character" w:styleId="1007">
    <w:name w:val="endnote reference"/>
    <w:basedOn w:val="1025"/>
    <w:uiPriority w:val="99"/>
    <w:semiHidden/>
    <w:unhideWhenUsed/>
    <w:pPr>
      <w:pBdr/>
      <w:spacing/>
      <w:ind/>
    </w:pPr>
    <w:rPr>
      <w:vertAlign w:val="superscript"/>
    </w:rPr>
  </w:style>
  <w:style w:type="paragraph" w:styleId="1008">
    <w:name w:val="toc 1"/>
    <w:basedOn w:val="1020"/>
    <w:next w:val="1020"/>
    <w:uiPriority w:val="39"/>
    <w:unhideWhenUsed/>
    <w:pPr>
      <w:pBdr/>
      <w:spacing w:after="100"/>
      <w:ind/>
    </w:pPr>
  </w:style>
  <w:style w:type="paragraph" w:styleId="1009">
    <w:name w:val="toc 2"/>
    <w:basedOn w:val="1020"/>
    <w:next w:val="1020"/>
    <w:uiPriority w:val="39"/>
    <w:unhideWhenUsed/>
    <w:pPr>
      <w:pBdr/>
      <w:spacing w:after="100"/>
      <w:ind w:left="220"/>
    </w:pPr>
  </w:style>
  <w:style w:type="paragraph" w:styleId="1010">
    <w:name w:val="toc 3"/>
    <w:basedOn w:val="1020"/>
    <w:next w:val="1020"/>
    <w:uiPriority w:val="39"/>
    <w:unhideWhenUsed/>
    <w:pPr>
      <w:pBdr/>
      <w:spacing w:after="100"/>
      <w:ind w:left="440"/>
    </w:pPr>
  </w:style>
  <w:style w:type="paragraph" w:styleId="1011">
    <w:name w:val="toc 4"/>
    <w:basedOn w:val="1020"/>
    <w:next w:val="1020"/>
    <w:uiPriority w:val="39"/>
    <w:unhideWhenUsed/>
    <w:pPr>
      <w:pBdr/>
      <w:spacing w:after="100"/>
      <w:ind w:left="660"/>
    </w:pPr>
  </w:style>
  <w:style w:type="paragraph" w:styleId="1012">
    <w:name w:val="toc 5"/>
    <w:basedOn w:val="1020"/>
    <w:next w:val="1020"/>
    <w:uiPriority w:val="39"/>
    <w:unhideWhenUsed/>
    <w:pPr>
      <w:pBdr/>
      <w:spacing w:after="100"/>
      <w:ind w:left="880"/>
    </w:pPr>
  </w:style>
  <w:style w:type="paragraph" w:styleId="1013">
    <w:name w:val="toc 6"/>
    <w:basedOn w:val="1020"/>
    <w:next w:val="1020"/>
    <w:uiPriority w:val="39"/>
    <w:unhideWhenUsed/>
    <w:pPr>
      <w:pBdr/>
      <w:spacing w:after="100"/>
      <w:ind w:left="1100"/>
    </w:pPr>
  </w:style>
  <w:style w:type="paragraph" w:styleId="1014">
    <w:name w:val="toc 7"/>
    <w:basedOn w:val="1020"/>
    <w:next w:val="1020"/>
    <w:uiPriority w:val="39"/>
    <w:unhideWhenUsed/>
    <w:pPr>
      <w:pBdr/>
      <w:spacing w:after="100"/>
      <w:ind w:left="1320"/>
    </w:pPr>
  </w:style>
  <w:style w:type="paragraph" w:styleId="1015">
    <w:name w:val="toc 8"/>
    <w:basedOn w:val="1020"/>
    <w:next w:val="1020"/>
    <w:uiPriority w:val="39"/>
    <w:unhideWhenUsed/>
    <w:pPr>
      <w:pBdr/>
      <w:spacing w:after="100"/>
      <w:ind w:left="1540"/>
    </w:pPr>
  </w:style>
  <w:style w:type="paragraph" w:styleId="1016">
    <w:name w:val="toc 9"/>
    <w:basedOn w:val="1020"/>
    <w:next w:val="1020"/>
    <w:uiPriority w:val="39"/>
    <w:unhideWhenUsed/>
    <w:pPr>
      <w:pBdr/>
      <w:spacing w:after="100"/>
      <w:ind w:left="1760"/>
    </w:pPr>
  </w:style>
  <w:style w:type="character" w:styleId="1017">
    <w:name w:val="Placeholder Text"/>
    <w:basedOn w:val="1025"/>
    <w:uiPriority w:val="99"/>
    <w:semiHidden/>
    <w:pPr>
      <w:pBdr/>
      <w:spacing/>
      <w:ind/>
    </w:pPr>
    <w:rPr>
      <w:color w:val="666666"/>
    </w:rPr>
  </w:style>
  <w:style w:type="paragraph" w:styleId="1018">
    <w:name w:val="TOC Heading"/>
    <w:uiPriority w:val="39"/>
    <w:unhideWhenUsed/>
    <w:pPr>
      <w:pBdr/>
      <w:spacing/>
      <w:ind/>
    </w:pPr>
  </w:style>
  <w:style w:type="paragraph" w:styleId="1019">
    <w:name w:val="table of figures"/>
    <w:basedOn w:val="1020"/>
    <w:next w:val="1020"/>
    <w:uiPriority w:val="99"/>
    <w:unhideWhenUsed/>
    <w:pPr>
      <w:pBdr/>
      <w:spacing w:after="0" w:afterAutospacing="0"/>
      <w:ind/>
    </w:pPr>
  </w:style>
  <w:style w:type="paragraph" w:styleId="1020" w:default="1">
    <w:name w:val="Normal"/>
    <w:qFormat/>
    <w:pPr>
      <w:pBdr/>
      <w:spacing w:after="0" w:line="240" w:lineRule="auto"/>
      <w:ind/>
    </w:pPr>
    <w:rPr>
      <w:rFonts w:ascii="Times New Roman" w:hAnsi="Times New Roman" w:eastAsia="Times New Roman" w:cs="Times New Roman"/>
      <w:sz w:val="24"/>
      <w:szCs w:val="24"/>
    </w:rPr>
  </w:style>
  <w:style w:type="paragraph" w:styleId="1021">
    <w:name w:val="Heading 1"/>
    <w:basedOn w:val="1020"/>
    <w:next w:val="1020"/>
    <w:link w:val="1028"/>
    <w:qFormat/>
    <w:pPr>
      <w:keepNext w:val="true"/>
      <w:pBdr/>
      <w:spacing w:after="120" w:before="120"/>
      <w:ind/>
      <w:jc w:val="center"/>
      <w:outlineLvl w:val="0"/>
    </w:pPr>
    <w:rPr>
      <w:b/>
      <w:bCs/>
      <w:sz w:val="27"/>
      <w:szCs w:val="27"/>
    </w:rPr>
  </w:style>
  <w:style w:type="paragraph" w:styleId="1022">
    <w:name w:val="Heading 2"/>
    <w:basedOn w:val="1020"/>
    <w:next w:val="1020"/>
    <w:link w:val="102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3">
    <w:name w:val="Heading 3"/>
    <w:basedOn w:val="1020"/>
    <w:next w:val="1020"/>
    <w:link w:val="1030"/>
    <w:qFormat/>
    <w:pPr>
      <w:keepNext w:val="true"/>
      <w:pBdr/>
      <w:spacing w:before="60"/>
      <w:ind/>
      <w:outlineLvl w:val="2"/>
    </w:pPr>
    <w:rPr>
      <w:sz w:val="28"/>
      <w:szCs w:val="28"/>
    </w:rPr>
  </w:style>
  <w:style w:type="paragraph" w:styleId="1024">
    <w:name w:val="Heading 4"/>
    <w:basedOn w:val="1020"/>
    <w:next w:val="1020"/>
    <w:link w:val="1031"/>
    <w:qFormat/>
    <w:pPr>
      <w:keepNext w:val="true"/>
      <w:pBdr/>
      <w:spacing/>
      <w:ind/>
      <w:jc w:val="center"/>
      <w:outlineLvl w:val="3"/>
    </w:pPr>
    <w:rPr>
      <w:b/>
      <w:bCs/>
    </w:rPr>
  </w:style>
  <w:style w:type="character" w:styleId="1025" w:default="1">
    <w:name w:val="Default Paragraph Font"/>
    <w:uiPriority w:val="1"/>
    <w:semiHidden/>
    <w:unhideWhenUsed/>
    <w:pPr>
      <w:pBdr/>
      <w:spacing/>
      <w:ind/>
    </w:pPr>
  </w:style>
  <w:style w:type="table" w:styleId="102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7" w:default="1">
    <w:name w:val="No List"/>
    <w:uiPriority w:val="99"/>
    <w:semiHidden/>
    <w:unhideWhenUsed/>
    <w:pPr>
      <w:pBdr/>
      <w:spacing/>
      <w:ind/>
    </w:pPr>
  </w:style>
  <w:style w:type="character" w:styleId="1028" w:customStyle="1">
    <w:name w:val="Heading 1 Char"/>
    <w:basedOn w:val="1025"/>
    <w:link w:val="1021"/>
    <w:pPr>
      <w:pBdr/>
      <w:spacing/>
      <w:ind/>
    </w:pPr>
    <w:rPr>
      <w:rFonts w:ascii="Times New Roman" w:hAnsi="Times New Roman" w:eastAsia="Times New Roman" w:cs="Times New Roman"/>
      <w:b/>
      <w:bCs/>
      <w:sz w:val="27"/>
      <w:szCs w:val="27"/>
    </w:rPr>
  </w:style>
  <w:style w:type="character" w:styleId="1029" w:customStyle="1">
    <w:name w:val="Heading 2 Char"/>
    <w:basedOn w:val="1025"/>
    <w:link w:val="1022"/>
    <w:uiPriority w:val="9"/>
    <w:pPr>
      <w:pBdr/>
      <w:spacing/>
      <w:ind/>
    </w:pPr>
    <w:rPr>
      <w:rFonts w:asciiTheme="majorHAnsi" w:hAnsiTheme="majorHAnsi" w:eastAsiaTheme="majorEastAsia" w:cstheme="majorBidi"/>
      <w:color w:val="365f91" w:themeColor="accent1" w:themeShade="BF"/>
      <w:sz w:val="26"/>
      <w:szCs w:val="26"/>
    </w:rPr>
  </w:style>
  <w:style w:type="character" w:styleId="1030" w:customStyle="1">
    <w:name w:val="Heading 3 Char"/>
    <w:basedOn w:val="1025"/>
    <w:link w:val="1023"/>
    <w:pPr>
      <w:pBdr/>
      <w:spacing/>
      <w:ind/>
    </w:pPr>
    <w:rPr>
      <w:rFonts w:ascii="Times New Roman" w:hAnsi="Times New Roman" w:eastAsia="Times New Roman" w:cs="Times New Roman"/>
      <w:sz w:val="28"/>
      <w:szCs w:val="28"/>
    </w:rPr>
  </w:style>
  <w:style w:type="character" w:styleId="1031" w:customStyle="1">
    <w:name w:val="Heading 4 Char"/>
    <w:basedOn w:val="1025"/>
    <w:link w:val="1024"/>
    <w:pPr>
      <w:pBdr/>
      <w:spacing/>
      <w:ind/>
    </w:pPr>
    <w:rPr>
      <w:rFonts w:ascii="Times New Roman" w:hAnsi="Times New Roman" w:eastAsia="Times New Roman" w:cs="Times New Roman"/>
      <w:b/>
      <w:bCs/>
      <w:sz w:val="24"/>
      <w:szCs w:val="24"/>
    </w:rPr>
  </w:style>
  <w:style w:type="character" w:styleId="1032">
    <w:name w:val="Hyperlink"/>
    <w:uiPriority w:val="99"/>
    <w:pPr>
      <w:pBdr/>
      <w:spacing/>
      <w:ind/>
    </w:pPr>
    <w:rPr>
      <w:color w:val="000000"/>
      <w:u w:val="single"/>
    </w:rPr>
  </w:style>
  <w:style w:type="character" w:styleId="1033">
    <w:name w:val="Strong"/>
    <w:uiPriority w:val="22"/>
    <w:qFormat/>
    <w:pPr>
      <w:pBdr/>
      <w:spacing/>
      <w:ind/>
    </w:pPr>
    <w:rPr>
      <w:b/>
      <w:bCs/>
    </w:rPr>
  </w:style>
  <w:style w:type="paragraph" w:styleId="1034">
    <w:name w:val="Balloon Text"/>
    <w:basedOn w:val="1020"/>
    <w:link w:val="1035"/>
    <w:uiPriority w:val="99"/>
    <w:semiHidden/>
    <w:unhideWhenUsed/>
    <w:pPr>
      <w:pBdr/>
      <w:spacing/>
      <w:ind/>
    </w:pPr>
    <w:rPr>
      <w:rFonts w:ascii="Tahoma" w:hAnsi="Tahoma" w:cs="Tahoma"/>
      <w:sz w:val="16"/>
      <w:szCs w:val="16"/>
    </w:rPr>
  </w:style>
  <w:style w:type="character" w:styleId="1035" w:customStyle="1">
    <w:name w:val="Balloon Text Char"/>
    <w:basedOn w:val="1025"/>
    <w:link w:val="1034"/>
    <w:uiPriority w:val="99"/>
    <w:semiHidden/>
    <w:pPr>
      <w:pBdr/>
      <w:spacing/>
      <w:ind/>
    </w:pPr>
    <w:rPr>
      <w:rFonts w:ascii="Tahoma" w:hAnsi="Tahoma" w:eastAsia="Times New Roman" w:cs="Tahoma"/>
      <w:sz w:val="16"/>
      <w:szCs w:val="16"/>
    </w:rPr>
  </w:style>
  <w:style w:type="paragraph" w:styleId="1036">
    <w:name w:val="Header"/>
    <w:basedOn w:val="1020"/>
    <w:link w:val="1037"/>
    <w:unhideWhenUsed/>
    <w:pPr>
      <w:pBdr/>
      <w:tabs>
        <w:tab w:val="center" w:leader="none" w:pos="4680"/>
        <w:tab w:val="right" w:leader="none" w:pos="9360"/>
      </w:tabs>
      <w:spacing/>
      <w:ind/>
    </w:pPr>
  </w:style>
  <w:style w:type="character" w:styleId="1037" w:customStyle="1">
    <w:name w:val="Header Char"/>
    <w:basedOn w:val="1025"/>
    <w:link w:val="1036"/>
    <w:pPr>
      <w:pBdr/>
      <w:spacing/>
      <w:ind/>
    </w:pPr>
    <w:rPr>
      <w:rFonts w:ascii="Times New Roman" w:hAnsi="Times New Roman" w:eastAsia="Times New Roman" w:cs="Times New Roman"/>
      <w:sz w:val="24"/>
      <w:szCs w:val="24"/>
    </w:rPr>
  </w:style>
  <w:style w:type="paragraph" w:styleId="1038">
    <w:name w:val="Footer"/>
    <w:basedOn w:val="1020"/>
    <w:link w:val="1039"/>
    <w:uiPriority w:val="99"/>
    <w:unhideWhenUsed/>
    <w:pPr>
      <w:pBdr/>
      <w:tabs>
        <w:tab w:val="center" w:leader="none" w:pos="4680"/>
        <w:tab w:val="right" w:leader="none" w:pos="9360"/>
      </w:tabs>
      <w:spacing/>
      <w:ind/>
    </w:pPr>
  </w:style>
  <w:style w:type="character" w:styleId="1039" w:customStyle="1">
    <w:name w:val="Footer Char"/>
    <w:basedOn w:val="1025"/>
    <w:link w:val="1038"/>
    <w:uiPriority w:val="99"/>
    <w:pPr>
      <w:pBdr/>
      <w:spacing/>
      <w:ind/>
    </w:pPr>
    <w:rPr>
      <w:rFonts w:ascii="Times New Roman" w:hAnsi="Times New Roman" w:eastAsia="Times New Roman" w:cs="Times New Roman"/>
      <w:sz w:val="24"/>
      <w:szCs w:val="24"/>
    </w:rPr>
  </w:style>
  <w:style w:type="character" w:styleId="1040" w:customStyle="1">
    <w:name w:val="normal-h1"/>
    <w:pPr>
      <w:pBdr/>
      <w:spacing/>
      <w:ind/>
    </w:pPr>
    <w:rPr>
      <w:rFonts w:hint="default" w:ascii=".VnTime" w:hAnsi=".VnTime"/>
      <w:color w:val="0000ff"/>
      <w:sz w:val="24"/>
      <w:szCs w:val="24"/>
    </w:rPr>
  </w:style>
  <w:style w:type="paragraph" w:styleId="1041" w:customStyle="1">
    <w:name w:val="normal-p"/>
    <w:basedOn w:val="1020"/>
    <w:pPr>
      <w:pBdr/>
      <w:spacing/>
      <w:ind/>
      <w:jc w:val="both"/>
    </w:pPr>
    <w:rPr>
      <w:sz w:val="20"/>
      <w:szCs w:val="20"/>
    </w:rPr>
  </w:style>
  <w:style w:type="paragraph" w:styleId="1042">
    <w:name w:val="List Paragraph"/>
    <w:basedOn w:val="1020"/>
    <w:link w:val="1129"/>
    <w:uiPriority w:val="34"/>
    <w:qFormat/>
    <w:pPr>
      <w:pBdr/>
      <w:spacing/>
      <w:ind w:left="720"/>
    </w:pPr>
  </w:style>
  <w:style w:type="paragraph" w:styleId="1043">
    <w:name w:val="Normal (Web)"/>
    <w:basedOn w:val="1020"/>
    <w:uiPriority w:val="99"/>
    <w:pPr>
      <w:pBdr/>
      <w:spacing w:after="100" w:afterAutospacing="1" w:before="100" w:beforeAutospacing="1"/>
      <w:ind/>
    </w:pPr>
  </w:style>
  <w:style w:type="paragraph" w:styleId="1044">
    <w:name w:val="Body Text"/>
    <w:basedOn w:val="1020"/>
    <w:link w:val="1045"/>
    <w:pPr>
      <w:pBdr/>
      <w:spacing w:after="120"/>
      <w:ind/>
      <w:jc w:val="both"/>
    </w:pPr>
  </w:style>
  <w:style w:type="character" w:styleId="1045" w:customStyle="1">
    <w:name w:val="Body Text Char"/>
    <w:basedOn w:val="1025"/>
    <w:link w:val="1044"/>
    <w:pPr>
      <w:pBdr/>
      <w:spacing/>
      <w:ind/>
    </w:pPr>
    <w:rPr>
      <w:rFonts w:ascii="Times New Roman" w:hAnsi="Times New Roman" w:eastAsia="Times New Roman" w:cs="Times New Roman"/>
      <w:sz w:val="24"/>
      <w:szCs w:val="24"/>
    </w:rPr>
  </w:style>
  <w:style w:type="table" w:styleId="1046">
    <w:name w:val="Table Grid"/>
    <w:basedOn w:val="102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8">
    <w:name w:val="annotation reference"/>
    <w:basedOn w:val="1025"/>
    <w:uiPriority w:val="99"/>
    <w:semiHidden/>
    <w:unhideWhenUsed/>
    <w:pPr>
      <w:pBdr/>
      <w:spacing/>
      <w:ind/>
    </w:pPr>
    <w:rPr>
      <w:sz w:val="16"/>
      <w:szCs w:val="16"/>
    </w:rPr>
  </w:style>
  <w:style w:type="paragraph" w:styleId="1049">
    <w:name w:val="annotation text"/>
    <w:basedOn w:val="1020"/>
    <w:link w:val="1050"/>
    <w:uiPriority w:val="99"/>
    <w:unhideWhenUsed/>
    <w:pPr>
      <w:pBdr/>
      <w:spacing/>
      <w:ind/>
    </w:pPr>
    <w:rPr>
      <w:sz w:val="20"/>
      <w:szCs w:val="20"/>
    </w:rPr>
  </w:style>
  <w:style w:type="character" w:styleId="1050" w:customStyle="1">
    <w:name w:val="Comment Text Char"/>
    <w:basedOn w:val="1025"/>
    <w:link w:val="1049"/>
    <w:uiPriority w:val="99"/>
    <w:pPr>
      <w:pBdr/>
      <w:spacing/>
      <w:ind/>
    </w:pPr>
    <w:rPr>
      <w:rFonts w:ascii="Times New Roman" w:hAnsi="Times New Roman" w:eastAsia="Times New Roman" w:cs="Times New Roman"/>
      <w:sz w:val="20"/>
      <w:szCs w:val="20"/>
    </w:rPr>
  </w:style>
  <w:style w:type="paragraph" w:styleId="1051">
    <w:name w:val="annotation subject"/>
    <w:basedOn w:val="1049"/>
    <w:next w:val="1049"/>
    <w:link w:val="1052"/>
    <w:uiPriority w:val="99"/>
    <w:semiHidden/>
    <w:unhideWhenUsed/>
    <w:pPr>
      <w:pBdr/>
      <w:spacing/>
      <w:ind/>
    </w:pPr>
    <w:rPr>
      <w:b/>
      <w:bCs/>
    </w:rPr>
  </w:style>
  <w:style w:type="character" w:styleId="1052" w:customStyle="1">
    <w:name w:val="Comment Subject Char"/>
    <w:basedOn w:val="1050"/>
    <w:link w:val="1051"/>
    <w:uiPriority w:val="99"/>
    <w:semiHidden/>
    <w:pPr>
      <w:pBdr/>
      <w:spacing/>
      <w:ind/>
    </w:pPr>
    <w:rPr>
      <w:rFonts w:ascii="Times New Roman" w:hAnsi="Times New Roman" w:eastAsia="Times New Roman" w:cs="Times New Roman"/>
      <w:b/>
      <w:bCs/>
      <w:sz w:val="20"/>
      <w:szCs w:val="20"/>
    </w:rPr>
  </w:style>
  <w:style w:type="paragraph" w:styleId="1053" w:customStyle="1">
    <w:name w:val="font5"/>
    <w:basedOn w:val="1020"/>
    <w:pPr>
      <w:pBdr/>
      <w:spacing w:after="100" w:afterAutospacing="1" w:before="100" w:beforeAutospacing="1"/>
      <w:ind/>
    </w:pPr>
    <w:rPr>
      <w:rFonts w:ascii="Tahoma" w:hAnsi="Tahoma" w:cs="Tahoma"/>
      <w:color w:val="000000"/>
      <w:sz w:val="18"/>
      <w:szCs w:val="18"/>
    </w:rPr>
  </w:style>
  <w:style w:type="paragraph" w:styleId="1054" w:customStyle="1">
    <w:name w:val="font6"/>
    <w:basedOn w:val="1020"/>
    <w:pPr>
      <w:pBdr/>
      <w:spacing w:after="100" w:afterAutospacing="1" w:before="100" w:beforeAutospacing="1"/>
      <w:ind/>
    </w:pPr>
    <w:rPr>
      <w:rFonts w:ascii="Tahoma" w:hAnsi="Tahoma" w:cs="Tahoma"/>
      <w:b/>
      <w:bCs/>
      <w:color w:val="000000"/>
      <w:sz w:val="18"/>
      <w:szCs w:val="18"/>
    </w:rPr>
  </w:style>
  <w:style w:type="paragraph" w:styleId="1055" w:customStyle="1">
    <w:name w:val="xl233"/>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34"/>
    <w:basedOn w:val="1020"/>
    <w:pPr>
      <w:pBdr/>
      <w:spacing w:after="100" w:afterAutospacing="1" w:before="100" w:beforeAutospacing="1"/>
      <w:ind/>
      <w:jc w:val="center"/>
    </w:pPr>
  </w:style>
  <w:style w:type="paragraph" w:styleId="1057" w:customStyle="1">
    <w:name w:val="xl235"/>
    <w:basedOn w:val="1020"/>
    <w:pPr>
      <w:pBdr/>
      <w:spacing w:after="100" w:afterAutospacing="1" w:before="100" w:beforeAutospacing="1"/>
      <w:ind/>
      <w:jc w:val="center"/>
    </w:pPr>
    <w:rPr>
      <w:b/>
      <w:bCs/>
    </w:rPr>
  </w:style>
  <w:style w:type="paragraph" w:styleId="1058" w:customStyle="1">
    <w:name w:val="xl236"/>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37"/>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0" w:customStyle="1">
    <w:name w:val="xl238"/>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39"/>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2" w:customStyle="1">
    <w:name w:val="xl240"/>
    <w:basedOn w:val="1020"/>
    <w:pPr>
      <w:pBdr/>
      <w:spacing w:after="100" w:afterAutospacing="1" w:before="100" w:beforeAutospacing="1"/>
      <w:ind/>
    </w:pPr>
  </w:style>
  <w:style w:type="paragraph" w:styleId="1063" w:customStyle="1">
    <w:name w:val="xl241"/>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4" w:customStyle="1">
    <w:name w:val="xl242"/>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3"/>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44"/>
    <w:basedOn w:val="1020"/>
    <w:pPr>
      <w:pBdr/>
      <w:spacing w:after="100" w:afterAutospacing="1" w:before="100" w:beforeAutospacing="1"/>
      <w:ind/>
    </w:pPr>
    <w:rPr>
      <w:b/>
      <w:bCs/>
    </w:rPr>
  </w:style>
  <w:style w:type="paragraph" w:styleId="1067" w:customStyle="1">
    <w:name w:val="xl245"/>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6"/>
    <w:basedOn w:val="102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47"/>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0" w:customStyle="1">
    <w:name w:val="xl248"/>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49"/>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50"/>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51"/>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2"/>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3"/>
    <w:basedOn w:val="102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4"/>
    <w:basedOn w:val="102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5"/>
    <w:basedOn w:val="102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6"/>
    <w:basedOn w:val="102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7"/>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8"/>
    <w:basedOn w:val="102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9"/>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0"/>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1"/>
    <w:basedOn w:val="102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2"/>
    <w:basedOn w:val="102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3"/>
    <w:basedOn w:val="1020"/>
    <w:pPr>
      <w:pBdr/>
      <w:shd w:val="clear" w:color="000000" w:fill="ffffff"/>
      <w:spacing w:after="100" w:afterAutospacing="1" w:before="100" w:beforeAutospacing="1"/>
      <w:ind/>
    </w:pPr>
  </w:style>
  <w:style w:type="paragraph" w:styleId="1086" w:customStyle="1">
    <w:name w:val="xl264"/>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5"/>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66"/>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9" w:customStyle="1">
    <w:name w:val="xl267"/>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68"/>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69"/>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70"/>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71"/>
    <w:basedOn w:val="102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4" w:customStyle="1">
    <w:name w:val="xl272"/>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73"/>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74"/>
    <w:basedOn w:val="102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75"/>
    <w:basedOn w:val="1020"/>
    <w:pPr>
      <w:pBdr/>
      <w:spacing w:after="100" w:afterAutospacing="1" w:before="100" w:beforeAutospacing="1"/>
      <w:ind/>
    </w:pPr>
  </w:style>
  <w:style w:type="paragraph" w:styleId="1098" w:customStyle="1">
    <w:name w:val="xl276"/>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77"/>
    <w:basedOn w:val="102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0" w:customStyle="1">
    <w:name w:val="xl278"/>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79"/>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0"/>
    <w:basedOn w:val="102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3" w:customStyle="1">
    <w:name w:val="xl281"/>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4" w:customStyle="1">
    <w:name w:val="xl282"/>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3"/>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4"/>
    <w:basedOn w:val="1020"/>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5"/>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6"/>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customStyle="1">
    <w:name w:val="xl287"/>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8"/>
    <w:basedOn w:val="1020"/>
    <w:pPr>
      <w:pBdr>
        <w:top w:val="single" w:color="000000" w:sz="4" w:space="0"/>
        <w:left w:val="single" w:color="000000" w:sz="4" w:space="0"/>
        <w:right w:val="single" w:color="000000" w:sz="4" w:space="0"/>
      </w:pBdr>
      <w:spacing w:after="100" w:afterAutospacing="1" w:before="100" w:beforeAutospacing="1"/>
      <w:ind/>
    </w:pPr>
  </w:style>
  <w:style w:type="paragraph" w:styleId="1111" w:customStyle="1">
    <w:name w:val="xl289"/>
    <w:basedOn w:val="1020"/>
    <w:pPr>
      <w:pBdr>
        <w:left w:val="single" w:color="000000" w:sz="4" w:space="0"/>
        <w:right w:val="single" w:color="000000" w:sz="4" w:space="0"/>
      </w:pBdr>
      <w:spacing w:after="100" w:afterAutospacing="1" w:before="100" w:beforeAutospacing="1"/>
      <w:ind/>
    </w:pPr>
    <w:rPr>
      <w:b/>
      <w:bCs/>
    </w:rPr>
  </w:style>
  <w:style w:type="paragraph" w:styleId="1112" w:customStyle="1">
    <w:name w:val="xl290"/>
    <w:basedOn w:val="102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3" w:customStyle="1">
    <w:name w:val="xl291"/>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4" w:customStyle="1">
    <w:name w:val="xl292"/>
    <w:basedOn w:val="1020"/>
    <w:pPr>
      <w:pBdr>
        <w:top w:val="single" w:color="000000" w:sz="4" w:space="0"/>
        <w:left w:val="single" w:color="000000" w:sz="4" w:space="0"/>
        <w:right w:val="single" w:color="000000" w:sz="4" w:space="0"/>
      </w:pBdr>
      <w:spacing w:after="100" w:afterAutospacing="1" w:before="100" w:beforeAutospacing="1"/>
      <w:ind/>
    </w:pPr>
  </w:style>
  <w:style w:type="paragraph" w:styleId="1115" w:customStyle="1">
    <w:name w:val="xl293"/>
    <w:basedOn w:val="1020"/>
    <w:pPr>
      <w:pBdr>
        <w:left w:val="single" w:color="000000" w:sz="4" w:space="0"/>
        <w:bottom w:val="single" w:color="000000" w:sz="4" w:space="0"/>
        <w:right w:val="single" w:color="000000" w:sz="4" w:space="0"/>
      </w:pBdr>
      <w:spacing w:after="100" w:afterAutospacing="1" w:before="100" w:beforeAutospacing="1"/>
      <w:ind/>
    </w:pPr>
  </w:style>
  <w:style w:type="paragraph" w:styleId="1116" w:customStyle="1">
    <w:name w:val="xl294"/>
    <w:basedOn w:val="102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7">
    <w:name w:val="Title"/>
    <w:basedOn w:val="1020"/>
    <w:link w:val="1118"/>
    <w:qFormat/>
    <w:pPr>
      <w:pBdr/>
      <w:spacing/>
      <w:ind/>
      <w:jc w:val="center"/>
    </w:pPr>
    <w:rPr>
      <w:b/>
      <w:bCs/>
      <w:sz w:val="32"/>
      <w:szCs w:val="26"/>
    </w:rPr>
  </w:style>
  <w:style w:type="character" w:styleId="1118" w:customStyle="1">
    <w:name w:val="Title Char"/>
    <w:basedOn w:val="1025"/>
    <w:link w:val="1117"/>
    <w:pPr>
      <w:pBdr/>
      <w:spacing/>
      <w:ind/>
    </w:pPr>
    <w:rPr>
      <w:rFonts w:ascii="Times New Roman" w:hAnsi="Times New Roman" w:eastAsia="Times New Roman" w:cs="Times New Roman"/>
      <w:b/>
      <w:bCs/>
      <w:sz w:val="32"/>
      <w:szCs w:val="26"/>
    </w:rPr>
  </w:style>
  <w:style w:type="character" w:styleId="1119" w:customStyle="1">
    <w:name w:val="Unresolved Mention1"/>
    <w:basedOn w:val="1025"/>
    <w:uiPriority w:val="99"/>
    <w:semiHidden/>
    <w:unhideWhenUsed/>
    <w:pPr>
      <w:pBdr/>
      <w:spacing/>
      <w:ind/>
    </w:pPr>
    <w:rPr>
      <w:color w:val="605e5c"/>
      <w:shd w:val="clear" w:color="auto" w:fill="e1dfdd"/>
    </w:rPr>
  </w:style>
  <w:style w:type="character" w:styleId="1120" w:customStyle="1">
    <w:name w:val="Body text (3)_"/>
    <w:link w:val="1121"/>
    <w:pPr>
      <w:pBdr/>
      <w:spacing/>
      <w:ind/>
    </w:pPr>
    <w:rPr>
      <w:rFonts w:ascii="Times New Roman" w:hAnsi="Times New Roman" w:cs="Times New Roman"/>
      <w:i/>
      <w:iCs/>
      <w:spacing w:val="4"/>
      <w:shd w:val="clear" w:color="auto" w:fill="ffffff"/>
    </w:rPr>
  </w:style>
  <w:style w:type="paragraph" w:styleId="1121" w:customStyle="1">
    <w:name w:val="Body text (3)1"/>
    <w:basedOn w:val="1020"/>
    <w:link w:val="112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2" w:customStyle="1">
    <w:name w:val="t-j"/>
    <w:basedOn w:val="1020"/>
    <w:pPr>
      <w:pBdr/>
      <w:spacing w:after="100" w:afterAutospacing="1" w:before="100" w:beforeAutospacing="1"/>
      <w:ind/>
    </w:pPr>
  </w:style>
  <w:style w:type="character" w:styleId="1123" w:customStyle="1">
    <w:name w:val="Unresolved Mention2"/>
    <w:basedOn w:val="1025"/>
    <w:uiPriority w:val="99"/>
    <w:semiHidden/>
    <w:unhideWhenUsed/>
    <w:pPr>
      <w:pBdr/>
      <w:spacing/>
      <w:ind/>
    </w:pPr>
    <w:rPr>
      <w:color w:val="605e5c"/>
      <w:shd w:val="clear" w:color="auto" w:fill="e1dfdd"/>
    </w:rPr>
  </w:style>
  <w:style w:type="character" w:styleId="1124">
    <w:name w:val="FollowedHyperlink"/>
    <w:basedOn w:val="1025"/>
    <w:uiPriority w:val="99"/>
    <w:semiHidden/>
    <w:unhideWhenUsed/>
    <w:pPr>
      <w:pBdr/>
      <w:spacing/>
      <w:ind/>
    </w:pPr>
    <w:rPr>
      <w:color w:val="800080" w:themeColor="followedHyperlink"/>
      <w:u w:val="single"/>
    </w:rPr>
  </w:style>
  <w:style w:type="character" w:styleId="1125" w:customStyle="1">
    <w:name w:val="text"/>
    <w:basedOn w:val="1025"/>
    <w:pPr>
      <w:pBdr/>
      <w:spacing/>
      <w:ind/>
    </w:pPr>
  </w:style>
  <w:style w:type="character" w:styleId="1126" w:customStyle="1">
    <w:name w:val="card-send-time__sendtime"/>
    <w:basedOn w:val="1025"/>
    <w:pPr>
      <w:pBdr/>
      <w:spacing/>
      <w:ind/>
    </w:pPr>
  </w:style>
  <w:style w:type="character" w:styleId="1127" w:customStyle="1">
    <w:name w:val="Đề cập Chưa giải quyết1"/>
    <w:basedOn w:val="1025"/>
    <w:uiPriority w:val="99"/>
    <w:semiHidden/>
    <w:unhideWhenUsed/>
    <w:pPr>
      <w:pBdr/>
      <w:spacing/>
      <w:ind/>
    </w:pPr>
    <w:rPr>
      <w:color w:val="605e5c"/>
      <w:shd w:val="clear" w:color="auto" w:fill="e1dfdd"/>
    </w:rPr>
  </w:style>
  <w:style w:type="paragraph" w:styleId="1128" w:customStyle="1">
    <w:name w:val="nqtitle"/>
    <w:basedOn w:val="1020"/>
    <w:pPr>
      <w:pBdr/>
      <w:spacing w:after="100" w:afterAutospacing="1" w:before="100" w:beforeAutospacing="1"/>
      <w:ind/>
    </w:pPr>
    <w:rPr>
      <w:lang w:val="vi-VN" w:eastAsia="vi-VN"/>
    </w:rPr>
  </w:style>
  <w:style w:type="character" w:styleId="1129" w:customStyle="1">
    <w:name w:val="List Paragraph Char"/>
    <w:link w:val="1042"/>
    <w:uiPriority w:val="34"/>
    <w:qFormat/>
    <w:pPr>
      <w:pBdr/>
      <w:spacing/>
      <w:ind/>
    </w:pPr>
    <w:rPr>
      <w:rFonts w:ascii="Times New Roman" w:hAnsi="Times New Roman" w:eastAsia="Times New Roman" w:cs="Times New Roman"/>
      <w:sz w:val="24"/>
      <w:szCs w:val="24"/>
    </w:rPr>
  </w:style>
  <w:style w:type="character" w:styleId="1130" w:customStyle="1">
    <w:name w:val="Đề cập Chưa giải quyết2"/>
    <w:basedOn w:val="1025"/>
    <w:uiPriority w:val="99"/>
    <w:semiHidden/>
    <w:unhideWhenUsed/>
    <w:pPr>
      <w:pBdr/>
      <w:spacing/>
      <w:ind/>
    </w:pPr>
    <w:rPr>
      <w:color w:val="605e5c"/>
      <w:shd w:val="clear" w:color="auto" w:fill="e1dfdd"/>
    </w:rPr>
  </w:style>
  <w:style w:type="character" w:styleId="1131" w:customStyle="1">
    <w:name w:val="Unresolved Mention3"/>
    <w:basedOn w:val="1025"/>
    <w:uiPriority w:val="99"/>
    <w:semiHidden/>
    <w:unhideWhenUsed/>
    <w:pPr>
      <w:pBdr/>
      <w:spacing/>
      <w:ind/>
    </w:pPr>
    <w:rPr>
      <w:color w:val="605e5c"/>
      <w:shd w:val="clear" w:color="auto" w:fill="e1dfdd"/>
    </w:rPr>
  </w:style>
  <w:style w:type="character" w:styleId="1132" w:customStyle="1">
    <w:name w:val="copy"/>
    <w:basedOn w:val="1025"/>
    <w:pPr>
      <w:pBdr/>
      <w:spacing/>
      <w:ind/>
    </w:pPr>
  </w:style>
  <w:style w:type="paragraph" w:styleId="1133" w:customStyle="1">
    <w:name w:val="align-justify"/>
    <w:basedOn w:val="1020"/>
    <w:pPr>
      <w:pBdr/>
      <w:spacing w:after="100" w:afterAutospacing="1" w:before="100" w:beforeAutospacing="1"/>
      <w:ind/>
    </w:pPr>
  </w:style>
  <w:style w:type="character" w:styleId="1134" w:customStyle="1">
    <w:name w:val="btn"/>
    <w:basedOn w:val="1025"/>
    <w:pPr>
      <w:pBdr/>
      <w:spacing/>
      <w:ind/>
    </w:pPr>
  </w:style>
  <w:style w:type="character" w:styleId="1135" w:customStyle="1">
    <w:name w:val="hide_mobile"/>
    <w:basedOn w:val="1025"/>
    <w:pPr>
      <w:pBdr/>
      <w:spacing/>
      <w:ind/>
    </w:pPr>
  </w:style>
  <w:style w:type="character" w:styleId="1136">
    <w:name w:val="Emphasis"/>
    <w:basedOn w:val="1025"/>
    <w:uiPriority w:val="20"/>
    <w:qFormat/>
    <w:pPr>
      <w:pBdr/>
      <w:spacing/>
      <w:ind/>
    </w:pPr>
    <w:rPr>
      <w:i/>
      <w:iCs/>
    </w:rPr>
  </w:style>
  <w:style w:type="character" w:styleId="1137" w:customStyle="1">
    <w:name w:val="t1"/>
    <w:basedOn w:val="1025"/>
    <w:pPr>
      <w:pBdr/>
      <w:spacing/>
      <w:ind/>
    </w:pPr>
  </w:style>
  <w:style w:type="character" w:styleId="1138" w:customStyle="1">
    <w:name w:val="Unresolved Mention4"/>
    <w:basedOn w:val="1025"/>
    <w:uiPriority w:val="99"/>
    <w:semiHidden/>
    <w:unhideWhenUsed/>
    <w:pPr>
      <w:pBdr/>
      <w:spacing/>
      <w:ind/>
    </w:pPr>
    <w:rPr>
      <w:color w:val="605e5c"/>
      <w:shd w:val="clear" w:color="auto" w:fill="e1dfdd"/>
    </w:rPr>
  </w:style>
  <w:style w:type="character" w:styleId="1139">
    <w:name w:val="Unresolved Mention"/>
    <w:basedOn w:val="102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272</cp:revision>
  <dcterms:created xsi:type="dcterms:W3CDTF">2025-09-15T09:58:00Z</dcterms:created>
  <dcterms:modified xsi:type="dcterms:W3CDTF">2026-01-23T05:50:30Z</dcterms:modified>
</cp:coreProperties>
</file>