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8016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8016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275/2026/0179/VFI-CT.63.A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TNHH MTV QUẢN LÝ NỢ VÀ KHAI THÁC TÀI SẢN  NGÂN HÀNG NÔNG NGHIỆP VÀ PHÁT TRIỂN NÔNG THÔN VIỆT NAM</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và tài sản gắn liền trên đất tại thửa đất số: 205, tờ bản đồ số: 05 có địa chỉ: Thôn An Hạ, xã An Thượng, huyện Hoài Đức, Hà Nội ( nay là thôn </w:t>
                            </w:r>
                            <w:r>
                              <w:rPr>
                                <w:color w:val="000000"/>
                              </w:rPr>
                              <w:t xml:space="preserve">An Hạ, xã An Khánh, thành phố Hà Nội) theo Giấy chứng nhận quyền sử dụng đất quyền sở hữu nhà ở và tài sản khác gắn liền với đất số: BR 946303, số vào sổ cấp GCN: CH 02783 do UBND huyện Hoài Đức cấp ngày 17/12/2013, chủ sử dụng đất là Ông Hoàng Quốc Chiến.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99.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275/2026/0179/VFI-CT.63.A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TNHH MTV QUẢN LÝ NỢ VÀ KHAI THÁC TÀI SẢN  NGÂN HÀNG NÔNG NGHIỆP VÀ PHÁT TRIỂN NÔNG THÔN VIỆT NAM</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và tài sản gắn liền trên đất tại thửa đất số: 205, tờ bản đồ số: 05 có địa chỉ: Thôn An Hạ, xã An Thượng, huyện Hoài Đức, Hà Nội ( nay là thôn </w:t>
                      </w:r>
                      <w:r>
                        <w:rPr>
                          <w:color w:val="000000"/>
                        </w:rPr>
                        <w:t xml:space="preserve">An Hạ, xã An Khánh, thành phố Hà Nội) theo Giấy chứng nhận quyền sử dụng đất quyền sở hữu nhà ở và tài sản khác gắn liền với đất số: BR 946303, số vào sổ cấp GCN: CH 02783 do UBND huyện Hoài Đức cấp ngày 17/12/2013, chủ sử dụng đất là Ông Hoàng Quốc Chiến.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4-22</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w:t>
            </w:r>
            <w:r>
              <w:rPr>
                <w:b/>
                <w:bCs/>
              </w:rPr>
            </w:r>
          </w:p>
        </w:tc>
      </w:tr>
      <w:tr>
        <w:trPr/>
        <w:tc>
          <w:tcPr>
            <w:tcBorders/>
            <w:tcMar>
              <w:left w:w="108" w:type="dxa"/>
              <w:right w:w="108" w:type="dxa"/>
            </w:tcMar>
            <w:tcW w:w="7280" w:type="dxa"/>
            <w:vAlign w:val="center"/>
            <w:textDirection w:val="lrTb"/>
            <w:noWrap w:val="false"/>
          </w:tcPr>
          <w:p>
            <w:pPr>
              <w:pStyle w:val="102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24-32</w:t>
            </w:r>
            <w:r>
              <w:rPr>
                <w:b/>
                <w:bCs/>
              </w:rPr>
            </w:r>
            <w:r>
              <w:rPr>
                <w:b/>
                <w:bCs/>
              </w:rPr>
            </w:r>
          </w:p>
        </w:tc>
      </w:tr>
    </w:tbl>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5"/>
              <w:pBdr/>
              <w:spacing w:after="60"/>
              <w:ind/>
              <w:rPr>
                <w:color w:val="000000" w:themeColor="text1"/>
                <w:sz w:val="24"/>
                <w:szCs w:val="24"/>
              </w:rPr>
            </w:pPr>
            <w:r>
              <w:rPr>
                <w:rStyle w:val="1024"/>
                <w:rFonts w:ascii="Times New Roman" w:hAnsi="Times New Roman"/>
                <w:color w:val="000000" w:themeColor="text1"/>
                <w:lang w:val="pt-BR"/>
              </w:rPr>
              <w:t xml:space="preserve">Số</w:t>
            </w:r>
            <w:r>
              <w:rPr>
                <w:rStyle w:val="1024"/>
                <w:rFonts w:ascii="Times New Roman" w:hAnsi="Times New Roman"/>
                <w:color w:val="000000" w:themeColor="text1"/>
                <w:lang w:val="pt-BR"/>
              </w:rPr>
              <w:t xml:space="preserve">: </w:t>
            </w:r>
            <w:r>
              <w:rPr>
                <w:rStyle w:val="1024"/>
                <w:rFonts w:ascii="Times New Roman" w:hAnsi="Times New Roman"/>
                <w:color w:val="000000" w:themeColor="text1"/>
                <w:lang w:val="pt-BR"/>
              </w:rPr>
              <w:t xml:space="preserve">275/2026/0179/VFI-CT.63.A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5"/>
              <w:pBdr/>
              <w:spacing w:after="60"/>
              <w:ind w:right="-56"/>
              <w:jc w:val="right"/>
              <w:rPr>
                <w:color w:val="000000" w:themeColor="text1"/>
                <w:sz w:val="24"/>
                <w:szCs w:val="24"/>
                <w:lang w:val="vi-VN"/>
              </w:rPr>
            </w:pPr>
            <w:r>
              <w:rPr>
                <w:rStyle w:val="1024"/>
                <w:rFonts w:ascii="Times New Roman" w:hAnsi="Times New Roman"/>
                <w:i/>
                <w:color w:val="auto"/>
              </w:rPr>
              <w:t xml:space="preserve">TP. </w:t>
            </w:r>
            <w:r>
              <w:rPr>
                <w:rStyle w:val="1024"/>
                <w:rFonts w:ascii="Times New Roman" w:hAnsi="Times New Roman"/>
                <w:i/>
                <w:color w:val="auto"/>
              </w:rPr>
              <w:t xml:space="preserve">Hà</w:t>
            </w:r>
            <w:r>
              <w:rPr>
                <w:rStyle w:val="1024"/>
                <w:rFonts w:ascii="Times New Roman" w:hAnsi="Times New Roman"/>
                <w:i/>
                <w:color w:val="auto"/>
              </w:rPr>
              <w:t xml:space="preserve"> </w:t>
            </w:r>
            <w:r>
              <w:rPr>
                <w:rStyle w:val="1024"/>
                <w:rFonts w:ascii="Times New Roman" w:hAnsi="Times New Roman"/>
                <w:i/>
                <w:color w:val="auto"/>
              </w:rPr>
              <w:t xml:space="preserve">Nội</w:t>
            </w:r>
            <w:r>
              <w:rPr>
                <w:rStyle w:val="1024"/>
                <w:rFonts w:ascii="Times New Roman" w:hAnsi="Times New Roman"/>
                <w:i/>
                <w:color w:val="auto"/>
                <w:lang w:val="vi-VN"/>
              </w:rPr>
              <w:t xml:space="preserve">, </w:t>
            </w:r>
            <w:r>
              <w:rPr>
                <w:rStyle w:val="1024"/>
                <w:rFonts w:ascii="Times New Roman" w:hAnsi="Times New Roman"/>
                <w:i/>
                <w:color w:val="000000" w:themeColor="text1"/>
                <w:lang w:val="vi-VN"/>
              </w:rPr>
              <w:t xml:space="preserve">ngày 23 tháng 1 năm 2026</w:t>
            </w:r>
            <w:r>
              <w:rPr>
                <w:color w:val="000000" w:themeColor="text1"/>
                <w:sz w:val="24"/>
                <w:szCs w:val="24"/>
                <w:lang w:val="vi-VN"/>
              </w:rPr>
            </w:r>
            <w:r>
              <w:rPr>
                <w:color w:val="000000" w:themeColor="text1"/>
                <w:sz w:val="24"/>
                <w:szCs w:val="24"/>
                <w:lang w:val="vi-VN"/>
              </w:rPr>
            </w:r>
          </w:p>
        </w:tc>
      </w:tr>
    </w:tbl>
    <w:p>
      <w:pPr>
        <w:pStyle w:val="1025"/>
        <w:pBdr/>
        <w:spacing w:after="120" w:before="200" w:line="288" w:lineRule="auto"/>
        <w:ind/>
        <w:jc w:val="center"/>
        <w:rPr>
          <w:rStyle w:val="1024"/>
          <w:rFonts w:ascii="Times New Roman" w:hAnsi="Times New Roman"/>
          <w:b/>
          <w:bCs/>
          <w:color w:val="auto"/>
          <w:sz w:val="30"/>
          <w:szCs w:val="30"/>
          <w:lang w:val="vi-VN"/>
        </w:rPr>
      </w:pPr>
      <w:r>
        <w:rPr>
          <w:rStyle w:val="1024"/>
          <w:rFonts w:ascii="Times New Roman" w:hAnsi="Times New Roman"/>
          <w:b/>
          <w:bCs/>
          <w:color w:val="auto"/>
          <w:sz w:val="30"/>
          <w:szCs w:val="30"/>
          <w:lang w:val="vi-VN"/>
        </w:rPr>
        <w:t xml:space="preserve">CHỨNG THƯ THẨM ĐỊNH GIÁ</w:t>
      </w:r>
      <w:r>
        <w:rPr>
          <w:rStyle w:val="1024"/>
          <w:rFonts w:ascii="Times New Roman" w:hAnsi="Times New Roman"/>
          <w:b/>
          <w:bCs/>
          <w:color w:val="auto"/>
          <w:sz w:val="30"/>
          <w:szCs w:val="30"/>
          <w:lang w:val="vi-VN"/>
        </w:rPr>
      </w:r>
      <w:r>
        <w:rPr>
          <w:rStyle w:val="1024"/>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MTV QUẢN LÝ NỢ VÀ KHAI THÁC TÀI SẢN  NGÂN HÀNG NÔNG NGHIỆP VÀ PHÁT TRIỂN NÔNG THÔN VIỆT NAM</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275/2026/0179/VFI-HĐTĐ.63.A</w:t>
      </w:r>
      <w:r>
        <w:rPr>
          <w:spacing w:val="-4"/>
          <w:lang w:val="vi-VN"/>
        </w:rPr>
        <w:t xml:space="preserve"> ký ngày </w:t>
      </w:r>
      <w:r>
        <w:rPr>
          <w:color w:val="000000" w:themeColor="text1"/>
          <w:spacing w:val="-4"/>
        </w:rPr>
        <w:t xml:space="preserve">20 tháng 01 năm 2026</w:t>
      </w:r>
      <w:r>
        <w:rPr>
          <w:spacing w:val="-4"/>
          <w:lang w:val="vi-VN"/>
        </w:rPr>
        <w:t xml:space="preserve"> </w:t>
      </w:r>
      <w:r>
        <w:rPr>
          <w:spacing w:val="-4"/>
          <w:lang w:val="vi-VN"/>
        </w:rPr>
        <w:t xml:space="preserve">giữa </w:t>
      </w:r>
      <w:r>
        <w:rPr>
          <w:rFonts w:ascii="Times New Roman" w:hAnsi="Times New Roman" w:eastAsia="Times New Roman" w:cs="Times New Roman"/>
          <w:color w:val="000000"/>
          <w:spacing w:val="-2"/>
          <w:sz w:val="24"/>
        </w:rPr>
        <w:t xml:space="preserve">Công Ty TNHH MTV Quản Lý Nợ Và Khai Thác Tài Sản Ngân Hàng Nông Nghiệp Và Phát Triển Nông Thôn Việt Nam</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275/2026/0179/VFI-BC.63.A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23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r>
            <w:r>
              <w:rPr>
                <w:rFonts w:ascii="Times New Roman" w:hAnsi="Times New Roman" w:eastAsia="Times New Roman" w:cs="Times New Roman"/>
                <w:b/>
                <w:color w:val="000000"/>
                <w:sz w:val="24"/>
              </w:rPr>
              <w:t xml:space="preserve">CÔNG TY TNHH MTV QUẢN LÝ NỢ VÀ KHAI THÁC TÀI SẢN NGÂN HÀNG  NÔNG NGHIỆP VÀ PHÁT TRIỂN NÔNG THÔN VIỆT NAM</w:t>
            </w:r>
            <w:r>
              <w:rPr>
                <w:b/>
                <w:bCs/>
              </w:rPr>
            </w:r>
            <w:r/>
          </w:p>
        </w:tc>
      </w:tr>
      <w:tr>
        <w:trPr>
          <w:trHeight w:val="20"/>
        </w:trPr>
        <w:tc>
          <w:tcPr>
            <w:shd w:val="clear" w:color="ffffff" w:fill="ffffff"/>
            <w:tcBorders/>
            <w:tcW w:w="1109"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Đại diện</w:t>
            </w:r>
            <w:r/>
          </w:p>
        </w:tc>
        <w:tc>
          <w:tcPr>
            <w:shd w:val="clear" w:color="ffffff" w:fill="ffffff"/>
            <w:tcBorders/>
            <w:tcW w:w="248" w:type="pct"/>
            <w:vAlign w:val="center"/>
            <w:vMerge w:val="restart"/>
            <w:textDirection w:val="lrTb"/>
            <w:noWrap w:val="false"/>
          </w:tcPr>
          <w:p>
            <w:pPr>
              <w:pBdr/>
              <w:spacing w:after="40" w:before="40" w:line="276" w:lineRule="auto"/>
              <w:ind/>
              <w:jc w:val="center"/>
              <w:rPr>
                <w:bCs/>
                <w:color w:val="000000"/>
                <w:lang w:val="pt-BR"/>
              </w:rPr>
            </w:pPr>
            <w:r>
              <w:rPr>
                <w:bCs/>
                <w:color w:val="000000"/>
                <w:lang w:val="pt-BR"/>
              </w:rPr>
            </w:r>
            <w:r>
              <w:rPr>
                <w:bCs/>
                <w:color w:val="000000"/>
                <w:lang w:val="pt-BR"/>
              </w:rPr>
            </w:r>
            <w:r>
              <w:rPr>
                <w:bCs/>
                <w:color w:val="000000"/>
                <w:lang w:val="pt-BR"/>
              </w:rPr>
            </w:r>
          </w:p>
        </w:tc>
        <w:tc>
          <w:tcPr>
            <w:tcBorders/>
            <w:tcW w:w="3643"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color w:val="000000"/>
                <w:sz w:val="24"/>
              </w:rPr>
              <w:t xml:space="preserve">Ông Nguyễn Xuân Quang                                                       </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Chức vụ</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Chủ tịch kiêm Tổng Giám đốc</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Mã số thuế</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0106134589</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Địa chỉ</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Tầng 8, tầng 9, số nhà 135 đường Lạc Long Quân, phường Nghĩa Đô, quận Cầu Giấy, thành phố Hà Nội</w:t>
            </w: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và tài sản gắn liền trên đất tại thửa đất số: 205, tờ bản đồ số: 05 có địa chỉ: Thôn An Hạ, xã An Thượng, huyện Hoài Đức, Hà Nội ( nay là thôn </w:t>
      </w:r>
      <w:r>
        <w:rPr>
          <w:color w:val="000000" w:themeColor="text1"/>
        </w:rPr>
        <w:t xml:space="preserve">An Hạ, xã An Khánh, thành phố Hà Nội) theo Giấy chứng nhận quyền sử dụng đất quyền sở hữu nhà ở và tài sản khác gắn liền với đất số: BR 946303, số vào sổ cấp GCN: CH 02783 do UBND huyện Hoài Đức cấp ngày 17/12/2013, chủ sử dụng đất là Ông Hoàng Quốc Chiến.</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95"/>
        <w:gridCol w:w="3260"/>
        <w:gridCol w:w="1276"/>
        <w:gridCol w:w="1417"/>
        <w:gridCol w:w="1219"/>
        <w:gridCol w:w="1758"/>
      </w:tblGrid>
      <w:tr>
        <w:trPr>
          <w:trHeight w:val="20"/>
        </w:trPr>
        <w:tc>
          <w:tcPr>
            <w:shd w:val="clear" w:color="000000" w:fill="ffffff"/>
            <w:tcBorders/>
            <w:tcW w:w="59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260"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276"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417"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219" w:type="dxa"/>
            <w:vAlign w:val="center"/>
            <w:textDirection w:val="lrTb"/>
            <w:noWrap w:val="false"/>
          </w:tcPr>
          <w:p>
            <w:pPr>
              <w:pBdr/>
              <w:spacing/>
              <w:ind/>
              <w:jc w:val="center"/>
              <w:rPr>
                <w:b/>
                <w:bCs/>
              </w:rPr>
            </w:pPr>
            <w:r>
              <w:rPr>
                <w:b/>
                <w:bCs/>
              </w:rPr>
              <w:t xml:space="preserve">Hệ số/CLCL (%)</w:t>
            </w:r>
            <w:r>
              <w:rPr>
                <w:b/>
                <w:bCs/>
              </w:rPr>
            </w:r>
            <w:r>
              <w:rPr>
                <w:b/>
                <w:bCs/>
              </w:rPr>
            </w:r>
          </w:p>
        </w:tc>
        <w:tc>
          <w:tcPr>
            <w:shd w:val="clear" w:color="000000" w:fill="ffffff"/>
            <w:tcBorders/>
            <w:tcW w:w="1758"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9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5953" w:type="dxa"/>
            <w:vAlign w:val="center"/>
            <w:textDirection w:val="lrTb"/>
            <w:noWrap w:val="false"/>
          </w:tcPr>
          <w:p>
            <w:pPr>
              <w:pBdr/>
              <w:spacing w:after="40" w:before="40" w:line="288" w:lineRule="auto"/>
              <w:ind/>
              <w:jc w:val="both"/>
              <w:rPr>
                <w:b/>
                <w:bCs/>
              </w:rPr>
            </w:pPr>
            <w:r>
              <w:rPr>
                <w:color w:val="000000"/>
              </w:rPr>
              <w:t xml:space="preserve">Quyền sử dụng đất và tài sản gắn liền trên đất tại thửa đất số: 205, tờ bản đồ số: 05 có địa chỉ: Thôn An Hạ, xã An Thượng, huyện Hoài Đức, Hà Nội ( nay là thôn </w:t>
            </w:r>
            <w:r>
              <w:rPr>
                <w:color w:val="000000"/>
              </w:rPr>
              <w:t xml:space="preserve">An Hạ, xã An Khánh, thành phố Hà Nội) theo Giấy chứng nhận quyền sử dụng đất quyền sở hữu nhà ở và tài sản khác gắn liền với đất số: BR 946303, số vào sổ cấp GCN: CH 02783 do UBND huyện Hoài Đức cấp ngày 17/12/2013, chủ sử dụng đất là Ông Hoàng Quốc Chiến.</w:t>
            </w:r>
            <w:r>
              <w:rPr>
                <w:b/>
                <w:bCs/>
              </w:rPr>
              <w:t xml:space="preserve">.</w:t>
            </w:r>
            <w:r>
              <w:rPr>
                <w:b/>
                <w:bCs/>
              </w:rPr>
            </w:r>
            <w:r>
              <w:rPr>
                <w:b/>
                <w:bCs/>
              </w:rPr>
            </w:r>
          </w:p>
        </w:tc>
        <w:tc>
          <w:tcPr>
            <w:shd w:val="clear" w:color="000000" w:fill="ffffff"/>
            <w:tcBorders/>
            <w:tcW w:w="1219" w:type="dxa"/>
            <w:vAlign w:val="center"/>
            <w:textDirection w:val="lrTb"/>
            <w:noWrap w:val="false"/>
          </w:tcPr>
          <w:p>
            <w:pPr>
              <w:pBdr/>
              <w:spacing/>
              <w:ind/>
              <w:rPr>
                <w:b/>
                <w:bCs/>
              </w:rPr>
            </w:pPr>
            <w:r>
              <w:rPr>
                <w:b/>
                <w:bCs/>
              </w:rPr>
            </w:r>
            <w:r>
              <w:rPr>
                <w:b/>
                <w:bCs/>
              </w:rPr>
            </w:r>
            <w:r>
              <w:rPr>
                <w:b/>
                <w:bCs/>
              </w:rPr>
            </w:r>
          </w:p>
        </w:tc>
        <w:tc>
          <w:tcPr>
            <w:shd w:val="clear" w:color="000000" w:fill="ffffff"/>
            <w:tcBorders/>
            <w:tcW w:w="1758"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95" w:type="dxa"/>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3260" w:type="dxa"/>
            <w:vAlign w:val="center"/>
            <w:textDirection w:val="lrTb"/>
            <w:noWrap w:val="false"/>
          </w:tcPr>
          <w:p>
            <w:pPr>
              <w:pBdr/>
              <w:spacing w:after="40" w:before="40" w:line="288" w:lineRule="auto"/>
              <w:ind/>
              <w:rPr/>
            </w:pPr>
            <w:r>
              <w:rPr>
                <w:b/>
                <w:bCs/>
              </w:rPr>
              <w:t xml:space="preserve">Đất ở nông thôn</w:t>
            </w:r>
            <w:r/>
          </w:p>
        </w:tc>
        <w:tc>
          <w:tcPr>
            <w:tcBorders/>
            <w:tcW w:w="1276" w:type="dxa"/>
            <w:vAlign w:val="center"/>
            <w:textDirection w:val="lrTb"/>
            <w:noWrap/>
          </w:tcPr>
          <w:p>
            <w:pPr>
              <w:pBdr/>
              <w:spacing w:after="40" w:before="40" w:line="288" w:lineRule="auto"/>
              <w:ind/>
              <w:jc w:val="center"/>
              <w:rPr>
                <w:color w:val="000000"/>
              </w:rPr>
            </w:pPr>
            <w:r>
              <w:rPr>
                <w:color w:val="000000" w:themeColor="text1"/>
              </w:rPr>
              <w:t xml:space="preserve">90</w:t>
            </w:r>
            <w:r>
              <w:rPr>
                <w:color w:val="000000"/>
              </w:rPr>
            </w:r>
            <w:r>
              <w:rPr>
                <w:color w:val="000000"/>
              </w:rPr>
            </w:r>
          </w:p>
        </w:tc>
        <w:tc>
          <w:tcPr>
            <w:shd w:val="clear" w:color="000000" w:fill="ffffff"/>
            <w:tcBorders/>
            <w:tcW w:w="1417" w:type="dxa"/>
            <w:vAlign w:val="center"/>
            <w:textDirection w:val="lrTb"/>
            <w:noWrap w:val="false"/>
          </w:tcPr>
          <w:p>
            <w:pPr>
              <w:pBdr/>
              <w:spacing w:after="40" w:before="40" w:line="288" w:lineRule="auto"/>
              <w:ind/>
              <w:jc w:val="center"/>
              <w:rPr/>
            </w:pPr>
            <w:r>
              <w:rPr>
                <w:color w:val="000000" w:themeColor="text1"/>
              </w:rPr>
              <w:t xml:space="preserve">124.000.000</w:t>
            </w:r>
            <w:r/>
          </w:p>
        </w:tc>
        <w:tc>
          <w:tcPr>
            <w:shd w:val="clear" w:color="000000" w:fill="ffffff"/>
            <w:tcBorders/>
            <w:tcW w:w="1219" w:type="dxa"/>
            <w:vAlign w:val="center"/>
            <w:textDirection w:val="lrTb"/>
            <w:noWrap w:val="false"/>
          </w:tcPr>
          <w:p>
            <w:pPr>
              <w:pBdr/>
              <w:spacing/>
              <w:ind/>
              <w:jc w:val="center"/>
              <w:rPr>
                <w:color w:val="000000" w:themeColor="text1"/>
              </w:rPr>
            </w:pPr>
            <w:r>
              <w:rPr>
                <w:color w:val="000000" w:themeColor="text1"/>
              </w:rPr>
              <w:t xml:space="preserve">100%</w:t>
            </w:r>
            <w:r>
              <w:rPr>
                <w:color w:val="000000" w:themeColor="text1"/>
              </w:rPr>
            </w:r>
            <w:r>
              <w:rPr>
                <w:color w:val="000000" w:themeColor="text1"/>
              </w:rPr>
            </w:r>
          </w:p>
        </w:tc>
        <w:tc>
          <w:tcPr>
            <w:shd w:val="clear" w:color="000000" w:fill="ffffff"/>
            <w:tcBorders/>
            <w:tcW w:w="1758" w:type="dxa"/>
            <w:vAlign w:val="center"/>
            <w:textDirection w:val="lrTb"/>
            <w:noWrap w:val="false"/>
          </w:tcPr>
          <w:p>
            <w:pPr>
              <w:pBdr/>
              <w:spacing w:after="40" w:before="40" w:line="288" w:lineRule="auto"/>
              <w:ind/>
              <w:jc w:val="center"/>
              <w:rPr/>
            </w:pPr>
            <w:r>
              <w:rPr>
                <w:color w:val="000000" w:themeColor="text1"/>
              </w:rPr>
              <w:t xml:space="preserve">11.160.000.000</w:t>
            </w:r>
            <w:r/>
          </w:p>
        </w:tc>
      </w:tr>
      <w:tr>
        <w:trPr>
          <w:trHeight w:val="20"/>
        </w:trPr>
        <w:tc>
          <w:tcPr>
            <w:shd w:val="clear" w:color="000000" w:fill="ffffff"/>
            <w:tcBorders/>
            <w:tcW w:w="595" w:type="dxa"/>
            <w:vAlign w:val="center"/>
            <w:vMerge w:val="restart"/>
            <w:textDirection w:val="lrTb"/>
            <w:noWrap w:val="false"/>
          </w:tcPr>
          <w:p>
            <w:pPr>
              <w:pBdr/>
              <w:spacing w:after="40" w:before="40" w:line="288" w:lineRule="auto"/>
              <w:ind/>
              <w:jc w:val="center"/>
              <w:rPr>
                <w:b/>
                <w:bCs/>
              </w:rPr>
            </w:pPr>
            <w:r>
              <w:rPr>
                <w:b/>
                <w:bCs/>
              </w:rPr>
              <w:t xml:space="preserve">2</w:t>
            </w:r>
            <w:r>
              <w:rPr>
                <w:b/>
                <w:bCs/>
              </w:rPr>
            </w:r>
            <w:r>
              <w:rPr>
                <w:b/>
                <w:bCs/>
              </w:rPr>
            </w:r>
          </w:p>
        </w:tc>
        <w:tc>
          <w:tcPr>
            <w:shd w:val="clear" w:color="000000" w:fill="ffffff"/>
            <w:tcBorders/>
            <w:tcW w:w="3260" w:type="dxa"/>
            <w:vAlign w:val="center"/>
            <w:vMerge w:val="restart"/>
            <w:textDirection w:val="lrTb"/>
            <w:noWrap w:val="false"/>
          </w:tcPr>
          <w:p>
            <w:pPr>
              <w:pBdr/>
              <w:spacing w:after="40" w:before="40" w:line="288" w:lineRule="auto"/>
              <w:ind/>
              <w:rPr>
                <w:b/>
                <w:bCs/>
              </w:rPr>
            </w:pPr>
            <w:r>
              <w:rPr>
                <w:b/>
                <w:bCs/>
              </w:rPr>
              <w:t xml:space="preserve">Công trình xây dựng gắn liền với đất (Nhà 6 tầng + 1 tum)</w:t>
            </w:r>
            <w:r>
              <w:rPr>
                <w:b/>
                <w:bCs/>
              </w:rPr>
            </w:r>
            <w:r>
              <w:rPr>
                <w:b/>
                <w:bCs/>
              </w:rPr>
            </w:r>
          </w:p>
        </w:tc>
        <w:tc>
          <w:tcPr>
            <w:tcBorders/>
            <w:tcW w:w="1276" w:type="dxa"/>
            <w:vAlign w:val="center"/>
            <w:vMerge w:val="restart"/>
            <w:textDirection w:val="lrTb"/>
            <w:noWrap/>
          </w:tcPr>
          <w:p>
            <w:pPr>
              <w:pBdr/>
              <w:spacing w:after="40" w:before="40" w:line="288" w:lineRule="auto"/>
              <w:ind/>
              <w:jc w:val="center"/>
              <w:rPr>
                <w:color w:val="000000" w:themeColor="text1"/>
              </w:rPr>
            </w:pPr>
            <w:r>
              <w:rPr>
                <w:color w:val="000000" w:themeColor="text1"/>
              </w:rPr>
              <w:t xml:space="preserve">585</w:t>
            </w:r>
            <w:r>
              <w:rPr>
                <w:color w:val="000000" w:themeColor="text1"/>
              </w:rPr>
            </w:r>
            <w:r>
              <w:rPr>
                <w:color w:val="000000" w:themeColor="text1"/>
              </w:rPr>
            </w:r>
          </w:p>
        </w:tc>
        <w:tc>
          <w:tcPr>
            <w:shd w:val="clear" w:color="000000" w:fill="ffffff"/>
            <w:tcBorders/>
            <w:tcW w:w="1417"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7.137.144</w:t>
            </w:r>
            <w:r>
              <w:rPr>
                <w:color w:val="000000" w:themeColor="text1"/>
              </w:rPr>
            </w:r>
            <w:r>
              <w:rPr>
                <w:color w:val="000000" w:themeColor="text1"/>
              </w:rPr>
            </w:r>
          </w:p>
        </w:tc>
        <w:tc>
          <w:tcPr>
            <w:shd w:val="clear" w:color="000000" w:fill="ffffff"/>
            <w:tcBorders/>
            <w:tcW w:w="1219" w:type="dxa"/>
            <w:vAlign w:val="center"/>
            <w:textDirection w:val="lrTb"/>
            <w:noWrap w:val="false"/>
          </w:tcPr>
          <w:p>
            <w:pPr>
              <w:pBdr/>
              <w:spacing/>
              <w:ind/>
              <w:jc w:val="center"/>
              <w:rPr>
                <w:color w:val="000000" w:themeColor="text1"/>
              </w:rPr>
            </w:pPr>
            <w:r>
              <w:rPr>
                <w:color w:val="000000" w:themeColor="text1"/>
              </w:rPr>
              <w:t xml:space="preserve">80%</w:t>
            </w:r>
            <w:r>
              <w:rPr>
                <w:color w:val="000000" w:themeColor="text1"/>
              </w:rPr>
            </w:r>
            <w:r>
              <w:rPr>
                <w:color w:val="000000" w:themeColor="text1"/>
              </w:rPr>
            </w:r>
          </w:p>
        </w:tc>
        <w:tc>
          <w:tcPr>
            <w:shd w:val="clear" w:color="000000" w:fill="ffffff"/>
            <w:tcBorders/>
            <w:tcW w:w="1758"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3.340.183.392</w:t>
            </w:r>
            <w:r>
              <w:rPr>
                <w:color w:val="000000" w:themeColor="text1"/>
              </w:rPr>
            </w:r>
            <w:r>
              <w:rPr>
                <w:color w:val="000000" w:themeColor="text1"/>
              </w:rPr>
            </w:r>
          </w:p>
        </w:tc>
      </w:tr>
      <w:tr>
        <w:trPr>
          <w:trHeight w:val="20"/>
        </w:trPr>
        <w:tc>
          <w:tcPr>
            <w:gridSpan w:val="4"/>
            <w:tcBorders/>
            <w:tcW w:w="6548"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219" w:type="dxa"/>
            <w:vAlign w:val="center"/>
            <w:textDirection w:val="lrTb"/>
            <w:noWrap/>
          </w:tcPr>
          <w:p>
            <w:pPr>
              <w:pBdr/>
              <w:spacing/>
              <w:ind/>
              <w:rPr/>
            </w:pPr>
            <w:r/>
            <w:r/>
          </w:p>
        </w:tc>
        <w:tc>
          <w:tcPr>
            <w:tcBorders/>
            <w:tcW w:w="1758" w:type="dxa"/>
            <w:vAlign w:val="center"/>
            <w:textDirection w:val="lrTb"/>
            <w:noWrap/>
          </w:tcPr>
          <w:p>
            <w:pPr>
              <w:pBdr/>
              <w:spacing w:after="40" w:before="40" w:line="288" w:lineRule="auto"/>
              <w:ind/>
              <w:jc w:val="center"/>
              <w:rPr>
                <w:b/>
                <w:bCs/>
                <w:color w:val="000000"/>
              </w:rPr>
            </w:pPr>
            <w:r>
              <w:t xml:space="preserve">14.500.183.392</w:t>
            </w:r>
            <w:r>
              <w:rPr>
                <w:b/>
                <w:bCs/>
                <w:color w:val="000000"/>
              </w:rPr>
            </w:r>
            <w:r>
              <w:rPr>
                <w:b/>
                <w:bCs/>
                <w:color w:val="000000"/>
              </w:rPr>
            </w:r>
          </w:p>
        </w:tc>
      </w:tr>
      <w:tr>
        <w:trPr>
          <w:trHeight w:val="20"/>
        </w:trPr>
        <w:tc>
          <w:tcPr>
            <w:gridSpan w:val="4"/>
            <w:tcBorders/>
            <w:tcW w:w="6548"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219" w:type="dxa"/>
            <w:vAlign w:val="center"/>
            <w:textDirection w:val="lrTb"/>
            <w:noWrap/>
          </w:tcPr>
          <w:p>
            <w:pPr>
              <w:pBdr/>
              <w:spacing/>
              <w:ind/>
              <w:rPr>
                <w:b/>
                <w:bCs/>
                <w:color w:val="000000"/>
              </w:rPr>
            </w:pPr>
            <w:r>
              <w:rPr>
                <w:b/>
                <w:bCs/>
                <w:color w:val="000000"/>
              </w:rPr>
            </w:r>
            <w:r>
              <w:rPr>
                <w:b/>
                <w:bCs/>
                <w:color w:val="000000"/>
              </w:rPr>
            </w:r>
            <w:r>
              <w:rPr>
                <w:b/>
                <w:bCs/>
                <w:color w:val="000000"/>
              </w:rPr>
            </w:r>
          </w:p>
        </w:tc>
        <w:tc>
          <w:tcPr>
            <w:tcBorders/>
            <w:tcW w:w="1758" w:type="dxa"/>
            <w:vAlign w:val="center"/>
            <w:textDirection w:val="lrTb"/>
            <w:noWrap/>
          </w:tcPr>
          <w:p>
            <w:pPr>
              <w:pBdr/>
              <w:spacing w:after="40" w:before="40" w:line="288" w:lineRule="auto"/>
              <w:ind/>
              <w:jc w:val="center"/>
              <w:rPr>
                <w:b/>
                <w:bCs/>
                <w:color w:val="000000"/>
              </w:rPr>
            </w:pPr>
            <w:r>
              <w:rPr>
                <w:b/>
                <w:bCs/>
              </w:rPr>
              <w:t xml:space="preserve">14.500.200.000</w:t>
            </w:r>
            <w:r>
              <w:rPr>
                <w:b/>
                <w:bCs/>
                <w:color w:val="000000"/>
              </w:rPr>
            </w:r>
            <w:r>
              <w:rPr>
                <w:b/>
                <w:bCs/>
                <w:color w:val="000000"/>
              </w:rPr>
            </w:r>
          </w:p>
        </w:tc>
      </w:tr>
      <w:tr>
        <w:trPr>
          <w:trHeight w:val="20"/>
        </w:trPr>
        <w:tc>
          <w:tcPr>
            <w:tcBorders/>
            <w:tcW w:w="595" w:type="dxa"/>
            <w:vAlign w:val="center"/>
            <w:textDirection w:val="lrTb"/>
            <w:noWrap w:val="false"/>
          </w:tcPr>
          <w:p>
            <w:pPr>
              <w:pBdr/>
              <w:spacing/>
              <w:ind/>
              <w:rPr>
                <w:b/>
                <w:bCs/>
                <w:i/>
                <w:color w:val="000000"/>
              </w:rPr>
            </w:pPr>
            <w:r>
              <w:rPr>
                <w:b/>
                <w:bCs/>
                <w:i/>
                <w:iCs/>
                <w:color w:val="000000"/>
              </w:rPr>
            </w:r>
            <w:r>
              <w:rPr>
                <w:b/>
                <w:bCs/>
                <w:i/>
                <w:iCs/>
                <w:color w:val="000000"/>
              </w:rPr>
            </w:r>
            <w:r>
              <w:rPr>
                <w:b/>
                <w:bCs/>
                <w:i/>
                <w:color w:val="000000"/>
              </w:rPr>
            </w:r>
          </w:p>
        </w:tc>
        <w:tc>
          <w:tcPr>
            <w:gridSpan w:val="5"/>
            <w:tcBorders/>
            <w:tcW w:w="8930"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bốn tỷ năm trăm triệu hai trăm nghìn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lang w:val="pt-BR"/>
        </w:rPr>
      </w:r>
      <w:r>
        <w:rPr>
          <w:rFonts w:eastAsia="Calibri"/>
          <w:b/>
          <w:bCs/>
          <w:spacing w:val="-4"/>
          <w:lang w:val="pt-BR"/>
        </w:rPr>
      </w:r>
    </w:p>
    <w:p>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VIII13.721</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5"/>
              <w:pBdr/>
              <w:spacing w:after="60"/>
              <w:ind/>
              <w:rPr>
                <w:color w:val="000000" w:themeColor="text1"/>
                <w:sz w:val="24"/>
                <w:szCs w:val="24"/>
              </w:rPr>
            </w:pPr>
            <w:r>
              <w:rPr>
                <w:rStyle w:val="1024"/>
                <w:rFonts w:ascii="Times New Roman" w:hAnsi="Times New Roman"/>
                <w:color w:val="000000" w:themeColor="text1"/>
                <w:lang w:val="pt-BR"/>
              </w:rPr>
              <w:t xml:space="preserve">Số</w:t>
            </w:r>
            <w:r>
              <w:rPr>
                <w:rStyle w:val="1024"/>
                <w:rFonts w:ascii="Times New Roman" w:hAnsi="Times New Roman"/>
                <w:color w:val="000000" w:themeColor="text1"/>
                <w:lang w:val="pt-BR"/>
              </w:rPr>
              <w:t xml:space="preserve">: </w:t>
            </w:r>
            <w:r>
              <w:rPr>
                <w:rStyle w:val="1024"/>
                <w:rFonts w:ascii="Times New Roman" w:hAnsi="Times New Roman"/>
                <w:color w:val="000000" w:themeColor="text1"/>
                <w:lang w:val="pt-BR"/>
              </w:rPr>
              <w:t xml:space="preserve">275/2026/0179/VFI-CT.63.A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5"/>
              <w:pBdr/>
              <w:spacing w:after="60"/>
              <w:ind w:right="-56"/>
              <w:jc w:val="right"/>
              <w:rPr>
                <w:color w:val="000000" w:themeColor="text1"/>
                <w:sz w:val="24"/>
                <w:szCs w:val="24"/>
                <w:lang w:val="vi-VN"/>
              </w:rPr>
            </w:pPr>
            <w:r>
              <w:rPr>
                <w:rStyle w:val="1024"/>
                <w:rFonts w:ascii="Times New Roman" w:hAnsi="Times New Roman"/>
                <w:i/>
                <w:color w:val="auto"/>
              </w:rPr>
              <w:t xml:space="preserve">TP. </w:t>
            </w:r>
            <w:r>
              <w:rPr>
                <w:rStyle w:val="1024"/>
                <w:rFonts w:ascii="Times New Roman" w:hAnsi="Times New Roman"/>
                <w:i/>
                <w:color w:val="auto"/>
              </w:rPr>
              <w:t xml:space="preserve">Hà</w:t>
            </w:r>
            <w:r>
              <w:rPr>
                <w:rStyle w:val="1024"/>
                <w:rFonts w:ascii="Times New Roman" w:hAnsi="Times New Roman"/>
                <w:i/>
                <w:color w:val="auto"/>
              </w:rPr>
              <w:t xml:space="preserve"> </w:t>
            </w:r>
            <w:r>
              <w:rPr>
                <w:rStyle w:val="1024"/>
                <w:rFonts w:ascii="Times New Roman" w:hAnsi="Times New Roman"/>
                <w:i/>
                <w:color w:val="auto"/>
              </w:rPr>
              <w:t xml:space="preserve">Nội</w:t>
            </w:r>
            <w:r>
              <w:rPr>
                <w:rStyle w:val="1024"/>
                <w:rFonts w:ascii="Times New Roman" w:hAnsi="Times New Roman"/>
                <w:i/>
                <w:color w:val="auto"/>
                <w:lang w:val="vi-VN"/>
              </w:rPr>
              <w:t xml:space="preserve">, </w:t>
            </w:r>
            <w:r>
              <w:rPr>
                <w:rStyle w:val="1024"/>
                <w:rFonts w:ascii="Times New Roman" w:hAnsi="Times New Roman"/>
                <w:i/>
                <w:color w:val="000000" w:themeColor="text1"/>
                <w:lang w:val="vi-VN"/>
              </w:rPr>
              <w:t xml:space="preserve">ngày 23 tháng 1 năm 2026</w:t>
            </w:r>
            <w:r>
              <w:rPr>
                <w:color w:val="000000" w:themeColor="text1"/>
                <w:sz w:val="24"/>
                <w:szCs w:val="24"/>
                <w:lang w:val="vi-VN"/>
              </w:rPr>
            </w:r>
            <w:r>
              <w:rPr>
                <w:color w:val="000000" w:themeColor="text1"/>
                <w:sz w:val="24"/>
                <w:szCs w:val="24"/>
                <w:lang w:val="vi-VN"/>
              </w:rPr>
            </w:r>
          </w:p>
        </w:tc>
      </w:tr>
    </w:tbl>
    <w:p>
      <w:pPr>
        <w:pStyle w:val="102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275/2026/0179/VFI-CT.63.A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23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r>
            <w:r>
              <w:rPr>
                <w:rFonts w:ascii="Times New Roman" w:hAnsi="Times New Roman" w:eastAsia="Times New Roman" w:cs="Times New Roman"/>
                <w:b/>
                <w:color w:val="000000"/>
                <w:sz w:val="24"/>
              </w:rPr>
              <w:t xml:space="preserve">CÔNG TY TNHH MTV QUẢN LÝ NỢ VÀ KHAI THÁC TÀI SẢN NGÂN HÀNG  NÔNG NGHIỆP VÀ PHÁT TRIỂN NÔNG THÔN VIỆT NAM</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Đại diện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spacing w:after="40" w:before="40" w:line="276" w:lineRule="auto"/>
              <w:ind/>
              <w:jc w:val="center"/>
              <w:rPr>
                <w:bCs/>
                <w:color w:val="000000"/>
                <w:lang w:val="pt-BR"/>
              </w:rPr>
            </w:pPr>
            <w:r>
              <w:rPr>
                <w:bCs/>
                <w:color w:val="000000"/>
                <w:lang w:val="pt-BR"/>
              </w:rPr>
            </w:r>
            <w:r>
              <w:rPr>
                <w:bCs/>
                <w:color w:val="000000"/>
                <w:lang w:val="pt-BR"/>
              </w:rPr>
            </w:r>
            <w:r>
              <w:rPr>
                <w:bCs/>
                <w:color w:val="000000"/>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Ông Nguyễn Xuân Quang                                                       </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Chức vụ</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Chủ tịch kiêm Tổng Giám đốc</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Mã số thuế</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0106134589</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Địa chỉ</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Tầng 8, tầng 9, số nhà 135 đường Lạc Long Quân, phường Nghĩa Đô, quận Cầu Giấy, thành phố Hà Nội</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và tài sản gắn liền trên đất tại thửa đất số: 205, tờ bản đồ số: 05 có địa chỉ: Thôn An Hạ, xã An Thượng, huyện Hoài Đức, Hà Nội ( nay là thôn </w:t>
            </w:r>
            <w:r>
              <w:rPr>
                <w:bCs/>
                <w:color w:val="000000" w:themeColor="text1"/>
                <w:lang w:val="pt-BR"/>
              </w:rPr>
              <w:t xml:space="preserve">An Hạ, xã An Khánh, thành phố Hà Nội) theo Giấy chứng nhận quyền sử dụng đất quyền sở hữu nhà ở và tài sản khác gắn liền với đất số: BR 946303, số vào sổ cấp GCN: CH 02783 do UBND huyện Hoài Đức cấp ngày 17/12/2013, chủ sử dụng đất là Ông Hoàng Quốc Chiến.</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Thôn An Hạ, X. An Khánh,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20.990555555556, 105.70725</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6"/>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6"/>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6"/>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6"/>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6"/>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26"/>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26"/>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6"/>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6"/>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BR 946303, số vào sổ cấp GCN: CH 02783 do UBND huyện Hoài Đức cấp ngày 17/12/2013, chủ sử dụng đất là Ông Hoàng Quốc Chiến.</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275/2026/0179/VFI-HĐTĐ.63.A ngày 20/01/2026 giữa </w:t>
      </w:r>
      <w:r>
        <w:rPr>
          <w:rFonts w:ascii="Times New Roman" w:hAnsi="Times New Roman" w:eastAsia="Times New Roman" w:cs="Times New Roman"/>
          <w:color w:val="000000"/>
          <w:spacing w:val="-2"/>
          <w:sz w:val="24"/>
        </w:rPr>
        <w:t xml:space="preserve">Công Ty TNHH MTV Quản Lý Nợ Và Khai Thác Tài Sản Ngân Hàng Nông Nghiệp Và Phát Triển Nông Thôn Việt Nam </w:t>
      </w:r>
      <w:r>
        <w:rPr>
          <w:color w:val="000000" w:themeColor="text1"/>
          <w:lang w:val="pt-BR"/>
        </w:rPr>
        <w:t xml:space="preserve"> với Công ty Cổ phần Thẩm định và Đầu tư Tài chính Hoa Sen.</w:t>
      </w:r>
      <w:r>
        <w:rPr>
          <w:b/>
          <w:lang w:val="pt-BR"/>
        </w:rPr>
      </w:r>
      <w:r>
        <w:rPr>
          <w:b/>
          <w:lang w:val="pt-BR"/>
        </w:rPr>
      </w:r>
    </w:p>
    <w:p>
      <w:pPr>
        <w:pStyle w:val="1026"/>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t xml:space="preserve">Hoài Đức là huyện ngoại thành nằm cách trung tâm Hà Nội khoảng 16–20 km, có vị trí tiếp giáp với nhiều quận, huyện quan trọng như Bắc Từ Liêm, Nam Từ Liêm, Hà Đông, Đan Phượng, Quốc Oai và Phúc Thọ. Với diện tích kho</w:t>
      </w:r>
      <w:r>
        <w:rPr>
          <w:shd w:val="clear" w:color="auto" w:fill="ffffff"/>
        </w:rPr>
        <w:t xml:space="preserve">ảng 85 km² và dân số hơn 270.000 người, Hoài Đức gồm 1 thị trấn Trạm Trôi và 19 xã. Vị trí địa lý thuận lợi giúp khu vực này đóng vai trò cầu nối giữa nội đô Hà Nội và các đô thị vệ tinh phía Tây.</w:t>
        <w:br/>
        <w:br/>
        <w:t xml:space="preserve">Một trong những yếu tố quan trọng tạo nên sức hút của bất </w:t>
      </w:r>
      <w:r>
        <w:rPr>
          <w:shd w:val="clear" w:color="auto" w:fill="ffffff"/>
        </w:rPr>
        <w:t xml:space="preserve">động sản Hoài Đức là hệ thống hạ tầng giao thông đang được đầu tư đồng bộ. Nhiều tuyến đường huyết mạch chạy qua địa bàn như Đại lộ Thăng Long, Quốc lộ 32, các tỉnh lộ 422, 423 cùng các tuyến vành đai 3.5 và vành đai 4 đã và đang được triển khai. Các dự án</w:t>
      </w:r>
      <w:r>
        <w:rPr>
          <w:shd w:val="clear" w:color="auto" w:fill="ffffff"/>
        </w:rPr>
        <w:t xml:space="preserve"> này giúp rút ngắn thời gian di chuyển từ Hoài Đức vào trung tâm thành phố, đồng thời tăng khả năng kết nối liên vùng. Trong tương lai, việc quy hoạch các tuyến đường sắt đô thị cũng được kỳ vọng sẽ tiếp tục nâng cao giá trị bất động sản khu vực.</w:t>
        <w:br/>
        <w:br/>
        <w:t xml:space="preserve">Bên cạnh</w:t>
      </w:r>
      <w:r>
        <w:rPr>
          <w:shd w:val="clear" w:color="auto" w:fill="ffffff"/>
        </w:rPr>
        <w:t xml:space="preserve"> hạ tầng, sự phát triển kinh tế – xã hội của Hoài Đức cũng là nền tảng quan trọng thúc đẩy thị trường bất động sản. Huyện ghi nhận tốc độ tăng trưởng kinh tế tích cực, nhiều chỉ tiêu đạt và vượt kế hoạch. Đặc biệt, Hoài Đức đã hoàn thành phần lớn các tiêu </w:t>
      </w:r>
      <w:r>
        <w:rPr>
          <w:shd w:val="clear" w:color="auto" w:fill="ffffff"/>
        </w:rPr>
        <w:t xml:space="preserve">chí để trở thành quận, tạo ra kỳ vọng lớn về sự thay đổi diện mạo đô thị cũng như mặt bằng giá bất động sản trong tương lai.</w:t>
        <w:br/>
        <w:br/>
        <w:t xml:space="preserve">Thị trường bất động sản Hoài Đức đang thu hút sự quan tâm của nhiều nhà đầu tư lớn nhờ quỹ đất còn tương đối dồi dào và tiềm năng </w:t>
      </w:r>
      <w:r>
        <w:rPr>
          <w:shd w:val="clear" w:color="auto" w:fill="ffffff"/>
        </w:rPr>
        <w:t xml:space="preserve">tăng giá rõ rệt. Nhiều dự án khu đô thị, nhà ở quy mô lớn đã và đang được triển khai, góp phần làm sôi động thị trường. Giá đất tại các xã như Kim Chung, An Thượng, Di Trạch, La Phù, Vân Canh hay Lại Yên ghi nhận xu hướng tăng so với các năm trước, đặc biệ</w:t>
      </w:r>
      <w:r>
        <w:rPr>
          <w:shd w:val="clear" w:color="auto" w:fill="ffffff"/>
        </w:rPr>
        <w:t xml:space="preserve">t ở những khu vực gần trục giao thông lớn hoặc quy hoạch hạ tầng trọng điểm. Một số phiên đấu giá đất còn ghi nhận mức trúng cao, cho thấy sức cầu mạnh và niềm tin của nhà đầu tư vào tiềm năng khu vực.</w:t>
        <w:br/>
        <w:br/>
        <w:t xml:space="preserve">Phân khúc nhà ở tại Hoài Đức khá đa dạng, từ nhà đất </w:t>
      </w:r>
      <w:r>
        <w:rPr>
          <w:shd w:val="clear" w:color="auto" w:fill="ffffff"/>
        </w:rPr>
        <w:t xml:space="preserve">trong khu dân cư đến nhà mặt đường, đáp ứng nhiều mức tài chính khác nhau. Với khoảng 3 tỷ đồng, người mua đã có thể sở hữu nhà tại Hoài Đức – mức giá được đánh giá là hợp lý so với nhiều quận nội thành. Thị trường căn hộ tuy chưa quá phong phú nhưng vẫn c</w:t>
      </w:r>
      <w:r>
        <w:rPr>
          <w:shd w:val="clear" w:color="auto" w:fill="ffffff"/>
        </w:rPr>
        <w:t xml:space="preserve">ó một số dự án chung cư đã đi vào hoạt động, thu hút nhu cầu ở thực nhờ mức giá dễ tiếp cận.</w:t>
        <w:br/>
        <w:br/>
        <w:t xml:space="preserve">Tổng thể, bài viết cho thấy Hoài Đức đang hội tụ nhiều yếu tố thuận lợi để phát triển bất động sản trong trung và dài hạn. Vị trí đẹp, hạ tầng giao thông ngày càn</w:t>
      </w:r>
      <w:r>
        <w:rPr>
          <w:shd w:val="clear" w:color="auto" w:fill="ffffff"/>
        </w:rPr>
        <w:t xml:space="preserve">g hoàn thiện, tốc độ đô thị hóa nhanh và kỳ vọng lên quận là những động lực chính giúp Hoài Đức trở thành điểm sáng của thị trường bất động sản ngoại thành Hà Nội.</w:t>
        <w:br/>
        <w:t xml:space="preserve">(Nguồn: https://onehousing.vn/blog/bat-dong-san-huyen-hoai-duc-tiem-nang-va-vi-tri-dep-n17t)</w:t>
      </w:r>
      <w:r>
        <w:rPr>
          <w:i/>
          <w:iCs/>
          <w:lang w:val="pt-BR"/>
        </w:rPr>
      </w:r>
      <w:r>
        <w:rPr>
          <w:i/>
          <w:iCs/>
          <w:lang w:val="pt-BR"/>
        </w:rPr>
      </w:r>
    </w:p>
    <w:p>
      <w:pPr>
        <w:pStyle w:val="102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và tài sản gắn liền trên đất tại thửa đất số: 205, tờ bản đồ số: 05 có địa chỉ: Thôn An Hạ, xã An Thượng, huyện Hoài Đức, Hà Nội ( nay là thôn </w:t>
            </w:r>
            <w:r>
              <w:rPr>
                <w:b/>
                <w:bCs/>
                <w:color w:val="000000"/>
              </w:rPr>
              <w:t xml:space="preserve">An Hạ, xã An Khánh, thành phố Hà Nội) theo Giấy chứng nhận quyền sử dụng đất quyền sở hữu nhà ở và tài sản khác gắn liền với đất số: BR 946303, số vào sổ cấp GCN: CH 02783 do UBND huyện Hoài Đức cấp ngày 17/12/2013, chủ sử dụng đất là Ông Hoàng Quốc Chiến.</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205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05</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Thôn An Hạ, X. An Thượng, H. Hoài Đức, Hà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90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90 m2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Nhà nước công nhận quyền sử dụng đất như Nhà nước giao đất không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3 mặt đường, phố</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rFonts w:ascii="Times New Roman" w:hAnsi="Times New Roman" w:eastAsia="Times New Roman" w:cs="Times New Roman"/>
                <w:color w:val="000000"/>
                <w:sz w:val="24"/>
              </w:rPr>
              <w:t xml:space="preserve">Tài sản cách đường tỉnh 72 khoảng 150m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rPr>
                <w:rFonts w:ascii="Times New Roman" w:hAnsi="Times New Roman" w:eastAsia="Times New Roman" w:cs="Times New Roman"/>
                <w:color w:val="000000"/>
                <w:sz w:val="24"/>
              </w:rPr>
              <w:t xml:space="preserve">Hướng Đông: Tiếp giáp đường bê tông rộng 5m</w:t>
              <w:br/>
              <w:t xml:space="preserve">Hướng Bắc: Tiếp giáp đường bê tông rộng khoảng 2,3m Hướng Nam: Tiếp giáp đường bê tông rộng khoảng 4,5m</w:t>
              <w:br/>
              <w:t xml:space="preserve">Hướng Tây: Tiếp giáp với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jc w:val="both"/>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rFonts w:ascii="Times New Roman" w:hAnsi="Times New Roman" w:eastAsia="Times New Roman" w:cs="Times New Roman"/>
                <w:color w:val="000000"/>
                <w:sz w:val="24"/>
                <w:szCs w:val="24"/>
              </w:rPr>
              <w:t xml:space="preserve">20.989062, 105.709458</w:t>
            </w:r>
            <w:r>
              <w:rPr>
                <w:color w:val="000000"/>
              </w:rPr>
              <w:t xml:space="preserve">)</w:t>
            </w:r>
            <w:r>
              <w:rPr>
                <w:rFonts w:ascii="Arial" w:hAnsi="Arial" w:eastAsia="Arial" w:cs="Arial"/>
                <w:sz w:val="21"/>
              </w:rPr>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mc:AlternateContent>
                <mc:Choice Requires="wpg">
                  <w:drawing>
                    <wp:inline xmlns:wp="http://schemas.openxmlformats.org/drawingml/2006/wordprocessingDrawing" distT="0" distB="0" distL="0" distR="0">
                      <wp:extent cx="5401445" cy="279697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989086" name=""/>
                              <pic:cNvPicPr>
                                <a:picLocks noChangeAspect="1"/>
                              </pic:cNvPicPr>
                              <pic:nvPr/>
                            </pic:nvPicPr>
                            <pic:blipFill rotWithShape="1">
                              <a:blip r:embed="rId17"/>
                              <a:stretch/>
                            </pic:blipFill>
                            <pic:spPr bwMode="auto">
                              <a:xfrm flipH="0" flipV="0">
                                <a:off x="0" y="0"/>
                                <a:ext cx="5401445" cy="27969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5.31pt;height:220.23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90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15</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6</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w:t>
            </w:r>
            <w:r>
              <w:rPr>
                <w:rFonts w:ascii="Times New Roman" w:hAnsi="Times New Roman" w:eastAsia="Times New Roman" w:cs="Times New Roman"/>
                <w:color w:val="000000"/>
                <w:sz w:val="24"/>
              </w:rPr>
              <w:t xml:space="preserve">i điểm thẩm định giá, theo sự hướng dẫn của chủ tài sản, Tổ thẩm định xác định trên đất có công trình xây dựng là 01 Nhà 6 tầng 1 tum, kết cấu BTCT, mái tôn, xây dựng năm 2016. Công trình có diện tích xây dựng khoảng 90m²; tổng diện tích sàn khoảng 585,0m²</w:t>
            </w:r>
            <w:r>
              <w:rPr>
                <w:rFonts w:ascii="Times New Roman" w:hAnsi="Times New Roman" w:eastAsia="Times New Roman" w:cs="Times New Roman"/>
                <w:color w:val="000000"/>
                <w:sz w:val="24"/>
              </w:rPr>
              <w:t xml:space="preserve">. Hiện tại công trình chưa được chứng nhận trên GCN số BR 946303.</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0"/>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w:t>
            </w:r>
            <w:r>
              <w:rPr>
                <w:b/>
                <w:bCs/>
              </w:rPr>
              <w:t xml:space="preserve">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Thôn An Hạ, X. An Thượng, H. Hoài Đức, Hà Nội ✔</w:t>
            </w:r>
            <w:r/>
          </w:p>
        </w:tc>
        <w:tc>
          <w:tcPr>
            <w:tcBorders/>
            <w:tcW w:w="1605" w:type="dxa"/>
            <w:vAlign w:val="center"/>
            <w:textDirection w:val="lrTb"/>
            <w:noWrap w:val="false"/>
          </w:tcPr>
          <w:p>
            <w:pPr>
              <w:pBdr/>
              <w:spacing/>
              <w:ind/>
              <w:jc w:val="center"/>
              <w:rPr/>
            </w:pPr>
            <w:r>
              <w:t xml:space="preserve">Xã An Thượng, Huyện Hoài Đức, Thành phố Hà Nội</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Thôn An Hạ, xã An Khánh, Thành phố Hà Nội</w:t>
            </w:r>
            <w:r/>
          </w:p>
        </w:tc>
        <w:tc>
          <w:tcPr>
            <w:tcBorders/>
            <w:tcW w:w="1605" w:type="dxa"/>
            <w:vAlign w:val="center"/>
            <w:textDirection w:val="lrTb"/>
            <w:noWrap w:val="false"/>
          </w:tcPr>
          <w:p>
            <w:pPr>
              <w:pBdr/>
              <w:spacing/>
              <w:ind/>
              <w:jc w:val="center"/>
              <w:rPr/>
            </w:pPr>
            <w:r>
              <w:t xml:space="preserve">Thôn An Hạ, xã An Khánh, Thành phố Hà Nội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nông thôn</w:t>
            </w:r>
            <w:r/>
          </w:p>
        </w:tc>
        <w:tc>
          <w:tcPr>
            <w:tcBorders/>
            <w:tcW w:w="1605" w:type="dxa"/>
            <w:vAlign w:val="center"/>
            <w:textDirection w:val="lrTb"/>
            <w:noWrap w:val="false"/>
          </w:tcPr>
          <w:p>
            <w:pPr>
              <w:pBdr/>
              <w:spacing/>
              <w:ind/>
              <w:jc w:val="center"/>
              <w:rPr/>
            </w:pPr>
            <w:r>
              <w:t xml:space="preserve">Đất ở nông thôn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VT4</w:t>
            </w:r>
            <w:r/>
          </w:p>
        </w:tc>
        <w:tc>
          <w:tcPr>
            <w:tcBorders/>
            <w:tcW w:w="1605" w:type="dxa"/>
            <w:vAlign w:val="center"/>
            <w:textDirection w:val="lrTb"/>
            <w:noWrap w:val="false"/>
          </w:tcPr>
          <w:p>
            <w:pPr>
              <w:pBdr/>
              <w:spacing/>
              <w:ind/>
              <w:jc w:val="center"/>
              <w:rPr/>
            </w:pPr>
            <w:r>
              <w:t xml:space="preserve">VT4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bê tông</w:t>
            </w:r>
            <w:r/>
          </w:p>
        </w:tc>
        <w:tc>
          <w:tcPr>
            <w:tcBorders/>
            <w:tcW w:w="1605" w:type="dxa"/>
            <w:vAlign w:val="center"/>
            <w:textDirection w:val="lrTb"/>
            <w:noWrap w:val="false"/>
          </w:tcPr>
          <w:p>
            <w:pPr>
              <w:pBdr/>
              <w:spacing/>
              <w:ind/>
              <w:jc w:val="center"/>
              <w:rPr/>
            </w:pPr>
            <w:r>
              <w:t xml:space="preserve">Đường bê tông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5</w:t>
            </w:r>
            <w:r/>
          </w:p>
        </w:tc>
        <w:tc>
          <w:tcPr>
            <w:tcBorders/>
            <w:tcW w:w="1605" w:type="dxa"/>
            <w:vAlign w:val="center"/>
            <w:textDirection w:val="lrTb"/>
            <w:noWrap w:val="false"/>
          </w:tcPr>
          <w:p>
            <w:pPr>
              <w:pBdr/>
              <w:spacing/>
              <w:ind/>
              <w:jc w:val="center"/>
              <w:rPr/>
            </w:pPr>
            <w:r>
              <w:t xml:space="preserve">5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t xml:space="preserve">Hạ tầng khu dân cư thông thường </w:t>
            </w:r>
            <w:r/>
          </w:p>
        </w:tc>
        <w:tc>
          <w:tcPr>
            <w:tcBorders/>
            <w:tcW w:w="1605"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t xml:space="preserve">Tốt</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90</w:t>
            </w:r>
            <w:r/>
          </w:p>
        </w:tc>
        <w:tc>
          <w:tcPr>
            <w:tcBorders/>
            <w:tcW w:w="1605" w:type="dxa"/>
            <w:vAlign w:val="center"/>
            <w:textDirection w:val="lrTb"/>
            <w:noWrap w:val="false"/>
          </w:tcPr>
          <w:p>
            <w:pPr>
              <w:pBdr/>
              <w:spacing/>
              <w:ind/>
              <w:jc w:val="center"/>
              <w:rPr/>
            </w:pPr>
            <w:r>
              <w:t xml:space="preserve">90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15</w:t>
            </w:r>
            <w:r/>
          </w:p>
        </w:tc>
        <w:tc>
          <w:tcPr>
            <w:tcBorders/>
            <w:tcW w:w="1605" w:type="dxa"/>
            <w:vAlign w:val="center"/>
            <w:textDirection w:val="lrTb"/>
            <w:noWrap w:val="false"/>
          </w:tcPr>
          <w:p>
            <w:pPr>
              <w:pBdr/>
              <w:spacing/>
              <w:ind/>
              <w:jc w:val="center"/>
              <w:rPr/>
            </w:pPr>
            <w:r>
              <w:t xml:space="preserve">15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6</w:t>
            </w:r>
            <w:r/>
          </w:p>
        </w:tc>
        <w:tc>
          <w:tcPr>
            <w:tcBorders/>
            <w:tcW w:w="1605" w:type="dxa"/>
            <w:vAlign w:val="center"/>
            <w:textDirection w:val="lrTb"/>
            <w:noWrap w:val="false"/>
          </w:tcPr>
          <w:p>
            <w:pPr>
              <w:pBdr/>
              <w:spacing/>
              <w:ind/>
              <w:jc w:val="center"/>
              <w:rPr/>
            </w:pPr>
            <w:r>
              <w:t xml:space="preserve">6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3 mặt đường, phố</w:t>
            </w:r>
            <w:r/>
          </w:p>
        </w:tc>
        <w:tc>
          <w:tcPr>
            <w:tcBorders/>
            <w:tcW w:w="1605" w:type="dxa"/>
            <w:vAlign w:val="center"/>
            <w:textDirection w:val="lrTb"/>
            <w:noWrap w:val="false"/>
          </w:tcPr>
          <w:p>
            <w:pPr>
              <w:pBdr/>
              <w:spacing/>
              <w:ind/>
              <w:jc w:val="center"/>
              <w:rPr/>
            </w:pPr>
            <w:r>
              <w:t xml:space="preserve">Tiếp giáp 3 mặt đường, phố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Đông</w:t>
            </w:r>
            <w:r/>
          </w:p>
        </w:tc>
        <w:tc>
          <w:tcPr>
            <w:tcBorders/>
            <w:tcW w:w="1605" w:type="dxa"/>
            <w:vAlign w:val="center"/>
            <w:textDirection w:val="lrTb"/>
            <w:noWrap w:val="false"/>
          </w:tcPr>
          <w:p>
            <w:pPr>
              <w:pBdr/>
              <w:spacing/>
              <w:ind/>
              <w:jc w:val="center"/>
              <w:rPr/>
            </w:pPr>
            <w:r>
              <w:t xml:space="preserve">Đông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t xml:space="preserve">View khu dân cư</w:t>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t xml:space="preserve">Trung bình</w:t>
            </w:r>
            <w:r/>
          </w:p>
        </w:tc>
        <w:tc>
          <w:tcPr>
            <w:tcBorders/>
            <w:tcW w:w="1605" w:type="dxa"/>
            <w:vAlign w:val="center"/>
            <w:textDirection w:val="lrTb"/>
            <w:noWrap w:val="false"/>
          </w:tcPr>
          <w:p>
            <w:pPr>
              <w:pBdr/>
              <w:spacing/>
              <w:ind/>
              <w:jc w:val="center"/>
              <w:rPr/>
            </w:pPr>
            <w:r>
              <w:t xml:space="preserve">Trung bình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6"/>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6"/>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6"/>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6"/>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6"/>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6"/>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6"/>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26"/>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26"/>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6"/>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6"/>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r>
        <w:rPr>
          <w:lang w:val="de-DE"/>
        </w:rPr>
      </w:r>
    </w:p>
    <w:p>
      <w:pPr>
        <w:pStyle w:val="102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6"/>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6"/>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6"/>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An Khánh,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An Khánh,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An Khánh,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An Khánh, Thành phố Hà Nội</w:t>
            </w:r>
            <w:r>
              <w:rPr>
                <w:sz w:val="22"/>
                <w:szCs w:val="22"/>
              </w:rPr>
            </w: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https://guland.vn/post/ban-dat-tho-cu-an-thuong-hoai-duc-dt-134m2-truc-chinh-duong-o-to-1316869</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https://www.facebook.com/commerce/listing/1351026949638610?media_id=0&amp;ref=share_attachment</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https://www.facebook.com/commerce/listing/849415604528577?media_id=0&amp;ref=share_attachment</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0989343983</w:t>
            </w:r>
            <w:r>
              <w:rPr>
                <w:sz w:val="22"/>
                <w:szCs w:val="22"/>
              </w:rPr>
              <w:t xml:space="preserve"> </w:t>
            </w:r>
            <w:r>
              <w:rPr>
                <w:sz w:val="22"/>
                <w:szCs w:val="22"/>
              </w:rPr>
              <w:br/>
              <w:t xml:space="preserve">(</w:t>
            </w:r>
            <w:r>
              <w:rPr>
                <w:sz w:val="22"/>
                <w:szCs w:val="22"/>
              </w:rPr>
              <w:t xml:space="preserve">Nga</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0339854797</w:t>
            </w:r>
            <w:r>
              <w:rPr>
                <w:sz w:val="22"/>
                <w:szCs w:val="22"/>
              </w:rPr>
              <w:br/>
            </w:r>
            <w:r>
              <w:rPr>
                <w:sz w:val="22"/>
                <w:szCs w:val="22"/>
              </w:rPr>
              <w:t xml:space="preserve">(</w:t>
            </w:r>
            <w:r>
              <w:rPr>
                <w:sz w:val="22"/>
                <w:szCs w:val="22"/>
              </w:rPr>
              <w:t xml:space="preserve">Tùng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0963.971.291</w:t>
            </w:r>
            <w:r>
              <w:rPr>
                <w:sz w:val="22"/>
                <w:szCs w:val="22"/>
              </w:rPr>
              <w:br/>
            </w:r>
            <w:r>
              <w:rPr>
                <w:sz w:val="22"/>
                <w:szCs w:val="22"/>
              </w:rPr>
              <w:t xml:space="preserve">(</w:t>
            </w:r>
            <w:r>
              <w:rPr>
                <w:sz w:val="22"/>
                <w:szCs w:val="22"/>
              </w:rPr>
              <w:t xml:space="preserve">Tùng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An Khánh,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An Khánh,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An Khánh,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An Khánh, Thành phố Hà Nội</w:t>
            </w:r>
            <w:r>
              <w:rPr>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134.3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22.76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10.98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3 mặt đường, phố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11.415.500.000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5.100.000.000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5.880.000.000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10.273.950.000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4.590.000.000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5.292.000.000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10.273.950.000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4.590.000.000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5.292.000.000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76.500.000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102.000.000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94.500.000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6"/>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10.273.950.000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4.590.000.000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5.292.000.000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76.500.000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102.000.000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94.500.000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785"/>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102.000.000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102.000.000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102.000.000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Xã An Khánh, Thành phố Hà Nội</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Xã An Khánh, Thành phố Hà Nội</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Xã An Khánh, Thành phố Hà Nội</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Xã An Khánh, Thành phố Hà Nội</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102.000.000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102.000.000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9.450.000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80.325.000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107.100.000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103.950.000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134.3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-15.300.000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-14.175.000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84.150.000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91.800.000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89.775.000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5.355.000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4.725.000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89.505.000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96.900.000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22.76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10.98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9.450.000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97.155.000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107.100.000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103.950.000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3 mặt đường, phố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11.475.000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15.300.000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14.175.000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108.630.000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122.400.000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118.125.000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4.725.000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112.455.000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122.400.000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122.850.000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kinh doanh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kinh doanh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kinh doanh</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4.725.000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116.280.000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127.500.000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127.575.000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116.280.000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127.500.000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127.575.000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123.785.000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-6.06%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3.06%</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39.780.000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56.100.000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61.425.000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39.780.000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25.500.000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33.075.000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-6.06</w:t>
      </w:r>
      <w:r>
        <w:t xml:space="preserve">% </w:t>
      </w:r>
      <w:r>
        <w:t xml:space="preserve">đến</w:t>
      </w:r>
      <w:r>
        <w:t xml:space="preserve"> </w:t>
      </w:r>
      <w:r>
        <w:t xml:space="preserve">3.06</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116.280.000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38.767.752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127.500.000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42.495.750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127.575.000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42.520.748</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123.784.250</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124.000.000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124.000.000</w:t>
      </w:r>
      <w:r>
        <w:rPr>
          <w:b/>
          <w:bCs/>
          <w:color w:val="000000" w:themeColor="text1"/>
        </w:rPr>
        <w:t xml:space="preserve"> </w:t>
      </w:r>
      <w:r>
        <w:rPr>
          <w:b/>
          <w:bCs/>
        </w:rPr>
        <w:t xml:space="preserve">đồng</w:t>
      </w:r>
      <w:r>
        <w:rPr>
          <w:b/>
          <w:bCs/>
        </w:rPr>
        <w:t xml:space="preserve">/m².</w:t>
      </w:r>
      <w:r>
        <w:rPr>
          <w:b/>
          <w:bCs/>
        </w:rPr>
      </w:r>
      <w:r>
        <w:rPr>
          <w:b/>
          <w:bCs/>
        </w:rPr>
      </w:r>
    </w:p>
    <w:p>
      <w:pPr>
        <w:pStyle w:val="1026"/>
        <w:numPr>
          <w:ilvl w:val="0"/>
          <w:numId w:val="26"/>
        </w:numPr>
        <w:pBdr/>
        <w:spacing w:after="120" w:before="120" w:line="276" w:lineRule="auto"/>
        <w:ind w:hanging="357" w:left="357"/>
        <w:jc w:val="both"/>
        <w:rPr>
          <w:b/>
          <w:bCs/>
        </w:rPr>
      </w:pPr>
      <w:r>
        <w:rPr>
          <w:b/>
          <w:bCs/>
        </w:rPr>
        <w:t xml:space="preserve">Xác</w:t>
      </w:r>
      <w:r>
        <w:rPr>
          <w:b/>
          <w:bCs/>
        </w:rPr>
        <w:t xml:space="preserve"> </w:t>
      </w:r>
      <w:r>
        <w:rPr>
          <w:b/>
          <w:bCs/>
        </w:rPr>
        <w:t xml:space="preserve">định</w:t>
      </w:r>
      <w:r>
        <w:rPr>
          <w:b/>
          <w:bCs/>
        </w:rPr>
        <w:t xml:space="preserve"> </w:t>
      </w:r>
      <w:r>
        <w:rPr>
          <w:b/>
          <w:bCs/>
        </w:rPr>
        <w:t xml:space="preserve">giá</w:t>
      </w:r>
      <w:r>
        <w:rPr>
          <w:b/>
          <w:bCs/>
        </w:rPr>
        <w:t xml:space="preserve"> </w:t>
      </w:r>
      <w:r>
        <w:rPr>
          <w:b/>
          <w:bCs/>
        </w:rPr>
        <w:t xml:space="preserve">trị</w:t>
      </w:r>
      <w:r>
        <w:rPr>
          <w:b/>
          <w:bCs/>
        </w:rPr>
        <w:t xml:space="preserve"> </w:t>
      </w:r>
      <w:r>
        <w:rPr>
          <w:b/>
          <w:bCs/>
        </w:rPr>
        <w:t xml:space="preserve">tài</w:t>
      </w:r>
      <w:r>
        <w:rPr>
          <w:b/>
          <w:bCs/>
        </w:rPr>
        <w:t xml:space="preserve"> </w:t>
      </w:r>
      <w:r>
        <w:rPr>
          <w:b/>
          <w:bCs/>
        </w:rPr>
        <w:t xml:space="preserve">sản</w:t>
      </w:r>
      <w:r>
        <w:rPr>
          <w:b/>
          <w:bCs/>
        </w:rPr>
        <w:t xml:space="preserve"> </w:t>
      </w:r>
      <w:r>
        <w:rPr>
          <w:b/>
          <w:bCs/>
        </w:rPr>
        <w:t xml:space="preserve">gắn</w:t>
      </w:r>
      <w:r>
        <w:rPr>
          <w:b/>
          <w:bCs/>
        </w:rPr>
        <w:t xml:space="preserve"> </w:t>
      </w:r>
      <w:r>
        <w:rPr>
          <w:b/>
          <w:bCs/>
        </w:rPr>
        <w:t xml:space="preserve">liền</w:t>
      </w:r>
      <w:r>
        <w:rPr>
          <w:b/>
          <w:bCs/>
        </w:rPr>
        <w:t xml:space="preserve"> </w:t>
      </w:r>
      <w:r>
        <w:rPr>
          <w:b/>
          <w:bCs/>
        </w:rPr>
        <w:t xml:space="preserve">với</w:t>
      </w:r>
      <w:r>
        <w:rPr>
          <w:b/>
          <w:bCs/>
        </w:rPr>
        <w:t xml:space="preserve"> </w:t>
      </w:r>
      <w:r>
        <w:rPr>
          <w:b/>
          <w:bCs/>
        </w:rPr>
        <w:t xml:space="preserve">đất</w:t>
      </w:r>
      <w:r>
        <w:rPr>
          <w:b/>
          <w:bCs/>
        </w:rPr>
      </w:r>
      <w:r>
        <w:rPr>
          <w:b/>
          <w:bCs/>
        </w:rPr>
      </w:r>
    </w:p>
    <w:p>
      <w:pPr>
        <w:pStyle w:val="1026"/>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left="0"/>
        <w:jc w:val="both"/>
        <w:rPr/>
      </w:pPr>
      <w:r>
        <w:rPr>
          <w:lang w:val="pt-BR"/>
        </w:rPr>
        <w:t xml:space="preserve">  </w:t>
      </w:r>
      <w:r>
        <w:rPr>
          <w:lang w:val="pt-BR"/>
        </w:rPr>
        <w:t xml:space="preserve">Qua tham khảo thị trường về đơn giá xây dựng mới đối với công trình nhà riêng lẻ 05 tầng, cân nhắc và xem xét với mức độ hoàn thiện của công trình xây dựng hiện có, Tổ thẩm định nhận thấy đơn giá vận dụng theo Quyết định số 409/QĐ-BXD ngày 11 tháng 4 năm 2</w:t>
      </w:r>
      <w:r>
        <w:rPr>
          <w:lang w:val="pt-BR"/>
        </w:rPr>
        <w:t xml:space="preserve">025 của Bộ Xây dựng về việc công bố suất vốn đầu tư xây dựng và giá xây dựng tổng hợp bộ phận kết cấu công trình năm 2023 là khá phù hợp với thị trường, theo đó</w:t>
      </w: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highlight w:val="white"/>
        </w:rPr>
        <w:t xml:space="preserve"> </w:t>
      </w:r>
      <w:r/>
    </w:p>
    <w:p>
      <w:pPr>
        <w:pBdr>
          <w:top w:val="none" w:color="000000" w:sz="4" w:space="0"/>
          <w:left w:val="none" w:color="000000" w:sz="4" w:space="0"/>
          <w:bottom w:val="none" w:color="000000" w:sz="4" w:space="0"/>
          <w:right w:val="none" w:color="000000" w:sz="4" w:space="0"/>
        </w:pBdr>
        <w:spacing w:after="60" w:before="60"/>
        <w:ind w:right="0" w:firstLine="425" w:left="0"/>
        <w:rPr/>
      </w:pPr>
      <w:r>
        <w:rPr>
          <w:rFonts w:ascii="Times New Roman" w:hAnsi="Times New Roman" w:eastAsia="Times New Roman" w:cs="Times New Roman"/>
          <w:i/>
          <w:color w:val="000000"/>
          <w:sz w:val="24"/>
          <w:highlight w:val="white"/>
        </w:rPr>
        <w:t xml:space="preserve">“</w:t>
      </w:r>
      <w:r>
        <w:rPr>
          <w:rFonts w:ascii="Times New Roman" w:hAnsi="Times New Roman" w:eastAsia="Times New Roman" w:cs="Times New Roman"/>
          <w:i/>
          <w:color w:val="000000"/>
          <w:sz w:val="24"/>
        </w:rPr>
        <w:t xml:space="preserve">Nhà từ 4 đến 5 tầng, kết cấu khung chịu lực BTCT; tường bao xây gạch; sàn, mái BTCT đổ tại chỗ, không có tầng hầm Diện tích xây dựng từ 90 - dưới 140m² </w:t>
      </w:r>
      <w:r>
        <w:rPr>
          <w:rFonts w:ascii="Times New Roman" w:hAnsi="Times New Roman" w:eastAsia="Times New Roman" w:cs="Times New Roman"/>
          <w:i/>
          <w:color w:val="000000"/>
          <w:sz w:val="24"/>
          <w:highlight w:val="white"/>
        </w:rPr>
        <w:t xml:space="preserve">là</w:t>
      </w:r>
      <w:r>
        <w:rPr>
          <w:rFonts w:ascii="Times New Roman" w:hAnsi="Times New Roman" w:eastAsia="Times New Roman" w:cs="Times New Roman"/>
          <w:i/>
          <w:color w:val="000000"/>
          <w:sz w:val="24"/>
        </w:rPr>
        <w:t xml:space="preserve"> 7.497.000 </w:t>
      </w:r>
      <w:r>
        <w:rPr>
          <w:rFonts w:ascii="Times New Roman" w:hAnsi="Times New Roman" w:eastAsia="Times New Roman" w:cs="Times New Roman"/>
          <w:i/>
          <w:color w:val="000000"/>
          <w:sz w:val="24"/>
          <w:highlight w:val="white"/>
        </w:rPr>
        <w:t xml:space="preserve">đồng/m² sàn, hệ số vùng 7 – TP Hà Nội là 0,952, tương đương đơn giá: 7.137.114 đồng/m</w:t>
      </w:r>
      <w:r>
        <w:rPr>
          <w:rFonts w:ascii="Times New Roman" w:hAnsi="Times New Roman" w:eastAsia="Times New Roman" w:cs="Times New Roman"/>
          <w:i/>
          <w:color w:val="000000"/>
          <w:sz w:val="20"/>
          <w:highlight w:val="white"/>
          <w:vertAlign w:val="superscript"/>
        </w:rPr>
        <w:t xml:space="preserve">2</w:t>
      </w:r>
      <w:r>
        <w:rPr>
          <w:rFonts w:ascii="Times New Roman" w:hAnsi="Times New Roman" w:eastAsia="Times New Roman" w:cs="Times New Roman"/>
          <w:i/>
          <w:color w:val="000000"/>
          <w:sz w:val="24"/>
          <w:highlight w:val="white"/>
        </w:rPr>
        <w:t xml:space="preserve">”.</w:t>
      </w:r>
      <w:r/>
    </w:p>
    <w:p>
      <w:pPr>
        <w:pBdr>
          <w:top w:val="none" w:color="000000" w:sz="4" w:space="0"/>
          <w:left w:val="none" w:color="000000" w:sz="4" w:space="0"/>
          <w:bottom w:val="none" w:color="000000" w:sz="4" w:space="0"/>
          <w:right w:val="none" w:color="000000" w:sz="4" w:space="0"/>
        </w:pBdr>
        <w:spacing w:after="60" w:before="60"/>
        <w:ind w:right="0" w:firstLine="425" w:left="0"/>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Do đó, Tổ thẩm định xác định đơn giá xây mới của công trình là</w:t>
      </w:r>
      <w:r>
        <w:rPr>
          <w:rFonts w:ascii="Times New Roman" w:hAnsi="Times New Roman" w:eastAsia="Times New Roman" w:cs="Times New Roman"/>
          <w:color w:val="000000"/>
          <w:sz w:val="24"/>
          <w:highlight w:val="white"/>
        </w:rPr>
        <w:t xml:space="preserve">:</w:t>
      </w:r>
      <w:r>
        <w:rPr>
          <w:rFonts w:ascii="Times New Roman" w:hAnsi="Times New Roman" w:eastAsia="Times New Roman" w:cs="Times New Roman"/>
          <w:color w:val="000000"/>
          <w:sz w:val="24"/>
        </w:rPr>
        <w:t xml:space="preserve"> </w:t>
      </w:r>
      <w:r>
        <w:rPr>
          <w:rFonts w:ascii="Times New Roman" w:hAnsi="Times New Roman" w:eastAsia="Times New Roman" w:cs="Times New Roman"/>
          <w:b/>
          <w:color w:val="000000"/>
          <w:sz w:val="24"/>
        </w:rPr>
        <w:t xml:space="preserve">7.137.114 đ</w:t>
      </w:r>
      <w:r>
        <w:rPr>
          <w:rFonts w:ascii="Times New Roman" w:hAnsi="Times New Roman" w:eastAsia="Times New Roman" w:cs="Times New Roman"/>
          <w:b/>
          <w:color w:val="000000"/>
          <w:sz w:val="24"/>
          <w:highlight w:val="white"/>
        </w:rPr>
        <w:t xml:space="preserve">ồng/m²</w:t>
      </w:r>
      <w:r>
        <w:rPr>
          <w:rFonts w:ascii="Times New Roman" w:hAnsi="Times New Roman" w:eastAsia="Times New Roman" w:cs="Times New Roman"/>
          <w:color w:val="000000"/>
          <w:sz w:val="24"/>
          <w:highlight w:val="white"/>
        </w:rPr>
        <w:t xml:space="preserve">.</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Style w:val="1026"/>
        <w:numPr>
          <w:ilvl w:val="0"/>
          <w:numId w:val="39"/>
        </w:numPr>
        <w:pBdr>
          <w:top w:val="none" w:color="000000" w:sz="4" w:space="0"/>
          <w:left w:val="none" w:color="000000" w:sz="4" w:space="0"/>
          <w:bottom w:val="none" w:color="000000" w:sz="4" w:space="0"/>
          <w:right w:val="none" w:color="000000" w:sz="4" w:space="0"/>
        </w:pBdr>
        <w:spacing w:after="60" w:before="60"/>
        <w:ind w:right="0"/>
        <w:rPr>
          <w:rFonts w:ascii="Times New Roman" w:hAnsi="Times New Roman" w:eastAsia="Times New Roman" w:cs="Times New Roman"/>
          <w:b/>
          <w:bCs/>
          <w:sz w:val="24"/>
          <w:szCs w:val="24"/>
        </w:rPr>
      </w:pPr>
      <w:r>
        <w:rPr>
          <w:rFonts w:ascii="Times New Roman" w:hAnsi="Times New Roman" w:eastAsia="Times New Roman" w:cs="Times New Roman"/>
          <w:b/>
          <w:bCs/>
          <w:color w:val="000000"/>
          <w:sz w:val="24"/>
          <w:highlight w:val="none"/>
        </w:rPr>
        <w:t xml:space="preserve">Xác định giá trị hao mòn:</w:t>
      </w:r>
      <w:r>
        <w:rPr>
          <w:rFonts w:ascii="Times New Roman" w:hAnsi="Times New Roman" w:eastAsia="Times New Roman" w:cs="Times New Roman"/>
          <w:b/>
          <w:bCs/>
          <w:sz w:val="24"/>
          <w:szCs w:val="24"/>
        </w:rPr>
      </w:r>
      <w:r>
        <w:rPr>
          <w:rFonts w:ascii="Times New Roman" w:hAnsi="Times New Roman" w:eastAsia="Times New Roman" w:cs="Times New Roman"/>
          <w:b/>
          <w:bCs/>
          <w:sz w:val="24"/>
          <w:szCs w:val="24"/>
        </w:rPr>
      </w:r>
    </w:p>
    <w:p>
      <w:pPr>
        <w:pStyle w:val="1026"/>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left="0"/>
        <w:jc w:val="both"/>
        <w:rPr>
          <w:lang w:val="pt-BR"/>
          <w14:ligatures w14:val="none"/>
        </w:rPr>
      </w:pPr>
      <w:r>
        <w:rPr>
          <w:lang w:val="pt-BR"/>
        </w:rPr>
        <w:t xml:space="preserve">     Tỉ lệ hao mòn được tính toán theo phương pháp tuổi đời:</w:t>
      </w:r>
      <w:r>
        <w:rPr>
          <w:lang w:val="pt-BR"/>
          <w14:ligatures w14:val="none"/>
        </w:rPr>
      </w:r>
      <w:r>
        <w:rPr>
          <w:lang w:val="pt-BR"/>
          <w14:ligatures w14:val="none"/>
        </w:rPr>
      </w:r>
    </w:p>
    <w:p>
      <w:pPr>
        <w:pStyle w:val="1026"/>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left="0"/>
        <w:jc w:val="both"/>
        <w:rPr>
          <w:lang w:val="pt-BR"/>
          <w14:ligatures w14:val="none"/>
        </w:rPr>
      </w:pPr>
      <w:r>
        <w:rPr>
          <w:lang w:val="pt-BR"/>
        </w:rPr>
        <w:t xml:space="preserve">     Công thức: Tỉ lệ hao mòn = Tuổi đời hiệu quả/Tuổi đời kinh tế</w:t>
      </w:r>
      <w:r>
        <w:rPr>
          <w:lang w:val="pt-BR"/>
          <w14:ligatures w14:val="none"/>
        </w:rPr>
      </w:r>
      <w:r>
        <w:rPr>
          <w:lang w:val="pt-BR"/>
          <w14:ligatures w14:val="none"/>
        </w:rPr>
      </w:r>
    </w:p>
    <w:p>
      <w:pPr>
        <w:pStyle w:val="1026"/>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left="0"/>
        <w:jc w:val="both"/>
        <w:rPr>
          <w:lang w:val="pt-BR"/>
          <w14:ligatures w14:val="none"/>
        </w:rPr>
      </w:pPr>
      <w:r>
        <w:rPr>
          <w:lang w:val="pt-BR"/>
        </w:rPr>
        <w:t xml:space="preserve">      </w:t>
      </w:r>
      <w:r>
        <w:rPr>
          <w:lang w:val="pt-BR"/>
        </w:rPr>
        <w:t xml:space="preserve">Tổ thẩm định giả định rằng công trình xây dựng trong khoảng thời gian trích khấu hao được duy tu, sửa chữa định kỳ và đúng quy trình nên tuổi đời hiệu quả bằng tuổi đời thực tế. Theo thông tin khách hàng cung cấp, công trình xây dựng được hoàn thành năm 20</w:t>
      </w:r>
      <w:r>
        <w:rPr>
          <w:lang w:val="pt-BR"/>
        </w:rPr>
        <w:t xml:space="preserve">16, do đó, Tổ thẩm định ước tính tuổi đời hiệu quả của công trình là khoảng 10 năm.</w:t>
      </w:r>
      <w:r>
        <w:rPr>
          <w:lang w:val="pt-BR"/>
          <w14:ligatures w14:val="none"/>
        </w:rPr>
      </w:r>
      <w:r>
        <w:rPr>
          <w:lang w:val="pt-BR"/>
          <w14:ligatures w14:val="none"/>
        </w:rPr>
      </w:r>
    </w:p>
    <w:p>
      <w:pPr>
        <w:pStyle w:val="1026"/>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left="0"/>
        <w:jc w:val="both"/>
        <w:rPr>
          <w:lang w:val="pt-BR"/>
          <w14:ligatures w14:val="none"/>
        </w:rPr>
      </w:pPr>
      <w:r>
        <w:rPr>
          <w:lang w:val="pt-BR"/>
        </w:rPr>
        <w:t xml:space="preserve">Vận dụng khung thời gian trích khấu hao TSCĐ tại Thông tư 45/2013/TT-BTC ngày 25/4/2013 của Bộ Tài chính về việc hướng dẫn chế độ quản lý, sử dụng và trích khấu hao tài sản cố định, kết hợp với khảo sát thông tin thị trường và quan sát hiện trạng thực tế c</w:t>
      </w:r>
      <w:r>
        <w:rPr>
          <w:lang w:val="pt-BR"/>
        </w:rPr>
        <w:t xml:space="preserve">ông trình, Tổ thẩm định xác định tuổi đời kinh tế của tài sản thẩm định là 50 năm. </w:t>
      </w:r>
      <w:r>
        <w:rPr>
          <w:lang w:val="pt-BR"/>
          <w14:ligatures w14:val="none"/>
        </w:rPr>
      </w:r>
      <w:r>
        <w:rPr>
          <w:lang w:val="pt-BR"/>
          <w14:ligatures w14:val="none"/>
        </w:rPr>
      </w:r>
    </w:p>
    <w:tbl>
      <w:tblPr>
        <w:tblStyle w:val="1030"/>
        <w:tblInd w:w="108" w:type="dxa"/>
        <w:tblW w:w="49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2168"/>
        <w:gridCol w:w="1600"/>
        <w:gridCol w:w="1307"/>
        <w:gridCol w:w="1307"/>
        <w:gridCol w:w="1307"/>
        <w:gridCol w:w="1664"/>
      </w:tblGrid>
      <w:tr>
        <w:trPr>
          <w:trHeight w:val="18"/>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Tên 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Thời điểm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Tuổi đời kinh tế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Tuổi đời hiệu quả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Tỉ lệ hao mòn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Giá trị hao mòn (đồng)</w:t>
            </w:r>
            <w:r/>
          </w:p>
        </w:tc>
      </w:tr>
      <w:tr>
        <w:trPr>
          <w:trHeight w:val="1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both"/>
              <w:rPr/>
            </w:pPr>
            <w:r>
              <w:rPr>
                <w:rFonts w:ascii="Times New Roman" w:hAnsi="Times New Roman" w:eastAsia="Times New Roman" w:cs="Times New Roman"/>
                <w:color w:val="000000"/>
                <w:sz w:val="24"/>
              </w:rPr>
              <w:t xml:space="preserve">Nhà 05 tầng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color w:val="000000"/>
                <w:sz w:val="24"/>
              </w:rPr>
              <w:t xml:space="preserve">2026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color w:val="000000"/>
                <w:sz w:val="24"/>
              </w:rPr>
              <w:t xml:space="preserve">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color w:val="000000"/>
                <w:sz w:val="24"/>
              </w:rPr>
              <w:t xml:space="preserve">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color w:val="000000"/>
                <w:sz w:val="24"/>
              </w:rPr>
              <w:t xml:space="preserve">0</w:t>
            </w:r>
            <w:r/>
          </w:p>
        </w:tc>
      </w:tr>
    </w:tbl>
    <w:p>
      <w:pPr>
        <w:pBdr>
          <w:top w:val="none" w:color="000000" w:sz="4" w:space="0"/>
          <w:left w:val="none" w:color="000000" w:sz="4" w:space="0"/>
          <w:bottom w:val="none" w:color="000000" w:sz="4" w:space="0"/>
          <w:right w:val="none" w:color="000000" w:sz="4" w:space="0"/>
        </w:pBdr>
        <w:spacing w:after="60" w:before="60"/>
        <w:ind w:right="0" w:firstLine="0" w:left="0"/>
        <w:jc w:val="both"/>
        <w:rPr>
          <w:b/>
          <w:bCs/>
          <w:highlight w:val="none"/>
          <w:lang w:val="pt-BR"/>
        </w:rPr>
      </w:pPr>
      <w:r>
        <w:rPr>
          <w:rFonts w:ascii="Times New Roman" w:hAnsi="Times New Roman" w:eastAsia="Times New Roman" w:cs="Times New Roman"/>
          <w:color w:val="000000"/>
          <w:sz w:val="24"/>
        </w:rPr>
        <w:t xml:space="preserve">      Tổ thẩm định xác định tỉ lệ hao mòn của tài sản thẩm định là: </w:t>
      </w:r>
      <w:r>
        <w:rPr>
          <w:rFonts w:ascii="Times New Roman" w:hAnsi="Times New Roman" w:eastAsia="Times New Roman" w:cs="Times New Roman"/>
          <w:color w:val="000000"/>
          <w:sz w:val="24"/>
        </w:rPr>
        <w:t xml:space="preserve">2%, theo đó tỷ lệ chất lượng còn lại của tài sản là: </w:t>
      </w:r>
      <w:r>
        <w:rPr>
          <w:rFonts w:ascii="Times New Roman" w:hAnsi="Times New Roman" w:eastAsia="Times New Roman" w:cs="Times New Roman"/>
          <w:b/>
          <w:color w:val="000000"/>
          <w:sz w:val="24"/>
        </w:rPr>
        <w:t xml:space="preserve">80%</w:t>
      </w:r>
      <w:r>
        <w:rPr>
          <w:rFonts w:ascii="Times New Roman" w:hAnsi="Times New Roman" w:eastAsia="Times New Roman" w:cs="Times New Roman"/>
          <w:color w:val="000000"/>
          <w:sz w:val="24"/>
        </w:rPr>
        <w:t xml:space="preserve">.</w:t>
      </w:r>
      <w:r>
        <w:rPr>
          <w:b/>
          <w:bCs/>
          <w:highlight w:val="none"/>
          <w:lang w:val="pt-BR"/>
        </w:rPr>
      </w:r>
      <w:r>
        <w:rPr>
          <w:b/>
          <w:bCs/>
          <w:highlight w:val="none"/>
          <w:lang w:val="pt-BR"/>
        </w:rPr>
      </w:r>
    </w:p>
    <w:p>
      <w:pPr>
        <w:pStyle w:val="1026"/>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6"/>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595"/>
        <w:gridCol w:w="204"/>
        <w:gridCol w:w="2347"/>
        <w:gridCol w:w="1276"/>
        <w:gridCol w:w="2126"/>
        <w:gridCol w:w="1218"/>
        <w:gridCol w:w="1759"/>
      </w:tblGrid>
      <w:tr>
        <w:trPr>
          <w:trHeight w:val="20"/>
        </w:trPr>
        <w:tc>
          <w:tcPr>
            <w:gridSpan w:val="2"/>
            <w:shd w:val="clear" w:color="000000" w:fill="ffffff"/>
            <w:tcBorders/>
            <w:tcW w:w="799"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347"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276"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126"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218" w:type="dxa"/>
            <w:vAlign w:val="center"/>
            <w:textDirection w:val="lrTb"/>
            <w:noWrap w:val="false"/>
          </w:tcPr>
          <w:p>
            <w:pPr>
              <w:pBdr/>
              <w:spacing/>
              <w:ind/>
              <w:jc w:val="center"/>
              <w:rPr>
                <w:b/>
                <w:bCs/>
              </w:rPr>
            </w:pPr>
            <w:r>
              <w:rPr>
                <w:b/>
                <w:bCs/>
              </w:rPr>
              <w:t xml:space="preserve">Hệ số/CLCL (%)</w:t>
            </w:r>
            <w:r>
              <w:rPr>
                <w:b/>
                <w:bCs/>
              </w:rPr>
            </w:r>
            <w:r>
              <w:rPr>
                <w:b/>
                <w:bCs/>
              </w:rPr>
            </w:r>
          </w:p>
        </w:tc>
        <w:tc>
          <w:tcPr>
            <w:shd w:val="clear" w:color="000000" w:fill="ffffff"/>
            <w:tcBorders/>
            <w:tcW w:w="1759"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gridSpan w:val="2"/>
            <w:shd w:val="clear" w:color="000000" w:fill="ffffff"/>
            <w:tcBorders/>
            <w:tcW w:w="799"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5749" w:type="dxa"/>
            <w:vAlign w:val="center"/>
            <w:textDirection w:val="lrTb"/>
            <w:noWrap w:val="false"/>
          </w:tcPr>
          <w:p>
            <w:pPr>
              <w:pBdr/>
              <w:spacing w:after="40" w:before="40" w:line="288" w:lineRule="auto"/>
              <w:ind/>
              <w:jc w:val="both"/>
              <w:rPr>
                <w:b/>
                <w:bCs/>
              </w:rPr>
            </w:pPr>
            <w:r>
              <w:rPr>
                <w:color w:val="000000"/>
              </w:rPr>
              <w:t xml:space="preserve">Quyền sử dụng đất và tài sản gắn liền trên đất tại thửa đất số: 205, tờ bản đồ số: 05 có địa chỉ: Thôn An Hạ, xã An Thượng, huyện Hoài Đức, Hà Nội ( nay là thôn </w:t>
            </w:r>
            <w:r>
              <w:rPr>
                <w:color w:val="000000"/>
              </w:rPr>
              <w:t xml:space="preserve">An Hạ, xã An Khánh, thành phố Hà Nội) theo Giấy chứng nhận quyền sử dụng đất quyền sở hữu nhà ở và tài sản khác gắn liền với đất số: BR 946303, số vào sổ cấp GCN: CH 02783 do UBND huyện Hoài Đức cấp ngày 17/12/2013, chủ sử dụng đất là Ông Hoàng Quốc Chiến.</w:t>
            </w:r>
            <w:r>
              <w:rPr>
                <w:b/>
                <w:bCs/>
              </w:rPr>
              <w:t xml:space="preserve">.</w:t>
            </w:r>
            <w:r>
              <w:rPr>
                <w:b/>
                <w:bCs/>
              </w:rPr>
            </w:r>
            <w:r>
              <w:rPr>
                <w:b/>
                <w:bCs/>
              </w:rPr>
            </w:r>
          </w:p>
        </w:tc>
        <w:tc>
          <w:tcPr>
            <w:shd w:val="clear" w:color="000000" w:fill="ffffff"/>
            <w:tcBorders/>
            <w:tcW w:w="1218" w:type="dxa"/>
            <w:vAlign w:val="center"/>
            <w:textDirection w:val="lrTb"/>
            <w:noWrap w:val="false"/>
          </w:tcPr>
          <w:p>
            <w:pPr>
              <w:pBdr/>
              <w:spacing/>
              <w:ind/>
              <w:rPr>
                <w:b/>
                <w:bCs/>
              </w:rPr>
            </w:pPr>
            <w:r>
              <w:rPr>
                <w:b/>
                <w:bCs/>
              </w:rPr>
            </w:r>
            <w:r>
              <w:rPr>
                <w:b/>
                <w:bCs/>
              </w:rPr>
            </w:r>
            <w:r>
              <w:rPr>
                <w:b/>
                <w:bCs/>
              </w:rPr>
            </w:r>
          </w:p>
        </w:tc>
        <w:tc>
          <w:tcPr>
            <w:shd w:val="clear" w:color="000000" w:fill="ffffff"/>
            <w:tcBorders/>
            <w:tcW w:w="175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gridSpan w:val="2"/>
            <w:shd w:val="clear" w:color="000000" w:fill="ffffff"/>
            <w:tcBorders/>
            <w:tcW w:w="799" w:type="dxa"/>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2347" w:type="dxa"/>
            <w:vAlign w:val="center"/>
            <w:textDirection w:val="lrTb"/>
            <w:noWrap w:val="false"/>
          </w:tcPr>
          <w:p>
            <w:pPr>
              <w:pBdr/>
              <w:spacing w:after="40" w:before="40" w:line="288" w:lineRule="auto"/>
              <w:ind/>
              <w:rPr/>
            </w:pPr>
            <w:r>
              <w:rPr>
                <w:b/>
                <w:bCs/>
              </w:rPr>
              <w:t xml:space="preserve">Đất ở nông thôn</w:t>
            </w:r>
            <w:r/>
          </w:p>
        </w:tc>
        <w:tc>
          <w:tcPr>
            <w:tcBorders/>
            <w:tcW w:w="1276" w:type="dxa"/>
            <w:vAlign w:val="center"/>
            <w:textDirection w:val="lrTb"/>
            <w:noWrap/>
          </w:tcPr>
          <w:p>
            <w:pPr>
              <w:pBdr/>
              <w:spacing w:after="40" w:before="40" w:line="288" w:lineRule="auto"/>
              <w:ind/>
              <w:jc w:val="center"/>
              <w:rPr>
                <w:color w:val="000000"/>
              </w:rPr>
            </w:pPr>
            <w:r>
              <w:rPr>
                <w:color w:val="000000" w:themeColor="text1"/>
              </w:rPr>
              <w:t xml:space="preserve">90</w:t>
            </w:r>
            <w:r>
              <w:rPr>
                <w:color w:val="000000"/>
              </w:rPr>
            </w:r>
            <w:r>
              <w:rPr>
                <w:color w:val="000000"/>
              </w:rPr>
            </w:r>
          </w:p>
        </w:tc>
        <w:tc>
          <w:tcPr>
            <w:shd w:val="clear" w:color="000000" w:fill="ffffff"/>
            <w:tcBorders/>
            <w:tcW w:w="2126" w:type="dxa"/>
            <w:vAlign w:val="center"/>
            <w:textDirection w:val="lrTb"/>
            <w:noWrap w:val="false"/>
          </w:tcPr>
          <w:p>
            <w:pPr>
              <w:pBdr/>
              <w:spacing w:after="40" w:before="40" w:line="288" w:lineRule="auto"/>
              <w:ind/>
              <w:jc w:val="center"/>
              <w:rPr/>
            </w:pPr>
            <w:r>
              <w:rPr>
                <w:color w:val="000000" w:themeColor="text1"/>
              </w:rPr>
              <w:t xml:space="preserve">124.000.000</w:t>
            </w:r>
            <w:r/>
          </w:p>
        </w:tc>
        <w:tc>
          <w:tcPr>
            <w:shd w:val="clear" w:color="000000" w:fill="ffffff"/>
            <w:tcBorders/>
            <w:tcW w:w="1218" w:type="dxa"/>
            <w:vAlign w:val="center"/>
            <w:textDirection w:val="lrTb"/>
            <w:noWrap w:val="false"/>
          </w:tcPr>
          <w:p>
            <w:pPr>
              <w:pBdr/>
              <w:spacing/>
              <w:ind/>
              <w:jc w:val="center"/>
              <w:rPr>
                <w:color w:val="000000" w:themeColor="text1"/>
              </w:rPr>
            </w:pPr>
            <w:r>
              <w:rPr>
                <w:color w:val="000000" w:themeColor="text1"/>
              </w:rPr>
              <w:t xml:space="preserve">100%</w:t>
            </w:r>
            <w:r>
              <w:rPr>
                <w:color w:val="000000" w:themeColor="text1"/>
              </w:rPr>
            </w:r>
            <w:r>
              <w:rPr>
                <w:color w:val="000000" w:themeColor="text1"/>
              </w:rPr>
            </w:r>
          </w:p>
        </w:tc>
        <w:tc>
          <w:tcPr>
            <w:shd w:val="clear" w:color="000000" w:fill="ffffff"/>
            <w:tcBorders/>
            <w:tcW w:w="1759" w:type="dxa"/>
            <w:vAlign w:val="center"/>
            <w:textDirection w:val="lrTb"/>
            <w:noWrap w:val="false"/>
          </w:tcPr>
          <w:p>
            <w:pPr>
              <w:pBdr/>
              <w:spacing w:after="40" w:before="40" w:line="288" w:lineRule="auto"/>
              <w:ind/>
              <w:jc w:val="center"/>
              <w:rPr/>
            </w:pPr>
            <w:r>
              <w:rPr>
                <w:color w:val="000000" w:themeColor="text1"/>
              </w:rPr>
              <w:t xml:space="preserve">11.160.000.000</w:t>
            </w:r>
            <w:r/>
          </w:p>
        </w:tc>
      </w:tr>
      <w:tr>
        <w:trPr>
          <w:trHeight w:val="20"/>
        </w:trPr>
        <w:tc>
          <w:tcPr>
            <w:gridSpan w:val="2"/>
            <w:shd w:val="clear" w:color="000000" w:fill="ffffff"/>
            <w:tcBorders/>
            <w:tcW w:w="799" w:type="dxa"/>
            <w:vAlign w:val="center"/>
            <w:vMerge w:val="restart"/>
            <w:textDirection w:val="lrTb"/>
            <w:noWrap w:val="false"/>
          </w:tcPr>
          <w:p>
            <w:pPr>
              <w:pBdr/>
              <w:spacing w:after="40" w:before="40" w:line="288" w:lineRule="auto"/>
              <w:ind/>
              <w:jc w:val="center"/>
              <w:rPr>
                <w:b/>
                <w:bCs/>
              </w:rPr>
            </w:pPr>
            <w:r>
              <w:rPr>
                <w:b/>
                <w:bCs/>
              </w:rPr>
              <w:t xml:space="preserve">2</w:t>
            </w:r>
            <w:r>
              <w:rPr>
                <w:b/>
                <w:bCs/>
              </w:rPr>
            </w:r>
            <w:r>
              <w:rPr>
                <w:b/>
                <w:bCs/>
              </w:rPr>
            </w:r>
          </w:p>
        </w:tc>
        <w:tc>
          <w:tcPr>
            <w:shd w:val="clear" w:color="000000" w:fill="ffffff"/>
            <w:tcBorders/>
            <w:tcW w:w="2347" w:type="dxa"/>
            <w:vAlign w:val="center"/>
            <w:vMerge w:val="restart"/>
            <w:textDirection w:val="lrTb"/>
            <w:noWrap w:val="false"/>
          </w:tcPr>
          <w:p>
            <w:pPr>
              <w:pBdr/>
              <w:spacing w:after="40" w:before="40" w:line="288" w:lineRule="auto"/>
              <w:ind/>
              <w:rPr>
                <w:b/>
                <w:bCs/>
              </w:rPr>
            </w:pPr>
            <w:r>
              <w:rPr>
                <w:b/>
                <w:bCs/>
              </w:rPr>
              <w:t xml:space="preserve">Công trình xây dựng gắn liền với đất (Nhà 6 tầng + 1 tum)</w:t>
            </w:r>
            <w:r>
              <w:rPr>
                <w:b/>
                <w:bCs/>
              </w:rPr>
            </w:r>
            <w:r>
              <w:rPr>
                <w:b/>
                <w:bCs/>
              </w:rPr>
            </w:r>
          </w:p>
        </w:tc>
        <w:tc>
          <w:tcPr>
            <w:tcBorders/>
            <w:tcW w:w="1276" w:type="dxa"/>
            <w:vAlign w:val="center"/>
            <w:vMerge w:val="restart"/>
            <w:textDirection w:val="lrTb"/>
            <w:noWrap/>
          </w:tcPr>
          <w:p>
            <w:pPr>
              <w:pBdr/>
              <w:spacing w:after="40" w:before="40" w:line="288" w:lineRule="auto"/>
              <w:ind/>
              <w:jc w:val="center"/>
              <w:rPr>
                <w:color w:val="000000" w:themeColor="text1"/>
              </w:rPr>
            </w:pPr>
            <w:r>
              <w:rPr>
                <w:color w:val="000000" w:themeColor="text1"/>
              </w:rPr>
              <w:t xml:space="preserve">585</w:t>
            </w:r>
            <w:r>
              <w:rPr>
                <w:color w:val="000000" w:themeColor="text1"/>
              </w:rPr>
            </w:r>
            <w:r>
              <w:rPr>
                <w:color w:val="000000" w:themeColor="text1"/>
              </w:rPr>
            </w:r>
          </w:p>
        </w:tc>
        <w:tc>
          <w:tcPr>
            <w:shd w:val="clear" w:color="000000" w:fill="ffffff"/>
            <w:tcBorders/>
            <w:tcW w:w="2126"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7.137.144</w:t>
            </w:r>
            <w:r>
              <w:rPr>
                <w:color w:val="000000" w:themeColor="text1"/>
              </w:rPr>
            </w:r>
            <w:r>
              <w:rPr>
                <w:color w:val="000000" w:themeColor="text1"/>
              </w:rPr>
            </w:r>
          </w:p>
        </w:tc>
        <w:tc>
          <w:tcPr>
            <w:shd w:val="clear" w:color="000000" w:fill="ffffff"/>
            <w:tcBorders/>
            <w:tcW w:w="1218" w:type="dxa"/>
            <w:vAlign w:val="center"/>
            <w:textDirection w:val="lrTb"/>
            <w:noWrap w:val="false"/>
          </w:tcPr>
          <w:p>
            <w:pPr>
              <w:pBdr/>
              <w:spacing/>
              <w:ind/>
              <w:jc w:val="center"/>
              <w:rPr>
                <w:color w:val="000000" w:themeColor="text1"/>
              </w:rPr>
            </w:pPr>
            <w:r>
              <w:rPr>
                <w:color w:val="000000" w:themeColor="text1"/>
              </w:rPr>
              <w:t xml:space="preserve">80%</w:t>
            </w:r>
            <w:r>
              <w:rPr>
                <w:color w:val="000000" w:themeColor="text1"/>
              </w:rPr>
            </w:r>
            <w:r>
              <w:rPr>
                <w:color w:val="000000" w:themeColor="text1"/>
              </w:rPr>
            </w:r>
          </w:p>
        </w:tc>
        <w:tc>
          <w:tcPr>
            <w:shd w:val="clear" w:color="000000" w:fill="ffffff"/>
            <w:tcBorders/>
            <w:tcW w:w="1759"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3.340.183.392</w:t>
            </w:r>
            <w:r>
              <w:rPr>
                <w:color w:val="000000" w:themeColor="text1"/>
              </w:rPr>
            </w:r>
            <w:r>
              <w:rPr>
                <w:color w:val="000000" w:themeColor="text1"/>
              </w:rPr>
            </w:r>
          </w:p>
        </w:tc>
      </w:tr>
      <w:tr>
        <w:trPr>
          <w:trHeight w:val="20"/>
        </w:trPr>
        <w:tc>
          <w:tcPr>
            <w:gridSpan w:val="5"/>
            <w:tcBorders/>
            <w:tcW w:w="6548"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218" w:type="dxa"/>
            <w:vAlign w:val="center"/>
            <w:textDirection w:val="lrTb"/>
            <w:noWrap/>
          </w:tcPr>
          <w:p>
            <w:pPr>
              <w:pBdr/>
              <w:spacing/>
              <w:ind/>
              <w:rPr/>
            </w:pPr>
            <w:r/>
            <w:r/>
          </w:p>
        </w:tc>
        <w:tc>
          <w:tcPr>
            <w:tcBorders/>
            <w:tcW w:w="1759" w:type="dxa"/>
            <w:vAlign w:val="center"/>
            <w:textDirection w:val="lrTb"/>
            <w:noWrap/>
          </w:tcPr>
          <w:p>
            <w:pPr>
              <w:pBdr/>
              <w:spacing w:after="40" w:before="40" w:line="288" w:lineRule="auto"/>
              <w:ind/>
              <w:jc w:val="center"/>
              <w:rPr>
                <w:b/>
                <w:bCs/>
                <w:color w:val="000000"/>
              </w:rPr>
            </w:pPr>
            <w:r>
              <w:t xml:space="preserve">14.500.183.392</w:t>
            </w:r>
            <w:r>
              <w:rPr>
                <w:b/>
                <w:bCs/>
                <w:color w:val="000000"/>
              </w:rPr>
            </w:r>
            <w:r>
              <w:rPr>
                <w:b/>
                <w:bCs/>
                <w:color w:val="000000"/>
              </w:rPr>
            </w:r>
          </w:p>
        </w:tc>
      </w:tr>
      <w:tr>
        <w:trPr>
          <w:trHeight w:val="20"/>
        </w:trPr>
        <w:tc>
          <w:tcPr>
            <w:gridSpan w:val="5"/>
            <w:tcBorders/>
            <w:tcW w:w="6548"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218" w:type="dxa"/>
            <w:vAlign w:val="center"/>
            <w:textDirection w:val="lrTb"/>
            <w:noWrap/>
          </w:tcPr>
          <w:p>
            <w:pPr>
              <w:pBdr/>
              <w:spacing/>
              <w:ind/>
              <w:rPr>
                <w:b/>
                <w:bCs/>
                <w:color w:val="000000"/>
              </w:rPr>
            </w:pPr>
            <w:r>
              <w:rPr>
                <w:b/>
                <w:bCs/>
                <w:color w:val="000000"/>
              </w:rPr>
            </w:r>
            <w:r>
              <w:rPr>
                <w:b/>
                <w:bCs/>
                <w:color w:val="000000"/>
              </w:rPr>
            </w:r>
            <w:r>
              <w:rPr>
                <w:b/>
                <w:bCs/>
                <w:color w:val="000000"/>
              </w:rPr>
            </w:r>
          </w:p>
        </w:tc>
        <w:tc>
          <w:tcPr>
            <w:tcBorders/>
            <w:tcW w:w="1759" w:type="dxa"/>
            <w:vAlign w:val="center"/>
            <w:textDirection w:val="lrTb"/>
            <w:noWrap/>
          </w:tcPr>
          <w:p>
            <w:pPr>
              <w:pBdr/>
              <w:spacing w:after="40" w:before="40" w:line="288" w:lineRule="auto"/>
              <w:ind/>
              <w:jc w:val="center"/>
              <w:rPr>
                <w:b/>
                <w:bCs/>
                <w:color w:val="000000"/>
              </w:rPr>
            </w:pPr>
            <w:r>
              <w:rPr>
                <w:b/>
                <w:bCs/>
              </w:rPr>
              <w:t xml:space="preserve">14.500.200.000</w:t>
            </w:r>
            <w:r>
              <w:rPr>
                <w:b/>
                <w:bCs/>
                <w:color w:val="000000"/>
              </w:rPr>
            </w:r>
            <w:r>
              <w:rPr>
                <w:b/>
                <w:bCs/>
                <w:color w:val="000000"/>
              </w:rPr>
            </w:r>
          </w:p>
        </w:tc>
      </w:tr>
      <w:tr>
        <w:trPr>
          <w:trHeight w:val="20"/>
        </w:trPr>
        <w:tc>
          <w:tcPr>
            <w:tcBorders/>
            <w:tcW w:w="595" w:type="dxa"/>
            <w:vAlign w:val="center"/>
            <w:textDirection w:val="lrTb"/>
            <w:noWrap w:val="false"/>
          </w:tcPr>
          <w:p>
            <w:pPr>
              <w:pBdr/>
              <w:spacing/>
              <w:ind/>
              <w:rPr>
                <w:b/>
                <w:bCs/>
                <w:i/>
                <w:color w:val="000000"/>
              </w:rPr>
            </w:pPr>
            <w:r>
              <w:rPr>
                <w:b/>
                <w:bCs/>
                <w:i/>
                <w:iCs/>
                <w:color w:val="000000"/>
              </w:rPr>
            </w:r>
            <w:r>
              <w:rPr>
                <w:b/>
                <w:bCs/>
                <w:i/>
                <w:color w:val="000000"/>
              </w:rPr>
            </w:r>
            <w:r>
              <w:rPr>
                <w:b/>
                <w:bCs/>
                <w:i/>
                <w:color w:val="000000"/>
              </w:rPr>
            </w:r>
          </w:p>
        </w:tc>
        <w:tc>
          <w:tcPr>
            <w:gridSpan w:val="6"/>
            <w:tcBorders/>
            <w:tcW w:w="8930"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bốn tỷ năm trăm triệu hai trăm nghìn đồng</w:t>
            </w:r>
            <w:r>
              <w:rPr>
                <w:b/>
                <w:bCs/>
                <w:i/>
                <w:iCs/>
                <w:color w:val="000000"/>
              </w:rPr>
              <w:t xml:space="preserve">./.)</w:t>
            </w:r>
            <w:r>
              <w:rPr>
                <w:b/>
                <w:bCs/>
                <w:i/>
                <w:iCs/>
                <w:color w:val="000000"/>
              </w:rPr>
            </w:r>
            <w:r>
              <w:rPr>
                <w:b/>
                <w:bCs/>
                <w:i/>
                <w:iCs/>
                <w:color w:val="000000"/>
              </w:rPr>
            </w:r>
          </w:p>
        </w:tc>
      </w:tr>
    </w:tbl>
    <w:p>
      <w:pPr>
        <w:pStyle w:val="1026"/>
        <w:pBdr/>
        <w:tabs>
          <w:tab w:val="left" w:leader="none" w:pos="993"/>
        </w:tabs>
        <w:spacing w:after="120" w:before="120" w:line="288" w:lineRule="auto"/>
        <w:ind w:left="0"/>
        <w:jc w:val="both"/>
        <w:rPr>
          <w:b/>
          <w:bCs/>
          <w:lang w:val="pt-BR"/>
        </w:rPr>
      </w:pPr>
      <w:r>
        <w:rPr>
          <w:b/>
          <w:bCs/>
          <w:highlight w:val="none"/>
          <w:lang w:val="pt-BR"/>
        </w:rPr>
      </w:r>
      <w:r>
        <w:rPr>
          <w:b/>
          <w:bCs/>
          <w:highlight w:val="none"/>
          <w:lang w:val="pt-BR"/>
        </w:rPr>
      </w:r>
      <w:r>
        <w:rPr>
          <w:b/>
          <w:bCs/>
          <w:lang w:val="pt-BR"/>
        </w:rPr>
      </w:r>
    </w:p>
    <w:p>
      <w:pPr>
        <w:pStyle w:val="1026"/>
        <w:pBdr/>
        <w:tabs>
          <w:tab w:val="left" w:leader="none" w:pos="993"/>
        </w:tabs>
        <w:spacing w:after="120" w:before="120" w:line="288" w:lineRule="auto"/>
        <w:ind w:left="0"/>
        <w:jc w:val="both"/>
        <w:rPr>
          <w:b/>
          <w:bCs/>
          <w:highlight w:val="none"/>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bCs/>
          <w:highlight w:val="none"/>
          <w:lang w:val="pt-BR"/>
        </w:rPr>
      </w:r>
    </w:p>
    <w:p>
      <w:pPr>
        <w:pStyle w:val="1026"/>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6"/>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6"/>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6"/>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6"/>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6"/>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6"/>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6"/>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6"/>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6"/>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6"/>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6"/>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6"/>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6"/>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r>
        <w:rPr>
          <w:bCs/>
          <w:spacing w:val="-2"/>
          <w:lang w:val="pt-BR"/>
        </w:rPr>
      </w:r>
    </w:p>
    <w:p>
      <w:pPr>
        <w:pStyle w:val="102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6"/>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6"/>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6"/>
        <w:pBdr/>
        <w:tabs>
          <w:tab w:val="left" w:leader="none" w:pos="993"/>
        </w:tabs>
        <w:spacing w:after="120" w:before="120" w:line="288" w:lineRule="auto"/>
        <w:ind w:left="0"/>
        <w:jc w:val="both"/>
        <w:rPr>
          <w:lang w:val="vi-VN"/>
        </w:rPr>
      </w:pPr>
      <w:r>
        <w:rPr>
          <w:highlight w:val="none"/>
          <w:lang w:val="vi-VN"/>
        </w:rPr>
      </w:r>
      <w:r>
        <w:rPr>
          <w:highlight w:val="none"/>
          <w:lang w:val="vi-VN"/>
        </w:rPr>
      </w:r>
      <w:r>
        <w:rPr>
          <w:highlight w:val="none"/>
          <w:lang w:val="vi-VN"/>
        </w:rPr>
      </w:r>
    </w:p>
    <w:p>
      <w:pPr>
        <w:pStyle w:val="1026"/>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6"/>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6"/>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6"/>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6"/>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6"/>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6"/>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275/2026/0179/VFI-CT.63.A</w:t>
      </w:r>
      <w:r>
        <w:rPr>
          <w:color w:val="ff0000"/>
          <w:lang w:val="vi-VN"/>
        </w:rPr>
        <w:t xml:space="preserve"> </w:t>
      </w:r>
      <w:r>
        <w:rPr>
          <w:color w:val="000000" w:themeColor="text1"/>
        </w:rPr>
        <w:t xml:space="preserve">ngày 23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26"/>
        <w:pBdr/>
        <w:tabs>
          <w:tab w:val="left" w:leader="none" w:pos="993"/>
        </w:tabs>
        <w:spacing w:after="120" w:before="120" w:line="288" w:lineRule="auto"/>
        <w:ind w:left="0"/>
        <w:jc w:val="both"/>
        <w:rPr>
          <w:lang w:val="vi-VN"/>
        </w:rPr>
      </w:pPr>
      <w:r>
        <w:rPr>
          <w:lang w:val="vi-VN"/>
        </w:rPr>
      </w:r>
      <w:r>
        <w:rPr>
          <w:lang w:val="vi-VN"/>
        </w:rPr>
      </w:r>
      <w:r>
        <w:rPr>
          <w:lang w:val="vi-VN"/>
        </w:rPr>
      </w:r>
    </w:p>
    <w:p>
      <w:pPr>
        <w:pStyle w:val="1026"/>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VIII13.721</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Chu Thế Hiển</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275/2026/0179/VFI-BC.63.A</w:t>
      </w:r>
      <w:r>
        <w:rPr>
          <w:i/>
          <w:lang w:val="pt-BR"/>
        </w:rPr>
        <w:t xml:space="preserve"> </w:t>
      </w:r>
      <w:r>
        <w:rPr>
          <w:i/>
          <w:lang w:val="pt-BR"/>
        </w:rPr>
        <w:t xml:space="preserve">23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337328" cy="2285536"/>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119225" name=""/>
                              <pic:cNvPicPr>
                                <a:picLocks noChangeAspect="1"/>
                              </pic:cNvPicPr>
                              <pic:nvPr/>
                            </pic:nvPicPr>
                            <pic:blipFill rotWithShape="1">
                              <a:blip r:embed="rId18"/>
                              <a:stretch/>
                            </pic:blipFill>
                            <pic:spPr bwMode="auto">
                              <a:xfrm flipH="0" flipV="0">
                                <a:off x="0" y="0"/>
                                <a:ext cx="1337327" cy="228553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05.30pt;height:179.96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16997" cy="1887747"/>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304058" name=""/>
                              <pic:cNvPicPr>
                                <a:picLocks noChangeAspect="1"/>
                              </pic:cNvPicPr>
                              <pic:nvPr/>
                            </pic:nvPicPr>
                            <pic:blipFill rotWithShape="1">
                              <a:blip r:embed="rId19"/>
                              <a:stretch/>
                            </pic:blipFill>
                            <pic:spPr bwMode="auto">
                              <a:xfrm flipH="0" flipV="0">
                                <a:off x="0" y="0"/>
                                <a:ext cx="2516996" cy="18877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98.19pt;height:148.64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022462" cy="2696616"/>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11471" name=""/>
                              <pic:cNvPicPr>
                                <a:picLocks noChangeAspect="1"/>
                              </pic:cNvPicPr>
                              <pic:nvPr/>
                            </pic:nvPicPr>
                            <pic:blipFill rotWithShape="1">
                              <a:blip r:embed="rId20"/>
                              <a:stretch/>
                            </pic:blipFill>
                            <pic:spPr bwMode="auto">
                              <a:xfrm flipH="0" flipV="0">
                                <a:off x="0" y="0"/>
                                <a:ext cx="2022461" cy="26966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59.25pt;height:212.33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73988" cy="2005491"/>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385276" name=""/>
                              <pic:cNvPicPr>
                                <a:picLocks noChangeAspect="1"/>
                              </pic:cNvPicPr>
                              <pic:nvPr/>
                            </pic:nvPicPr>
                            <pic:blipFill rotWithShape="1">
                              <a:blip r:embed="rId21"/>
                              <a:stretch/>
                            </pic:blipFill>
                            <pic:spPr bwMode="auto">
                              <a:xfrm flipH="0" flipV="0">
                                <a:off x="0" y="0"/>
                                <a:ext cx="2673987" cy="200549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0.55pt;height:157.91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37285" cy="1902964"/>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955695" name=""/>
                              <pic:cNvPicPr>
                                <a:picLocks noChangeAspect="1"/>
                              </pic:cNvPicPr>
                              <pic:nvPr/>
                            </pic:nvPicPr>
                            <pic:blipFill rotWithShape="1">
                              <a:blip r:embed="rId22"/>
                              <a:stretch/>
                            </pic:blipFill>
                            <pic:spPr bwMode="auto">
                              <a:xfrm flipH="0" flipV="0">
                                <a:off x="0" y="0"/>
                                <a:ext cx="2537285" cy="190296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99.79pt;height:149.84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484902" cy="1863676"/>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876207" name=""/>
                              <pic:cNvPicPr>
                                <a:picLocks noChangeAspect="1"/>
                              </pic:cNvPicPr>
                              <pic:nvPr/>
                            </pic:nvPicPr>
                            <pic:blipFill rotWithShape="1">
                              <a:blip r:embed="rId23"/>
                              <a:stretch/>
                            </pic:blipFill>
                            <pic:spPr bwMode="auto">
                              <a:xfrm flipH="0" flipV="0">
                                <a:off x="0" y="0"/>
                                <a:ext cx="2484901" cy="18636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95.66pt;height:146.75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275/2026/0179/VFI-BC.63.A</w:t>
      </w:r>
      <w:r>
        <w:rPr>
          <w:i/>
          <w:lang w:val="pt-BR"/>
        </w:rPr>
        <w:t xml:space="preserve"> </w:t>
      </w:r>
      <w:r>
        <w:rPr>
          <w:i/>
          <w:lang w:val="pt-BR"/>
        </w:rPr>
        <w:t xml:space="preserve">23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https://guland.vn/post/ban-dat-tho-cu-an-thuong-hoai-duc-dt-134m2-truc-chinh-duong-o-to-1316869</w:t>
            </w:r>
            <w:r>
              <w:rPr>
                <w:color w:val="000000" w:themeColor="text1"/>
                <w:sz w:val="22"/>
                <w:szCs w:val="22"/>
              </w:rPr>
              <w:br/>
              <w:t xml:space="preserve">0989343983</w:t>
            </w:r>
            <w:r>
              <w:rPr>
                <w:sz w:val="22"/>
                <w:szCs w:val="22"/>
              </w:rPr>
              <w:t xml:space="preserve"> </w:t>
            </w:r>
            <w:r>
              <w:rPr>
                <w:sz w:val="22"/>
                <w:szCs w:val="22"/>
              </w:rPr>
              <w:br/>
              <w:t xml:space="preserve">(Nga</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11.415.500.000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10.273.950.000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(134.3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Xã An Khánh,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134.3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kinh doanh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055020"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605502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77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82649"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258264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03.36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20734"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422073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32.34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64291"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146429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15.30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306174"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430617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39.07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Chu Thế Hiển</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https://www.facebook.com/commerce/listing/1351026949638610?media_id=0&amp;ref=share_attachment</w:t>
            </w:r>
            <w:r>
              <w:rPr>
                <w:color w:val="000000" w:themeColor="text1"/>
                <w:sz w:val="22"/>
                <w:szCs w:val="22"/>
              </w:rPr>
              <w:br/>
              <w:t xml:space="preserve">0339854797</w:t>
            </w:r>
            <w:r>
              <w:rPr>
                <w:sz w:val="22"/>
                <w:szCs w:val="22"/>
              </w:rPr>
              <w:t xml:space="preserve"> </w:t>
            </w:r>
            <w:r>
              <w:rPr>
                <w:sz w:val="22"/>
                <w:szCs w:val="22"/>
              </w:rPr>
              <w:br/>
              <w:t xml:space="preserve">(Tùng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5.100.000.000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4.590.000.000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(45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Xã An Khánh,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kinh doanh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043252"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604325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75.85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6008366"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600836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3.10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217119"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221711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74.58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3941"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238394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87.71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69110"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146911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15.68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Chu Thế Hiển</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https://www.facebook.com/commerce/listing/849415604528577?media_id=0&amp;ref=share_attachment</w:t>
            </w:r>
            <w:r>
              <w:rPr>
                <w:color w:val="000000" w:themeColor="text1"/>
                <w:sz w:val="22"/>
                <w:szCs w:val="22"/>
              </w:rPr>
              <w:br/>
            </w:r>
            <w:r>
              <w:rPr>
                <w:sz w:val="22"/>
                <w:szCs w:val="22"/>
              </w:rPr>
              <w:t xml:space="preserve">SĐT: </w:t>
            </w:r>
            <w:r>
              <w:rPr>
                <w:color w:val="000000" w:themeColor="text1"/>
                <w:sz w:val="22"/>
                <w:szCs w:val="22"/>
              </w:rPr>
              <w:t xml:space="preserve">0963.971.291</w:t>
            </w:r>
            <w:r>
              <w:rPr>
                <w:sz w:val="22"/>
                <w:szCs w:val="22"/>
              </w:rPr>
              <w:t xml:space="preserve"> </w:t>
            </w:r>
            <w:r>
              <w:rPr>
                <w:sz w:val="22"/>
                <w:szCs w:val="22"/>
              </w:rPr>
              <w:br/>
              <w:t xml:space="preserve">(Tùng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5.880.000.000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5.292.000.000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(56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Xã An Khánh,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kinh doanh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p>
            <w:pPr>
              <w:pBdr/>
              <w:spacing w:line="276" w:lineRule="auto"/>
              <w:ind/>
              <w:rPr>
                <w:highlight w:val="none"/>
              </w:rPr>
            </w:pP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4565993" cy="2417291"/>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236640" name=""/>
                              <pic:cNvPicPr>
                                <a:picLocks noChangeAspect="1"/>
                              </pic:cNvPicPr>
                              <pic:nvPr/>
                            </pic:nvPicPr>
                            <pic:blipFill rotWithShape="1">
                              <a:blip r:embed="rId34"/>
                              <a:stretch/>
                            </pic:blipFill>
                            <pic:spPr bwMode="auto">
                              <a:xfrm flipH="0" flipV="0">
                                <a:off x="0" y="0"/>
                                <a:ext cx="4565993" cy="241729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359.53pt;height:190.34pt;mso-wrap-distance-left:0.00pt;mso-wrap-distance-top:0.00pt;mso-wrap-distance-right:0.00pt;mso-wrap-distance-bottom:0.00pt;z-index:1;" stroked="false">
                      <v:imagedata r:id="rId34" o:title=""/>
                      <o:lock v:ext="edit" rotation="t"/>
                    </v:shape>
                  </w:pict>
                </mc:Fallback>
              </mc:AlternateContent>
            </w:r>
            <w:r>
              <w:rPr>
                <w:color w:val="000000"/>
                <w:sz w:val="22"/>
                <w:szCs w:val="22"/>
              </w:rPr>
            </w:r>
            <w:r>
              <w:rPr>
                <w:highlight w:val="none"/>
              </w:rPr>
            </w:r>
          </w:p>
          <w:p>
            <w:pPr>
              <w:pBdr/>
              <w:spacing w:line="276" w:lineRule="auto"/>
              <w:ind/>
              <w:rPr>
                <w:color w:val="000000"/>
                <w:sz w:val="22"/>
                <w:szCs w:val="22"/>
              </w:rPr>
            </w:pPr>
            <w:r>
              <w:rPr>
                <w:highlight w:val="none"/>
              </w:rPr>
            </w:r>
            <w:r>
              <mc:AlternateContent>
                <mc:Choice Requires="wpg">
                  <w:drawing>
                    <wp:inline xmlns:wp="http://schemas.openxmlformats.org/drawingml/2006/wordprocessingDrawing" distT="0" distB="0" distL="0" distR="0">
                      <wp:extent cx="2489521" cy="2042733"/>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604176" name=""/>
                              <pic:cNvPicPr>
                                <a:picLocks noChangeAspect="1"/>
                              </pic:cNvPicPr>
                              <pic:nvPr/>
                            </pic:nvPicPr>
                            <pic:blipFill rotWithShape="1">
                              <a:blip r:embed="rId35"/>
                              <a:stretch/>
                            </pic:blipFill>
                            <pic:spPr bwMode="auto">
                              <a:xfrm flipH="0" flipV="0">
                                <a:off x="0" y="0"/>
                                <a:ext cx="2489521" cy="20427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96.03pt;height:160.85pt;mso-wrap-distance-left:0.00pt;mso-wrap-distance-top:0.00pt;mso-wrap-distance-right:0.00pt;mso-wrap-distance-bottom:0.00pt;z-index:1;" stroked="false">
                      <v:imagedata r:id="rId35" o:title=""/>
                      <o:lock v:ext="edit" rotation="t"/>
                    </v:shape>
                  </w:pict>
                </mc:Fallback>
              </mc:AlternateContent>
            </w:r>
            <w:r>
              <w:rPr>
                <w:highlight w:val="none"/>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1749903" cy="3110939"/>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264662" name=""/>
                              <pic:cNvPicPr>
                                <a:picLocks noChangeAspect="1"/>
                              </pic:cNvPicPr>
                              <pic:nvPr/>
                            </pic:nvPicPr>
                            <pic:blipFill rotWithShape="1">
                              <a:blip r:embed="rId36"/>
                              <a:stretch/>
                            </pic:blipFill>
                            <pic:spPr bwMode="auto">
                              <a:xfrm flipH="0" flipV="0">
                                <a:off x="0" y="0"/>
                                <a:ext cx="1749902" cy="31109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37.79pt;height:244.96pt;mso-wrap-distance-left:0.00pt;mso-wrap-distance-top:0.00pt;mso-wrap-distance-right:0.00pt;mso-wrap-distance-bottom:0.00pt;z-index:1;" stroked="false">
                      <v:imagedata r:id="rId36" o:title=""/>
                      <o:lock v:ext="edit" rotation="t"/>
                    </v:shape>
                  </w:pict>
                </mc:Fallback>
              </mc:AlternateContent>
              <w:t xml:space="preserve"> </w:t>
            </w:r>
            <w:r>
              <mc:AlternateContent>
                <mc:Choice Requires="wpg">
                  <w:drawing>
                    <wp:inline xmlns:wp="http://schemas.openxmlformats.org/drawingml/2006/wordprocessingDrawing" distT="0" distB="0" distL="0" distR="0">
                      <wp:extent cx="1807044" cy="2409391"/>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383432" name=""/>
                              <pic:cNvPicPr>
                                <a:picLocks noChangeAspect="1"/>
                              </pic:cNvPicPr>
                              <pic:nvPr/>
                            </pic:nvPicPr>
                            <pic:blipFill rotWithShape="1">
                              <a:blip r:embed="rId37"/>
                              <a:stretch/>
                            </pic:blipFill>
                            <pic:spPr bwMode="auto">
                              <a:xfrm flipH="0" flipV="0">
                                <a:off x="0" y="0"/>
                                <a:ext cx="1807043" cy="240939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42.29pt;height:189.72pt;mso-wrap-distance-left:0.00pt;mso-wrap-distance-top:0.00pt;mso-wrap-distance-right:0.00pt;mso-wrap-distance-bottom:0.00pt;z-index:1;" stroked="false">
                      <v:imagedata r:id="rId37" o:title=""/>
                      <o:lock v:ext="edit" rotation="t"/>
                    </v:shape>
                  </w:pict>
                </mc:Fallback>
              </mc:AlternateContent>
              <w:t xml:space="preserve"> </w:t>
            </w:r>
            <w:r>
              <mc:AlternateContent>
                <mc:Choice Requires="wpg">
                  <w:drawing>
                    <wp:inline xmlns:wp="http://schemas.openxmlformats.org/drawingml/2006/wordprocessingDrawing" distT="0" distB="0" distL="0" distR="0">
                      <wp:extent cx="1806915" cy="2409220"/>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094513" name=""/>
                              <pic:cNvPicPr>
                                <a:picLocks noChangeAspect="1"/>
                              </pic:cNvPicPr>
                              <pic:nvPr/>
                            </pic:nvPicPr>
                            <pic:blipFill rotWithShape="1">
                              <a:blip r:embed="rId38"/>
                              <a:stretch/>
                            </pic:blipFill>
                            <pic:spPr bwMode="auto">
                              <a:xfrm flipH="0" flipV="0">
                                <a:off x="0" y="0"/>
                                <a:ext cx="1806914" cy="240921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142.28pt;height:189.70pt;mso-wrap-distance-left:0.00pt;mso-wrap-distance-top:0.00pt;mso-wrap-distance-right:0.00pt;mso-wrap-distance-bottom:0.00pt;z-index:1;" stroked="false">
                      <v:imagedata r:id="rId38" o:title=""/>
                      <o:lock v:ext="edit" rotation="t"/>
                    </v:shape>
                  </w:pict>
                </mc:Fallback>
              </mc:AlternateConten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Chu Thế Hiển</w:t>
            </w:r>
            <w:r>
              <w:rPr>
                <w:highlight w:val="none"/>
              </w:rP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jc w:val="center"/>
        <w:rPr>
          <w:b/>
          <w:bCs/>
          <w:iCs/>
          <w:highlight w:val="none"/>
          <w:lang w:val="pt-BR"/>
        </w:rPr>
      </w:pPr>
      <w:r>
        <w:rPr>
          <w:b/>
          <w:bCs/>
          <w:iCs/>
          <w:lang w:val="pt-BR"/>
        </w:rPr>
        <w:t xml:space="preserve">PHIẾU KHẢO SÁT</w:t>
      </w:r>
      <w:r>
        <w:rPr>
          <w:b/>
          <w:bCs/>
          <w:iCs/>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5693192" cy="8853075"/>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847451" name=""/>
                        <pic:cNvPicPr>
                          <a:picLocks noChangeAspect="1"/>
                        </pic:cNvPicPr>
                        <pic:nvPr/>
                      </pic:nvPicPr>
                      <pic:blipFill rotWithShape="1">
                        <a:blip r:embed="rId39"/>
                        <a:stretch/>
                      </pic:blipFill>
                      <pic:spPr bwMode="auto">
                        <a:xfrm flipH="0" flipV="0">
                          <a:off x="0" y="0"/>
                          <a:ext cx="5693191" cy="88530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448.28pt;height:697.09pt;mso-wrap-distance-left:0.00pt;mso-wrap-distance-top:0.00pt;mso-wrap-distance-right:0.00pt;mso-wrap-distance-bottom:0.00pt;z-index:1;" stroked="false">
                <v:imagedata r:id="rId39" o:title=""/>
                <o:lock v:ext="edit" rotation="t"/>
              </v:shape>
            </w:pict>
          </mc:Fallback>
        </mc:AlternateContent>
      </w:r>
      <w:r>
        <w:rPr>
          <w:b/>
          <w:bCs/>
          <w:iCs/>
          <w:highlight w:val="none"/>
          <w:lang w:val="pt-BR"/>
        </w:rPr>
      </w:r>
      <w:r>
        <w:rPr>
          <w:b/>
          <w:bCs/>
          <w:iCs/>
          <w:highlight w:val="none"/>
          <w:lang w:val="pt-BR"/>
        </w:rPr>
      </w:r>
      <w:r>
        <w:rPr>
          <w:b/>
          <w:bCs/>
          <w:iCs/>
          <w:highlight w:val="none"/>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4ED7A4FD"/>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8">
    <w:name w:val="Table Grid Light"/>
    <w:basedOn w:val="101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1"/>
    <w:basedOn w:val="101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2"/>
    <w:basedOn w:val="101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3"/>
    <w:basedOn w:val="101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4"/>
    <w:basedOn w:val="101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5"/>
    <w:basedOn w:val="101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w:basedOn w:val="101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1"/>
    <w:basedOn w:val="101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2"/>
    <w:basedOn w:val="101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3"/>
    <w:basedOn w:val="101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4"/>
    <w:basedOn w:val="101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5"/>
    <w:basedOn w:val="101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6"/>
    <w:basedOn w:val="101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w:basedOn w:val="101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1"/>
    <w:basedOn w:val="101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2"/>
    <w:basedOn w:val="101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3"/>
    <w:basedOn w:val="101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4"/>
    <w:basedOn w:val="101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5"/>
    <w:basedOn w:val="101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6"/>
    <w:basedOn w:val="101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w:basedOn w:val="101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1"/>
    <w:basedOn w:val="101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2"/>
    <w:basedOn w:val="101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3"/>
    <w:basedOn w:val="101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4"/>
    <w:basedOn w:val="101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5"/>
    <w:basedOn w:val="101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6"/>
    <w:basedOn w:val="101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w:basedOn w:val="101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1"/>
    <w:basedOn w:val="101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2"/>
    <w:basedOn w:val="101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3"/>
    <w:basedOn w:val="101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4"/>
    <w:basedOn w:val="101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5"/>
    <w:basedOn w:val="101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6"/>
    <w:basedOn w:val="101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Accent 1"/>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2"/>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3"/>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4"/>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5"/>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6"/>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6 Colorful"/>
    <w:basedOn w:val="101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0">
    <w:name w:val="Grid Table 6 Colorful - Accent 1"/>
    <w:basedOn w:val="101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1">
    <w:name w:val="Grid Table 6 Colorful - Accent 2"/>
    <w:basedOn w:val="101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2">
    <w:name w:val="Grid Table 6 Colorful - Accent 3"/>
    <w:basedOn w:val="101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3">
    <w:name w:val="Grid Table 6 Colorful - Accent 4"/>
    <w:basedOn w:val="101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4">
    <w:name w:val="Grid Table 6 Colorful - Accent 5"/>
    <w:basedOn w:val="101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6 Colorful - Accent 6"/>
    <w:basedOn w:val="101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7 Colorful"/>
    <w:basedOn w:val="101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1"/>
    <w:basedOn w:val="101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2"/>
    <w:basedOn w:val="101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3"/>
    <w:basedOn w:val="101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4"/>
    <w:basedOn w:val="101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5"/>
    <w:basedOn w:val="101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6"/>
    <w:basedOn w:val="101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1"/>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2"/>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3"/>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4"/>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5"/>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6"/>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w:basedOn w:val="101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1"/>
    <w:basedOn w:val="101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2"/>
    <w:basedOn w:val="101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3"/>
    <w:basedOn w:val="101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4"/>
    <w:basedOn w:val="101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5"/>
    <w:basedOn w:val="101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6"/>
    <w:basedOn w:val="101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w:basedOn w:val="101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1"/>
    <w:basedOn w:val="101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2"/>
    <w:basedOn w:val="101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3"/>
    <w:basedOn w:val="101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4"/>
    <w:basedOn w:val="101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5"/>
    <w:basedOn w:val="101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6"/>
    <w:basedOn w:val="101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w:basedOn w:val="101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1"/>
    <w:basedOn w:val="101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2"/>
    <w:basedOn w:val="101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3"/>
    <w:basedOn w:val="101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4"/>
    <w:basedOn w:val="101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5"/>
    <w:basedOn w:val="101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6"/>
    <w:basedOn w:val="101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5 Dark"/>
    <w:basedOn w:val="101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1"/>
    <w:basedOn w:val="101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2"/>
    <w:basedOn w:val="101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3"/>
    <w:basedOn w:val="101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4"/>
    <w:basedOn w:val="101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5"/>
    <w:basedOn w:val="101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6"/>
    <w:basedOn w:val="101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6 Colorful"/>
    <w:basedOn w:val="101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1"/>
    <w:basedOn w:val="101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2"/>
    <w:basedOn w:val="101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3"/>
    <w:basedOn w:val="101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4"/>
    <w:basedOn w:val="101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5"/>
    <w:basedOn w:val="101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6"/>
    <w:basedOn w:val="101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7 Colorful"/>
    <w:basedOn w:val="101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6">
    <w:name w:val="List Table 7 Colorful - Accent 1"/>
    <w:basedOn w:val="101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7">
    <w:name w:val="List Table 7 Colorful - Accent 2"/>
    <w:basedOn w:val="101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8">
    <w:name w:val="List Table 7 Colorful - Accent 3"/>
    <w:basedOn w:val="101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9">
    <w:name w:val="List Table 7 Colorful - Accent 4"/>
    <w:basedOn w:val="101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0">
    <w:name w:val="List Table 7 Colorful - Accent 5"/>
    <w:basedOn w:val="101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1">
    <w:name w:val="List Table 7 Colorful - Accent 6"/>
    <w:basedOn w:val="101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2">
    <w:name w:val="Lined - Accent"/>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1"/>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2"/>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3"/>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4"/>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5"/>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6"/>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w:basedOn w:val="101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1"/>
    <w:basedOn w:val="101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2"/>
    <w:basedOn w:val="101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3"/>
    <w:basedOn w:val="101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4"/>
    <w:basedOn w:val="101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5"/>
    <w:basedOn w:val="101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6"/>
    <w:basedOn w:val="101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w:basedOn w:val="101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1"/>
    <w:basedOn w:val="101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2"/>
    <w:basedOn w:val="101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3"/>
    <w:basedOn w:val="101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4"/>
    <w:basedOn w:val="101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5"/>
    <w:basedOn w:val="101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6"/>
    <w:basedOn w:val="101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3">
    <w:name w:val="Heading 5"/>
    <w:basedOn w:val="1004"/>
    <w:next w:val="1004"/>
    <w:link w:val="968"/>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4">
    <w:name w:val="Heading 6"/>
    <w:basedOn w:val="1004"/>
    <w:next w:val="1004"/>
    <w:link w:val="969"/>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5">
    <w:name w:val="Heading 7"/>
    <w:basedOn w:val="1004"/>
    <w:next w:val="1004"/>
    <w:link w:val="970"/>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6">
    <w:name w:val="Heading 8"/>
    <w:basedOn w:val="1004"/>
    <w:next w:val="1004"/>
    <w:link w:val="971"/>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7">
    <w:name w:val="Heading 9"/>
    <w:basedOn w:val="1004"/>
    <w:next w:val="1004"/>
    <w:link w:val="972"/>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8">
    <w:name w:val="Heading 5 Char"/>
    <w:basedOn w:val="1009"/>
    <w:link w:val="963"/>
    <w:uiPriority w:val="9"/>
    <w:pPr>
      <w:pBdr/>
      <w:spacing/>
      <w:ind/>
    </w:pPr>
    <w:rPr>
      <w:rFonts w:ascii="Arial" w:hAnsi="Arial" w:eastAsia="Arial" w:cs="Arial"/>
      <w:color w:val="0f4761" w:themeColor="accent1" w:themeShade="BF"/>
    </w:rPr>
  </w:style>
  <w:style w:type="character" w:styleId="969">
    <w:name w:val="Heading 6 Char"/>
    <w:basedOn w:val="1009"/>
    <w:link w:val="964"/>
    <w:uiPriority w:val="9"/>
    <w:pPr>
      <w:pBdr/>
      <w:spacing/>
      <w:ind/>
    </w:pPr>
    <w:rPr>
      <w:rFonts w:ascii="Arial" w:hAnsi="Arial" w:eastAsia="Arial" w:cs="Arial"/>
      <w:i/>
      <w:iCs/>
      <w:color w:val="595959" w:themeColor="text1" w:themeTint="A6"/>
    </w:rPr>
  </w:style>
  <w:style w:type="character" w:styleId="970">
    <w:name w:val="Heading 7 Char"/>
    <w:basedOn w:val="1009"/>
    <w:link w:val="965"/>
    <w:uiPriority w:val="9"/>
    <w:pPr>
      <w:pBdr/>
      <w:spacing/>
      <w:ind/>
    </w:pPr>
    <w:rPr>
      <w:rFonts w:ascii="Arial" w:hAnsi="Arial" w:eastAsia="Arial" w:cs="Arial"/>
      <w:color w:val="595959" w:themeColor="text1" w:themeTint="A6"/>
    </w:rPr>
  </w:style>
  <w:style w:type="character" w:styleId="971">
    <w:name w:val="Heading 8 Char"/>
    <w:basedOn w:val="1009"/>
    <w:link w:val="966"/>
    <w:uiPriority w:val="9"/>
    <w:pPr>
      <w:pBdr/>
      <w:spacing/>
      <w:ind/>
    </w:pPr>
    <w:rPr>
      <w:rFonts w:ascii="Arial" w:hAnsi="Arial" w:eastAsia="Arial" w:cs="Arial"/>
      <w:i/>
      <w:iCs/>
      <w:color w:val="272727" w:themeColor="text1" w:themeTint="D8"/>
    </w:rPr>
  </w:style>
  <w:style w:type="character" w:styleId="972">
    <w:name w:val="Heading 9 Char"/>
    <w:basedOn w:val="1009"/>
    <w:link w:val="967"/>
    <w:uiPriority w:val="9"/>
    <w:pPr>
      <w:pBdr/>
      <w:spacing/>
      <w:ind/>
    </w:pPr>
    <w:rPr>
      <w:rFonts w:ascii="Arial" w:hAnsi="Arial" w:eastAsia="Arial" w:cs="Arial"/>
      <w:i/>
      <w:iCs/>
      <w:color w:val="272727" w:themeColor="text1" w:themeTint="D8"/>
    </w:rPr>
  </w:style>
  <w:style w:type="paragraph" w:styleId="973">
    <w:name w:val="Subtitle"/>
    <w:basedOn w:val="1004"/>
    <w:next w:val="1004"/>
    <w:link w:val="974"/>
    <w:uiPriority w:val="11"/>
    <w:qFormat/>
    <w:pPr>
      <w:numPr>
        <w:ilvl w:val="1"/>
      </w:numPr>
      <w:pBdr/>
      <w:spacing/>
      <w:ind/>
    </w:pPr>
    <w:rPr>
      <w:color w:val="595959" w:themeColor="text1" w:themeTint="A6"/>
      <w:spacing w:val="15"/>
      <w:sz w:val="28"/>
      <w:szCs w:val="28"/>
    </w:rPr>
  </w:style>
  <w:style w:type="character" w:styleId="974">
    <w:name w:val="Subtitle Char"/>
    <w:basedOn w:val="1009"/>
    <w:link w:val="973"/>
    <w:uiPriority w:val="11"/>
    <w:pPr>
      <w:pBdr/>
      <w:spacing/>
      <w:ind/>
    </w:pPr>
    <w:rPr>
      <w:color w:val="595959" w:themeColor="text1" w:themeTint="A6"/>
      <w:spacing w:val="15"/>
      <w:sz w:val="28"/>
      <w:szCs w:val="28"/>
    </w:rPr>
  </w:style>
  <w:style w:type="paragraph" w:styleId="975">
    <w:name w:val="Quote"/>
    <w:basedOn w:val="1004"/>
    <w:next w:val="1004"/>
    <w:link w:val="976"/>
    <w:uiPriority w:val="29"/>
    <w:qFormat/>
    <w:pPr>
      <w:pBdr/>
      <w:spacing w:before="160"/>
      <w:ind/>
      <w:jc w:val="center"/>
    </w:pPr>
    <w:rPr>
      <w:i/>
      <w:iCs/>
      <w:color w:val="404040" w:themeColor="text1" w:themeTint="BF"/>
    </w:rPr>
  </w:style>
  <w:style w:type="character" w:styleId="976">
    <w:name w:val="Quote Char"/>
    <w:basedOn w:val="1009"/>
    <w:link w:val="975"/>
    <w:uiPriority w:val="29"/>
    <w:pPr>
      <w:pBdr/>
      <w:spacing/>
      <w:ind/>
    </w:pPr>
    <w:rPr>
      <w:i/>
      <w:iCs/>
      <w:color w:val="404040" w:themeColor="text1" w:themeTint="BF"/>
    </w:rPr>
  </w:style>
  <w:style w:type="character" w:styleId="977">
    <w:name w:val="Intense Emphasis"/>
    <w:basedOn w:val="1009"/>
    <w:uiPriority w:val="21"/>
    <w:qFormat/>
    <w:pPr>
      <w:pBdr/>
      <w:spacing/>
      <w:ind/>
    </w:pPr>
    <w:rPr>
      <w:i/>
      <w:iCs/>
      <w:color w:val="0f4761" w:themeColor="accent1" w:themeShade="BF"/>
    </w:rPr>
  </w:style>
  <w:style w:type="paragraph" w:styleId="978">
    <w:name w:val="Intense Quote"/>
    <w:basedOn w:val="1004"/>
    <w:next w:val="1004"/>
    <w:link w:val="979"/>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9">
    <w:name w:val="Intense Quote Char"/>
    <w:basedOn w:val="1009"/>
    <w:link w:val="978"/>
    <w:uiPriority w:val="30"/>
    <w:pPr>
      <w:pBdr/>
      <w:spacing/>
      <w:ind/>
    </w:pPr>
    <w:rPr>
      <w:i/>
      <w:iCs/>
      <w:color w:val="0f4761" w:themeColor="accent1" w:themeShade="BF"/>
    </w:rPr>
  </w:style>
  <w:style w:type="character" w:styleId="980">
    <w:name w:val="Intense Reference"/>
    <w:basedOn w:val="1009"/>
    <w:uiPriority w:val="32"/>
    <w:qFormat/>
    <w:pPr>
      <w:pBdr/>
      <w:spacing/>
      <w:ind/>
    </w:pPr>
    <w:rPr>
      <w:b/>
      <w:bCs/>
      <w:smallCaps/>
      <w:color w:val="0f4761" w:themeColor="accent1" w:themeShade="BF"/>
      <w:spacing w:val="5"/>
    </w:rPr>
  </w:style>
  <w:style w:type="paragraph" w:styleId="981">
    <w:name w:val="No Spacing"/>
    <w:basedOn w:val="1004"/>
    <w:uiPriority w:val="1"/>
    <w:qFormat/>
    <w:pPr>
      <w:pBdr/>
      <w:spacing w:after="0" w:line="240" w:lineRule="auto"/>
      <w:ind/>
    </w:pPr>
  </w:style>
  <w:style w:type="character" w:styleId="982">
    <w:name w:val="Subtle Emphasis"/>
    <w:basedOn w:val="1009"/>
    <w:uiPriority w:val="19"/>
    <w:qFormat/>
    <w:pPr>
      <w:pBdr/>
      <w:spacing/>
      <w:ind/>
    </w:pPr>
    <w:rPr>
      <w:i/>
      <w:iCs/>
      <w:color w:val="404040" w:themeColor="text1" w:themeTint="BF"/>
    </w:rPr>
  </w:style>
  <w:style w:type="character" w:styleId="983">
    <w:name w:val="Subtle Reference"/>
    <w:basedOn w:val="1009"/>
    <w:uiPriority w:val="31"/>
    <w:qFormat/>
    <w:pPr>
      <w:pBdr/>
      <w:spacing/>
      <w:ind/>
    </w:pPr>
    <w:rPr>
      <w:smallCaps/>
      <w:color w:val="5a5a5a" w:themeColor="text1" w:themeTint="A5"/>
    </w:rPr>
  </w:style>
  <w:style w:type="character" w:styleId="984">
    <w:name w:val="Book Title"/>
    <w:basedOn w:val="1009"/>
    <w:uiPriority w:val="33"/>
    <w:qFormat/>
    <w:pPr>
      <w:pBdr/>
      <w:spacing/>
      <w:ind/>
    </w:pPr>
    <w:rPr>
      <w:b/>
      <w:bCs/>
      <w:i/>
      <w:iCs/>
      <w:spacing w:val="5"/>
    </w:rPr>
  </w:style>
  <w:style w:type="paragraph" w:styleId="985">
    <w:name w:val="Caption"/>
    <w:basedOn w:val="1004"/>
    <w:next w:val="1004"/>
    <w:uiPriority w:val="35"/>
    <w:unhideWhenUsed/>
    <w:qFormat/>
    <w:pPr>
      <w:pBdr/>
      <w:spacing w:after="200" w:line="240" w:lineRule="auto"/>
      <w:ind/>
    </w:pPr>
    <w:rPr>
      <w:i/>
      <w:iCs/>
      <w:color w:val="0e2841" w:themeColor="text2"/>
      <w:sz w:val="18"/>
      <w:szCs w:val="18"/>
    </w:rPr>
  </w:style>
  <w:style w:type="paragraph" w:styleId="986">
    <w:name w:val="footnote text"/>
    <w:basedOn w:val="1004"/>
    <w:link w:val="987"/>
    <w:uiPriority w:val="99"/>
    <w:semiHidden/>
    <w:unhideWhenUsed/>
    <w:pPr>
      <w:pBdr/>
      <w:spacing w:after="0" w:line="240" w:lineRule="auto"/>
      <w:ind/>
    </w:pPr>
    <w:rPr>
      <w:sz w:val="20"/>
      <w:szCs w:val="20"/>
    </w:rPr>
  </w:style>
  <w:style w:type="character" w:styleId="987">
    <w:name w:val="Footnote Text Char"/>
    <w:basedOn w:val="1009"/>
    <w:link w:val="986"/>
    <w:uiPriority w:val="99"/>
    <w:semiHidden/>
    <w:pPr>
      <w:pBdr/>
      <w:spacing/>
      <w:ind/>
    </w:pPr>
    <w:rPr>
      <w:sz w:val="20"/>
      <w:szCs w:val="20"/>
    </w:rPr>
  </w:style>
  <w:style w:type="character" w:styleId="988">
    <w:name w:val="footnote reference"/>
    <w:basedOn w:val="1009"/>
    <w:uiPriority w:val="99"/>
    <w:semiHidden/>
    <w:unhideWhenUsed/>
    <w:pPr>
      <w:pBdr/>
      <w:spacing/>
      <w:ind/>
    </w:pPr>
    <w:rPr>
      <w:vertAlign w:val="superscript"/>
    </w:rPr>
  </w:style>
  <w:style w:type="paragraph" w:styleId="989">
    <w:name w:val="endnote text"/>
    <w:basedOn w:val="1004"/>
    <w:link w:val="990"/>
    <w:uiPriority w:val="99"/>
    <w:semiHidden/>
    <w:unhideWhenUsed/>
    <w:pPr>
      <w:pBdr/>
      <w:spacing w:after="0" w:line="240" w:lineRule="auto"/>
      <w:ind/>
    </w:pPr>
    <w:rPr>
      <w:sz w:val="20"/>
      <w:szCs w:val="20"/>
    </w:rPr>
  </w:style>
  <w:style w:type="character" w:styleId="990">
    <w:name w:val="Endnote Text Char"/>
    <w:basedOn w:val="1009"/>
    <w:link w:val="989"/>
    <w:uiPriority w:val="99"/>
    <w:semiHidden/>
    <w:pPr>
      <w:pBdr/>
      <w:spacing/>
      <w:ind/>
    </w:pPr>
    <w:rPr>
      <w:sz w:val="20"/>
      <w:szCs w:val="20"/>
    </w:rPr>
  </w:style>
  <w:style w:type="character" w:styleId="991">
    <w:name w:val="endnote reference"/>
    <w:basedOn w:val="1009"/>
    <w:uiPriority w:val="99"/>
    <w:semiHidden/>
    <w:unhideWhenUsed/>
    <w:pPr>
      <w:pBdr/>
      <w:spacing/>
      <w:ind/>
    </w:pPr>
    <w:rPr>
      <w:vertAlign w:val="superscript"/>
    </w:rPr>
  </w:style>
  <w:style w:type="paragraph" w:styleId="992">
    <w:name w:val="toc 1"/>
    <w:basedOn w:val="1004"/>
    <w:next w:val="1004"/>
    <w:uiPriority w:val="39"/>
    <w:unhideWhenUsed/>
    <w:pPr>
      <w:pBdr/>
      <w:spacing w:after="100"/>
      <w:ind/>
    </w:pPr>
  </w:style>
  <w:style w:type="paragraph" w:styleId="993">
    <w:name w:val="toc 2"/>
    <w:basedOn w:val="1004"/>
    <w:next w:val="1004"/>
    <w:uiPriority w:val="39"/>
    <w:unhideWhenUsed/>
    <w:pPr>
      <w:pBdr/>
      <w:spacing w:after="100"/>
      <w:ind w:left="220"/>
    </w:pPr>
  </w:style>
  <w:style w:type="paragraph" w:styleId="994">
    <w:name w:val="toc 3"/>
    <w:basedOn w:val="1004"/>
    <w:next w:val="1004"/>
    <w:uiPriority w:val="39"/>
    <w:unhideWhenUsed/>
    <w:pPr>
      <w:pBdr/>
      <w:spacing w:after="100"/>
      <w:ind w:left="440"/>
    </w:pPr>
  </w:style>
  <w:style w:type="paragraph" w:styleId="995">
    <w:name w:val="toc 4"/>
    <w:basedOn w:val="1004"/>
    <w:next w:val="1004"/>
    <w:uiPriority w:val="39"/>
    <w:unhideWhenUsed/>
    <w:pPr>
      <w:pBdr/>
      <w:spacing w:after="100"/>
      <w:ind w:left="660"/>
    </w:pPr>
  </w:style>
  <w:style w:type="paragraph" w:styleId="996">
    <w:name w:val="toc 5"/>
    <w:basedOn w:val="1004"/>
    <w:next w:val="1004"/>
    <w:uiPriority w:val="39"/>
    <w:unhideWhenUsed/>
    <w:pPr>
      <w:pBdr/>
      <w:spacing w:after="100"/>
      <w:ind w:left="880"/>
    </w:pPr>
  </w:style>
  <w:style w:type="paragraph" w:styleId="997">
    <w:name w:val="toc 6"/>
    <w:basedOn w:val="1004"/>
    <w:next w:val="1004"/>
    <w:uiPriority w:val="39"/>
    <w:unhideWhenUsed/>
    <w:pPr>
      <w:pBdr/>
      <w:spacing w:after="100"/>
      <w:ind w:left="1100"/>
    </w:pPr>
  </w:style>
  <w:style w:type="paragraph" w:styleId="998">
    <w:name w:val="toc 7"/>
    <w:basedOn w:val="1004"/>
    <w:next w:val="1004"/>
    <w:uiPriority w:val="39"/>
    <w:unhideWhenUsed/>
    <w:pPr>
      <w:pBdr/>
      <w:spacing w:after="100"/>
      <w:ind w:left="1320"/>
    </w:pPr>
  </w:style>
  <w:style w:type="paragraph" w:styleId="999">
    <w:name w:val="toc 8"/>
    <w:basedOn w:val="1004"/>
    <w:next w:val="1004"/>
    <w:uiPriority w:val="39"/>
    <w:unhideWhenUsed/>
    <w:pPr>
      <w:pBdr/>
      <w:spacing w:after="100"/>
      <w:ind w:left="1540"/>
    </w:pPr>
  </w:style>
  <w:style w:type="paragraph" w:styleId="1000">
    <w:name w:val="toc 9"/>
    <w:basedOn w:val="1004"/>
    <w:next w:val="1004"/>
    <w:uiPriority w:val="39"/>
    <w:unhideWhenUsed/>
    <w:pPr>
      <w:pBdr/>
      <w:spacing w:after="100"/>
      <w:ind w:left="1760"/>
    </w:pPr>
  </w:style>
  <w:style w:type="character" w:styleId="1001">
    <w:name w:val="Placeholder Text"/>
    <w:basedOn w:val="1009"/>
    <w:uiPriority w:val="99"/>
    <w:semiHidden/>
    <w:pPr>
      <w:pBdr/>
      <w:spacing/>
      <w:ind/>
    </w:pPr>
    <w:rPr>
      <w:color w:val="666666"/>
    </w:rPr>
  </w:style>
  <w:style w:type="paragraph" w:styleId="1002">
    <w:name w:val="TOC Heading"/>
    <w:uiPriority w:val="39"/>
    <w:unhideWhenUsed/>
    <w:pPr>
      <w:pBdr/>
      <w:spacing/>
      <w:ind/>
    </w:pPr>
  </w:style>
  <w:style w:type="paragraph" w:styleId="1003">
    <w:name w:val="table of figures"/>
    <w:basedOn w:val="1004"/>
    <w:next w:val="1004"/>
    <w:uiPriority w:val="99"/>
    <w:unhideWhenUsed/>
    <w:pPr>
      <w:pBdr/>
      <w:spacing w:after="0" w:afterAutospacing="0"/>
      <w:ind/>
    </w:pPr>
  </w:style>
  <w:style w:type="paragraph" w:styleId="1004" w:default="1">
    <w:name w:val="Normal"/>
    <w:qFormat/>
    <w:pPr>
      <w:pBdr/>
      <w:spacing w:after="0" w:line="240" w:lineRule="auto"/>
      <w:ind/>
    </w:pPr>
    <w:rPr>
      <w:rFonts w:ascii="Times New Roman" w:hAnsi="Times New Roman" w:eastAsia="Times New Roman" w:cs="Times New Roman"/>
      <w:sz w:val="24"/>
      <w:szCs w:val="24"/>
    </w:rPr>
  </w:style>
  <w:style w:type="paragraph" w:styleId="1005">
    <w:name w:val="Heading 1"/>
    <w:basedOn w:val="1004"/>
    <w:next w:val="1004"/>
    <w:link w:val="1012"/>
    <w:qFormat/>
    <w:pPr>
      <w:keepNext w:val="true"/>
      <w:pBdr/>
      <w:spacing w:after="120" w:before="120"/>
      <w:ind/>
      <w:jc w:val="center"/>
      <w:outlineLvl w:val="0"/>
    </w:pPr>
    <w:rPr>
      <w:b/>
      <w:bCs/>
      <w:sz w:val="27"/>
      <w:szCs w:val="27"/>
    </w:rPr>
  </w:style>
  <w:style w:type="paragraph" w:styleId="1006">
    <w:name w:val="Heading 2"/>
    <w:basedOn w:val="1004"/>
    <w:next w:val="1004"/>
    <w:link w:val="101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7">
    <w:name w:val="Heading 3"/>
    <w:basedOn w:val="1004"/>
    <w:next w:val="1004"/>
    <w:link w:val="1014"/>
    <w:qFormat/>
    <w:pPr>
      <w:keepNext w:val="true"/>
      <w:pBdr/>
      <w:spacing w:before="60"/>
      <w:ind/>
      <w:outlineLvl w:val="2"/>
    </w:pPr>
    <w:rPr>
      <w:sz w:val="28"/>
      <w:szCs w:val="28"/>
    </w:rPr>
  </w:style>
  <w:style w:type="paragraph" w:styleId="1008">
    <w:name w:val="Heading 4"/>
    <w:basedOn w:val="1004"/>
    <w:next w:val="1004"/>
    <w:link w:val="1015"/>
    <w:qFormat/>
    <w:pPr>
      <w:keepNext w:val="true"/>
      <w:pBdr/>
      <w:spacing/>
      <w:ind/>
      <w:jc w:val="center"/>
      <w:outlineLvl w:val="3"/>
    </w:pPr>
    <w:rPr>
      <w:b/>
      <w:bCs/>
    </w:rPr>
  </w:style>
  <w:style w:type="character" w:styleId="1009" w:default="1">
    <w:name w:val="Default Paragraph Font"/>
    <w:uiPriority w:val="1"/>
    <w:semiHidden/>
    <w:unhideWhenUsed/>
    <w:pPr>
      <w:pBdr/>
      <w:spacing/>
      <w:ind/>
    </w:pPr>
  </w:style>
  <w:style w:type="table" w:styleId="101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1" w:default="1">
    <w:name w:val="No List"/>
    <w:uiPriority w:val="99"/>
    <w:semiHidden/>
    <w:unhideWhenUsed/>
    <w:pPr>
      <w:pBdr/>
      <w:spacing/>
      <w:ind/>
    </w:pPr>
  </w:style>
  <w:style w:type="character" w:styleId="1012" w:customStyle="1">
    <w:name w:val="Heading 1 Char"/>
    <w:basedOn w:val="1009"/>
    <w:link w:val="1005"/>
    <w:pPr>
      <w:pBdr/>
      <w:spacing/>
      <w:ind/>
    </w:pPr>
    <w:rPr>
      <w:rFonts w:ascii="Times New Roman" w:hAnsi="Times New Roman" w:eastAsia="Times New Roman" w:cs="Times New Roman"/>
      <w:b/>
      <w:bCs/>
      <w:sz w:val="27"/>
      <w:szCs w:val="27"/>
    </w:rPr>
  </w:style>
  <w:style w:type="character" w:styleId="1013" w:customStyle="1">
    <w:name w:val="Heading 2 Char"/>
    <w:basedOn w:val="1009"/>
    <w:link w:val="1006"/>
    <w:uiPriority w:val="9"/>
    <w:pPr>
      <w:pBdr/>
      <w:spacing/>
      <w:ind/>
    </w:pPr>
    <w:rPr>
      <w:rFonts w:asciiTheme="majorHAnsi" w:hAnsiTheme="majorHAnsi" w:eastAsiaTheme="majorEastAsia" w:cstheme="majorBidi"/>
      <w:color w:val="365f91" w:themeColor="accent1" w:themeShade="BF"/>
      <w:sz w:val="26"/>
      <w:szCs w:val="26"/>
    </w:rPr>
  </w:style>
  <w:style w:type="character" w:styleId="1014" w:customStyle="1">
    <w:name w:val="Heading 3 Char"/>
    <w:basedOn w:val="1009"/>
    <w:link w:val="1007"/>
    <w:pPr>
      <w:pBdr/>
      <w:spacing/>
      <w:ind/>
    </w:pPr>
    <w:rPr>
      <w:rFonts w:ascii="Times New Roman" w:hAnsi="Times New Roman" w:eastAsia="Times New Roman" w:cs="Times New Roman"/>
      <w:sz w:val="28"/>
      <w:szCs w:val="28"/>
    </w:rPr>
  </w:style>
  <w:style w:type="character" w:styleId="1015" w:customStyle="1">
    <w:name w:val="Heading 4 Char"/>
    <w:basedOn w:val="1009"/>
    <w:link w:val="1008"/>
    <w:pPr>
      <w:pBdr/>
      <w:spacing/>
      <w:ind/>
    </w:pPr>
    <w:rPr>
      <w:rFonts w:ascii="Times New Roman" w:hAnsi="Times New Roman" w:eastAsia="Times New Roman" w:cs="Times New Roman"/>
      <w:b/>
      <w:bCs/>
      <w:sz w:val="24"/>
      <w:szCs w:val="24"/>
    </w:rPr>
  </w:style>
  <w:style w:type="character" w:styleId="1016">
    <w:name w:val="Hyperlink"/>
    <w:uiPriority w:val="99"/>
    <w:pPr>
      <w:pBdr/>
      <w:spacing/>
      <w:ind/>
    </w:pPr>
    <w:rPr>
      <w:color w:val="000000"/>
      <w:u w:val="single"/>
    </w:rPr>
  </w:style>
  <w:style w:type="character" w:styleId="1017">
    <w:name w:val="Strong"/>
    <w:uiPriority w:val="22"/>
    <w:qFormat/>
    <w:pPr>
      <w:pBdr/>
      <w:spacing/>
      <w:ind/>
    </w:pPr>
    <w:rPr>
      <w:b/>
      <w:bCs/>
    </w:rPr>
  </w:style>
  <w:style w:type="paragraph" w:styleId="1018">
    <w:name w:val="Balloon Text"/>
    <w:basedOn w:val="1004"/>
    <w:link w:val="1019"/>
    <w:uiPriority w:val="99"/>
    <w:semiHidden/>
    <w:unhideWhenUsed/>
    <w:pPr>
      <w:pBdr/>
      <w:spacing/>
      <w:ind/>
    </w:pPr>
    <w:rPr>
      <w:rFonts w:ascii="Tahoma" w:hAnsi="Tahoma" w:cs="Tahoma"/>
      <w:sz w:val="16"/>
      <w:szCs w:val="16"/>
    </w:rPr>
  </w:style>
  <w:style w:type="character" w:styleId="1019" w:customStyle="1">
    <w:name w:val="Balloon Text Char"/>
    <w:basedOn w:val="1009"/>
    <w:link w:val="1018"/>
    <w:uiPriority w:val="99"/>
    <w:semiHidden/>
    <w:pPr>
      <w:pBdr/>
      <w:spacing/>
      <w:ind/>
    </w:pPr>
    <w:rPr>
      <w:rFonts w:ascii="Tahoma" w:hAnsi="Tahoma" w:eastAsia="Times New Roman" w:cs="Tahoma"/>
      <w:sz w:val="16"/>
      <w:szCs w:val="16"/>
    </w:rPr>
  </w:style>
  <w:style w:type="paragraph" w:styleId="1020">
    <w:name w:val="Header"/>
    <w:basedOn w:val="1004"/>
    <w:link w:val="1021"/>
    <w:unhideWhenUsed/>
    <w:pPr>
      <w:pBdr/>
      <w:tabs>
        <w:tab w:val="center" w:leader="none" w:pos="4680"/>
        <w:tab w:val="right" w:leader="none" w:pos="9360"/>
      </w:tabs>
      <w:spacing/>
      <w:ind/>
    </w:pPr>
  </w:style>
  <w:style w:type="character" w:styleId="1021" w:customStyle="1">
    <w:name w:val="Header Char"/>
    <w:basedOn w:val="1009"/>
    <w:link w:val="1020"/>
    <w:pPr>
      <w:pBdr/>
      <w:spacing/>
      <w:ind/>
    </w:pPr>
    <w:rPr>
      <w:rFonts w:ascii="Times New Roman" w:hAnsi="Times New Roman" w:eastAsia="Times New Roman" w:cs="Times New Roman"/>
      <w:sz w:val="24"/>
      <w:szCs w:val="24"/>
    </w:rPr>
  </w:style>
  <w:style w:type="paragraph" w:styleId="1022">
    <w:name w:val="Footer"/>
    <w:basedOn w:val="1004"/>
    <w:link w:val="1023"/>
    <w:uiPriority w:val="99"/>
    <w:unhideWhenUsed/>
    <w:pPr>
      <w:pBdr/>
      <w:tabs>
        <w:tab w:val="center" w:leader="none" w:pos="4680"/>
        <w:tab w:val="right" w:leader="none" w:pos="9360"/>
      </w:tabs>
      <w:spacing/>
      <w:ind/>
    </w:pPr>
  </w:style>
  <w:style w:type="character" w:styleId="1023" w:customStyle="1">
    <w:name w:val="Footer Char"/>
    <w:basedOn w:val="1009"/>
    <w:link w:val="1022"/>
    <w:uiPriority w:val="99"/>
    <w:pPr>
      <w:pBdr/>
      <w:spacing/>
      <w:ind/>
    </w:pPr>
    <w:rPr>
      <w:rFonts w:ascii="Times New Roman" w:hAnsi="Times New Roman" w:eastAsia="Times New Roman" w:cs="Times New Roman"/>
      <w:sz w:val="24"/>
      <w:szCs w:val="24"/>
    </w:rPr>
  </w:style>
  <w:style w:type="character" w:styleId="1024" w:customStyle="1">
    <w:name w:val="normal-h1"/>
    <w:pPr>
      <w:pBdr/>
      <w:spacing/>
      <w:ind/>
    </w:pPr>
    <w:rPr>
      <w:rFonts w:hint="default" w:ascii=".VnTime" w:hAnsi=".VnTime"/>
      <w:color w:val="0000ff"/>
      <w:sz w:val="24"/>
      <w:szCs w:val="24"/>
    </w:rPr>
  </w:style>
  <w:style w:type="paragraph" w:styleId="1025" w:customStyle="1">
    <w:name w:val="normal-p"/>
    <w:basedOn w:val="1004"/>
    <w:pPr>
      <w:pBdr/>
      <w:spacing/>
      <w:ind/>
      <w:jc w:val="both"/>
    </w:pPr>
    <w:rPr>
      <w:sz w:val="20"/>
      <w:szCs w:val="20"/>
    </w:rPr>
  </w:style>
  <w:style w:type="paragraph" w:styleId="1026">
    <w:name w:val="List Paragraph"/>
    <w:basedOn w:val="1004"/>
    <w:link w:val="1113"/>
    <w:uiPriority w:val="34"/>
    <w:qFormat/>
    <w:pPr>
      <w:pBdr/>
      <w:spacing/>
      <w:ind w:left="720"/>
    </w:pPr>
  </w:style>
  <w:style w:type="paragraph" w:styleId="1027">
    <w:name w:val="Normal (Web)"/>
    <w:basedOn w:val="1004"/>
    <w:uiPriority w:val="99"/>
    <w:pPr>
      <w:pBdr/>
      <w:spacing w:after="100" w:afterAutospacing="1" w:before="100" w:beforeAutospacing="1"/>
      <w:ind/>
    </w:pPr>
  </w:style>
  <w:style w:type="paragraph" w:styleId="1028">
    <w:name w:val="Body Text"/>
    <w:basedOn w:val="1004"/>
    <w:link w:val="1029"/>
    <w:pPr>
      <w:pBdr/>
      <w:spacing w:after="120"/>
      <w:ind/>
      <w:jc w:val="both"/>
    </w:pPr>
  </w:style>
  <w:style w:type="character" w:styleId="1029" w:customStyle="1">
    <w:name w:val="Body Text Char"/>
    <w:basedOn w:val="1009"/>
    <w:link w:val="1028"/>
    <w:pPr>
      <w:pBdr/>
      <w:spacing/>
      <w:ind/>
    </w:pPr>
    <w:rPr>
      <w:rFonts w:ascii="Times New Roman" w:hAnsi="Times New Roman" w:eastAsia="Times New Roman" w:cs="Times New Roman"/>
      <w:sz w:val="24"/>
      <w:szCs w:val="24"/>
    </w:rPr>
  </w:style>
  <w:style w:type="table" w:styleId="1030">
    <w:name w:val="Table Grid"/>
    <w:basedOn w:val="101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2">
    <w:name w:val="annotation reference"/>
    <w:basedOn w:val="1009"/>
    <w:uiPriority w:val="99"/>
    <w:semiHidden/>
    <w:unhideWhenUsed/>
    <w:pPr>
      <w:pBdr/>
      <w:spacing/>
      <w:ind/>
    </w:pPr>
    <w:rPr>
      <w:sz w:val="16"/>
      <w:szCs w:val="16"/>
    </w:rPr>
  </w:style>
  <w:style w:type="paragraph" w:styleId="1033">
    <w:name w:val="annotation text"/>
    <w:basedOn w:val="1004"/>
    <w:link w:val="1034"/>
    <w:uiPriority w:val="99"/>
    <w:unhideWhenUsed/>
    <w:pPr>
      <w:pBdr/>
      <w:spacing/>
      <w:ind/>
    </w:pPr>
    <w:rPr>
      <w:sz w:val="20"/>
      <w:szCs w:val="20"/>
    </w:rPr>
  </w:style>
  <w:style w:type="character" w:styleId="1034" w:customStyle="1">
    <w:name w:val="Comment Text Char"/>
    <w:basedOn w:val="1009"/>
    <w:link w:val="1033"/>
    <w:uiPriority w:val="99"/>
    <w:pPr>
      <w:pBdr/>
      <w:spacing/>
      <w:ind/>
    </w:pPr>
    <w:rPr>
      <w:rFonts w:ascii="Times New Roman" w:hAnsi="Times New Roman" w:eastAsia="Times New Roman" w:cs="Times New Roman"/>
      <w:sz w:val="20"/>
      <w:szCs w:val="20"/>
    </w:rPr>
  </w:style>
  <w:style w:type="paragraph" w:styleId="1035">
    <w:name w:val="annotation subject"/>
    <w:basedOn w:val="1033"/>
    <w:next w:val="1033"/>
    <w:link w:val="1036"/>
    <w:uiPriority w:val="99"/>
    <w:semiHidden/>
    <w:unhideWhenUsed/>
    <w:pPr>
      <w:pBdr/>
      <w:spacing/>
      <w:ind/>
    </w:pPr>
    <w:rPr>
      <w:b/>
      <w:bCs/>
    </w:rPr>
  </w:style>
  <w:style w:type="character" w:styleId="1036" w:customStyle="1">
    <w:name w:val="Comment Subject Char"/>
    <w:basedOn w:val="1034"/>
    <w:link w:val="1035"/>
    <w:uiPriority w:val="99"/>
    <w:semiHidden/>
    <w:pPr>
      <w:pBdr/>
      <w:spacing/>
      <w:ind/>
    </w:pPr>
    <w:rPr>
      <w:rFonts w:ascii="Times New Roman" w:hAnsi="Times New Roman" w:eastAsia="Times New Roman" w:cs="Times New Roman"/>
      <w:b/>
      <w:bCs/>
      <w:sz w:val="20"/>
      <w:szCs w:val="20"/>
    </w:rPr>
  </w:style>
  <w:style w:type="paragraph" w:styleId="1037" w:customStyle="1">
    <w:name w:val="font5"/>
    <w:basedOn w:val="1004"/>
    <w:pPr>
      <w:pBdr/>
      <w:spacing w:after="100" w:afterAutospacing="1" w:before="100" w:beforeAutospacing="1"/>
      <w:ind/>
    </w:pPr>
    <w:rPr>
      <w:rFonts w:ascii="Tahoma" w:hAnsi="Tahoma" w:cs="Tahoma"/>
      <w:color w:val="000000"/>
      <w:sz w:val="18"/>
      <w:szCs w:val="18"/>
    </w:rPr>
  </w:style>
  <w:style w:type="paragraph" w:styleId="1038" w:customStyle="1">
    <w:name w:val="font6"/>
    <w:basedOn w:val="1004"/>
    <w:pPr>
      <w:pBdr/>
      <w:spacing w:after="100" w:afterAutospacing="1" w:before="100" w:beforeAutospacing="1"/>
      <w:ind/>
    </w:pPr>
    <w:rPr>
      <w:rFonts w:ascii="Tahoma" w:hAnsi="Tahoma" w:cs="Tahoma"/>
      <w:b/>
      <w:bCs/>
      <w:color w:val="000000"/>
      <w:sz w:val="18"/>
      <w:szCs w:val="18"/>
    </w:rPr>
  </w:style>
  <w:style w:type="paragraph" w:styleId="1039" w:customStyle="1">
    <w:name w:val="xl233"/>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0" w:customStyle="1">
    <w:name w:val="xl234"/>
    <w:basedOn w:val="1004"/>
    <w:pPr>
      <w:pBdr/>
      <w:spacing w:after="100" w:afterAutospacing="1" w:before="100" w:beforeAutospacing="1"/>
      <w:ind/>
      <w:jc w:val="center"/>
    </w:pPr>
  </w:style>
  <w:style w:type="paragraph" w:styleId="1041" w:customStyle="1">
    <w:name w:val="xl235"/>
    <w:basedOn w:val="1004"/>
    <w:pPr>
      <w:pBdr/>
      <w:spacing w:after="100" w:afterAutospacing="1" w:before="100" w:beforeAutospacing="1"/>
      <w:ind/>
      <w:jc w:val="center"/>
    </w:pPr>
    <w:rPr>
      <w:b/>
      <w:bCs/>
    </w:rPr>
  </w:style>
  <w:style w:type="paragraph" w:styleId="1042" w:customStyle="1">
    <w:name w:val="xl236"/>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3" w:customStyle="1">
    <w:name w:val="xl237"/>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4" w:customStyle="1">
    <w:name w:val="xl238"/>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5" w:customStyle="1">
    <w:name w:val="xl23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6" w:customStyle="1">
    <w:name w:val="xl240"/>
    <w:basedOn w:val="1004"/>
    <w:pPr>
      <w:pBdr/>
      <w:spacing w:after="100" w:afterAutospacing="1" w:before="100" w:beforeAutospacing="1"/>
      <w:ind/>
    </w:pPr>
  </w:style>
  <w:style w:type="paragraph" w:styleId="1047" w:customStyle="1">
    <w:name w:val="xl241"/>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8" w:customStyle="1">
    <w:name w:val="xl242"/>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9" w:customStyle="1">
    <w:name w:val="xl243"/>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0" w:customStyle="1">
    <w:name w:val="xl244"/>
    <w:basedOn w:val="1004"/>
    <w:pPr>
      <w:pBdr/>
      <w:spacing w:after="100" w:afterAutospacing="1" w:before="100" w:beforeAutospacing="1"/>
      <w:ind/>
    </w:pPr>
    <w:rPr>
      <w:b/>
      <w:bCs/>
    </w:rPr>
  </w:style>
  <w:style w:type="paragraph" w:styleId="1051" w:customStyle="1">
    <w:name w:val="xl245"/>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6"/>
    <w:basedOn w:val="100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3" w:customStyle="1">
    <w:name w:val="xl247"/>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48"/>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5" w:customStyle="1">
    <w:name w:val="xl24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6" w:customStyle="1">
    <w:name w:val="xl250"/>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7" w:customStyle="1">
    <w:name w:val="xl251"/>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52"/>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3"/>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4"/>
    <w:basedOn w:val="100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5"/>
    <w:basedOn w:val="100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6"/>
    <w:basedOn w:val="100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7"/>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8"/>
    <w:basedOn w:val="100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0"/>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1"/>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8" w:customStyle="1">
    <w:name w:val="xl262"/>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9" w:customStyle="1">
    <w:name w:val="xl263"/>
    <w:basedOn w:val="1004"/>
    <w:pPr>
      <w:pBdr/>
      <w:shd w:val="clear" w:color="000000" w:fill="ffffff"/>
      <w:spacing w:after="100" w:afterAutospacing="1" w:before="100" w:beforeAutospacing="1"/>
      <w:ind/>
    </w:pPr>
  </w:style>
  <w:style w:type="paragraph" w:styleId="1070" w:customStyle="1">
    <w:name w:val="xl264"/>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5"/>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2" w:customStyle="1">
    <w:name w:val="xl266"/>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3" w:customStyle="1">
    <w:name w:val="xl267"/>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68"/>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69"/>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70"/>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7" w:customStyle="1">
    <w:name w:val="xl271"/>
    <w:basedOn w:val="100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8" w:customStyle="1">
    <w:name w:val="xl272"/>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9" w:customStyle="1">
    <w:name w:val="xl273"/>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0" w:customStyle="1">
    <w:name w:val="xl274"/>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1" w:customStyle="1">
    <w:name w:val="xl275"/>
    <w:basedOn w:val="1004"/>
    <w:pPr>
      <w:pBdr/>
      <w:spacing w:after="100" w:afterAutospacing="1" w:before="100" w:beforeAutospacing="1"/>
      <w:ind/>
    </w:pPr>
  </w:style>
  <w:style w:type="paragraph" w:styleId="1082" w:customStyle="1">
    <w:name w:val="xl276"/>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3" w:customStyle="1">
    <w:name w:val="xl277"/>
    <w:basedOn w:val="100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4" w:customStyle="1">
    <w:name w:val="xl278"/>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7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80"/>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7" w:customStyle="1">
    <w:name w:val="xl281"/>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8" w:customStyle="1">
    <w:name w:val="xl282"/>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9" w:customStyle="1">
    <w:name w:val="xl283"/>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4"/>
    <w:basedOn w:val="1004"/>
    <w:pPr>
      <w:pBdr>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5"/>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6"/>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87"/>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8"/>
    <w:basedOn w:val="1004"/>
    <w:pPr>
      <w:pBdr>
        <w:top w:val="single" w:color="000000" w:sz="4" w:space="0"/>
        <w:left w:val="single" w:color="000000" w:sz="4" w:space="0"/>
        <w:right w:val="single" w:color="000000" w:sz="4" w:space="0"/>
      </w:pBdr>
      <w:spacing w:after="100" w:afterAutospacing="1" w:before="100" w:beforeAutospacing="1"/>
      <w:ind/>
    </w:pPr>
  </w:style>
  <w:style w:type="paragraph" w:styleId="1095" w:customStyle="1">
    <w:name w:val="xl289"/>
    <w:basedOn w:val="1004"/>
    <w:pPr>
      <w:pBdr>
        <w:left w:val="single" w:color="000000" w:sz="4" w:space="0"/>
        <w:right w:val="single" w:color="000000" w:sz="4" w:space="0"/>
      </w:pBdr>
      <w:spacing w:after="100" w:afterAutospacing="1" w:before="100" w:beforeAutospacing="1"/>
      <w:ind/>
    </w:pPr>
    <w:rPr>
      <w:b/>
      <w:bCs/>
    </w:rPr>
  </w:style>
  <w:style w:type="paragraph" w:styleId="1096" w:customStyle="1">
    <w:name w:val="xl290"/>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7" w:customStyle="1">
    <w:name w:val="xl291"/>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8" w:customStyle="1">
    <w:name w:val="xl292"/>
    <w:basedOn w:val="1004"/>
    <w:pPr>
      <w:pBdr>
        <w:top w:val="single" w:color="000000" w:sz="4" w:space="0"/>
        <w:left w:val="single" w:color="000000" w:sz="4" w:space="0"/>
        <w:right w:val="single" w:color="000000" w:sz="4" w:space="0"/>
      </w:pBdr>
      <w:spacing w:after="100" w:afterAutospacing="1" w:before="100" w:beforeAutospacing="1"/>
      <w:ind/>
    </w:pPr>
  </w:style>
  <w:style w:type="paragraph" w:styleId="1099" w:customStyle="1">
    <w:name w:val="xl293"/>
    <w:basedOn w:val="1004"/>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94"/>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1">
    <w:name w:val="Title"/>
    <w:basedOn w:val="1004"/>
    <w:link w:val="1102"/>
    <w:qFormat/>
    <w:pPr>
      <w:pBdr/>
      <w:spacing/>
      <w:ind/>
      <w:jc w:val="center"/>
    </w:pPr>
    <w:rPr>
      <w:b/>
      <w:bCs/>
      <w:sz w:val="32"/>
      <w:szCs w:val="26"/>
    </w:rPr>
  </w:style>
  <w:style w:type="character" w:styleId="1102" w:customStyle="1">
    <w:name w:val="Title Char"/>
    <w:basedOn w:val="1009"/>
    <w:link w:val="1101"/>
    <w:pPr>
      <w:pBdr/>
      <w:spacing/>
      <w:ind/>
    </w:pPr>
    <w:rPr>
      <w:rFonts w:ascii="Times New Roman" w:hAnsi="Times New Roman" w:eastAsia="Times New Roman" w:cs="Times New Roman"/>
      <w:b/>
      <w:bCs/>
      <w:sz w:val="32"/>
      <w:szCs w:val="26"/>
    </w:rPr>
  </w:style>
  <w:style w:type="character" w:styleId="1103" w:customStyle="1">
    <w:name w:val="Unresolved Mention1"/>
    <w:basedOn w:val="1009"/>
    <w:uiPriority w:val="99"/>
    <w:semiHidden/>
    <w:unhideWhenUsed/>
    <w:pPr>
      <w:pBdr/>
      <w:spacing/>
      <w:ind/>
    </w:pPr>
    <w:rPr>
      <w:color w:val="605e5c"/>
      <w:shd w:val="clear" w:color="auto" w:fill="e1dfdd"/>
    </w:rPr>
  </w:style>
  <w:style w:type="character" w:styleId="1104" w:customStyle="1">
    <w:name w:val="Body text (3)_"/>
    <w:link w:val="1105"/>
    <w:pPr>
      <w:pBdr/>
      <w:spacing/>
      <w:ind/>
    </w:pPr>
    <w:rPr>
      <w:rFonts w:ascii="Times New Roman" w:hAnsi="Times New Roman" w:cs="Times New Roman"/>
      <w:i/>
      <w:iCs/>
      <w:spacing w:val="4"/>
      <w:shd w:val="clear" w:color="auto" w:fill="ffffff"/>
    </w:rPr>
  </w:style>
  <w:style w:type="paragraph" w:styleId="1105" w:customStyle="1">
    <w:name w:val="Body text (3)1"/>
    <w:basedOn w:val="1004"/>
    <w:link w:val="110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6" w:customStyle="1">
    <w:name w:val="t-j"/>
    <w:basedOn w:val="1004"/>
    <w:pPr>
      <w:pBdr/>
      <w:spacing w:after="100" w:afterAutospacing="1" w:before="100" w:beforeAutospacing="1"/>
      <w:ind/>
    </w:pPr>
  </w:style>
  <w:style w:type="character" w:styleId="1107" w:customStyle="1">
    <w:name w:val="Unresolved Mention2"/>
    <w:basedOn w:val="1009"/>
    <w:uiPriority w:val="99"/>
    <w:semiHidden/>
    <w:unhideWhenUsed/>
    <w:pPr>
      <w:pBdr/>
      <w:spacing/>
      <w:ind/>
    </w:pPr>
    <w:rPr>
      <w:color w:val="605e5c"/>
      <w:shd w:val="clear" w:color="auto" w:fill="e1dfdd"/>
    </w:rPr>
  </w:style>
  <w:style w:type="character" w:styleId="1108">
    <w:name w:val="FollowedHyperlink"/>
    <w:basedOn w:val="1009"/>
    <w:uiPriority w:val="99"/>
    <w:semiHidden/>
    <w:unhideWhenUsed/>
    <w:pPr>
      <w:pBdr/>
      <w:spacing/>
      <w:ind/>
    </w:pPr>
    <w:rPr>
      <w:color w:val="800080" w:themeColor="followedHyperlink"/>
      <w:u w:val="single"/>
    </w:rPr>
  </w:style>
  <w:style w:type="character" w:styleId="1109" w:customStyle="1">
    <w:name w:val="text"/>
    <w:basedOn w:val="1009"/>
    <w:pPr>
      <w:pBdr/>
      <w:spacing/>
      <w:ind/>
    </w:pPr>
  </w:style>
  <w:style w:type="character" w:styleId="1110" w:customStyle="1">
    <w:name w:val="card-send-time__sendtime"/>
    <w:basedOn w:val="1009"/>
    <w:pPr>
      <w:pBdr/>
      <w:spacing/>
      <w:ind/>
    </w:pPr>
  </w:style>
  <w:style w:type="character" w:styleId="1111" w:customStyle="1">
    <w:name w:val="Đề cập Chưa giải quyết1"/>
    <w:basedOn w:val="1009"/>
    <w:uiPriority w:val="99"/>
    <w:semiHidden/>
    <w:unhideWhenUsed/>
    <w:pPr>
      <w:pBdr/>
      <w:spacing/>
      <w:ind/>
    </w:pPr>
    <w:rPr>
      <w:color w:val="605e5c"/>
      <w:shd w:val="clear" w:color="auto" w:fill="e1dfdd"/>
    </w:rPr>
  </w:style>
  <w:style w:type="paragraph" w:styleId="1112" w:customStyle="1">
    <w:name w:val="nqtitle"/>
    <w:basedOn w:val="1004"/>
    <w:pPr>
      <w:pBdr/>
      <w:spacing w:after="100" w:afterAutospacing="1" w:before="100" w:beforeAutospacing="1"/>
      <w:ind/>
    </w:pPr>
    <w:rPr>
      <w:lang w:val="vi-VN" w:eastAsia="vi-VN"/>
    </w:rPr>
  </w:style>
  <w:style w:type="character" w:styleId="1113" w:customStyle="1">
    <w:name w:val="List Paragraph Char"/>
    <w:link w:val="1026"/>
    <w:uiPriority w:val="34"/>
    <w:qFormat/>
    <w:pPr>
      <w:pBdr/>
      <w:spacing/>
      <w:ind/>
    </w:pPr>
    <w:rPr>
      <w:rFonts w:ascii="Times New Roman" w:hAnsi="Times New Roman" w:eastAsia="Times New Roman" w:cs="Times New Roman"/>
      <w:sz w:val="24"/>
      <w:szCs w:val="24"/>
    </w:rPr>
  </w:style>
  <w:style w:type="character" w:styleId="1114" w:customStyle="1">
    <w:name w:val="Đề cập Chưa giải quyết2"/>
    <w:basedOn w:val="1009"/>
    <w:uiPriority w:val="99"/>
    <w:semiHidden/>
    <w:unhideWhenUsed/>
    <w:pPr>
      <w:pBdr/>
      <w:spacing/>
      <w:ind/>
    </w:pPr>
    <w:rPr>
      <w:color w:val="605e5c"/>
      <w:shd w:val="clear" w:color="auto" w:fill="e1dfdd"/>
    </w:rPr>
  </w:style>
  <w:style w:type="character" w:styleId="1115" w:customStyle="1">
    <w:name w:val="Unresolved Mention3"/>
    <w:basedOn w:val="1009"/>
    <w:uiPriority w:val="99"/>
    <w:semiHidden/>
    <w:unhideWhenUsed/>
    <w:pPr>
      <w:pBdr/>
      <w:spacing/>
      <w:ind/>
    </w:pPr>
    <w:rPr>
      <w:color w:val="605e5c"/>
      <w:shd w:val="clear" w:color="auto" w:fill="e1dfdd"/>
    </w:rPr>
  </w:style>
  <w:style w:type="character" w:styleId="1116" w:customStyle="1">
    <w:name w:val="copy"/>
    <w:basedOn w:val="1009"/>
    <w:pPr>
      <w:pBdr/>
      <w:spacing/>
      <w:ind/>
    </w:pPr>
  </w:style>
  <w:style w:type="paragraph" w:styleId="1117" w:customStyle="1">
    <w:name w:val="align-justify"/>
    <w:basedOn w:val="1004"/>
    <w:pPr>
      <w:pBdr/>
      <w:spacing w:after="100" w:afterAutospacing="1" w:before="100" w:beforeAutospacing="1"/>
      <w:ind/>
    </w:pPr>
  </w:style>
  <w:style w:type="character" w:styleId="1118" w:customStyle="1">
    <w:name w:val="btn"/>
    <w:basedOn w:val="1009"/>
    <w:pPr>
      <w:pBdr/>
      <w:spacing/>
      <w:ind/>
    </w:pPr>
  </w:style>
  <w:style w:type="character" w:styleId="1119" w:customStyle="1">
    <w:name w:val="hide_mobile"/>
    <w:basedOn w:val="1009"/>
    <w:pPr>
      <w:pBdr/>
      <w:spacing/>
      <w:ind/>
    </w:pPr>
  </w:style>
  <w:style w:type="character" w:styleId="1120">
    <w:name w:val="Emphasis"/>
    <w:basedOn w:val="1009"/>
    <w:uiPriority w:val="20"/>
    <w:qFormat/>
    <w:pPr>
      <w:pBdr/>
      <w:spacing/>
      <w:ind/>
    </w:pPr>
    <w:rPr>
      <w:i/>
      <w:iCs/>
    </w:rPr>
  </w:style>
  <w:style w:type="character" w:styleId="1121" w:customStyle="1">
    <w:name w:val="t1"/>
    <w:basedOn w:val="1009"/>
    <w:pPr>
      <w:pBdr/>
      <w:spacing/>
      <w:ind/>
    </w:pPr>
  </w:style>
  <w:style w:type="character" w:styleId="1122" w:customStyle="1">
    <w:name w:val="Unresolved Mention4"/>
    <w:basedOn w:val="1009"/>
    <w:uiPriority w:val="99"/>
    <w:semiHidden/>
    <w:unhideWhenUsed/>
    <w:pPr>
      <w:pBdr/>
      <w:spacing/>
      <w:ind/>
    </w:pPr>
    <w:rPr>
      <w:color w:val="605e5c"/>
      <w:shd w:val="clear" w:color="auto" w:fill="e1dfdd"/>
    </w:rPr>
  </w:style>
  <w:style w:type="character" w:styleId="1123">
    <w:name w:val="Unresolved Mention"/>
    <w:basedOn w:val="100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 Id="rId39" Type="http://schemas.openxmlformats.org/officeDocument/2006/relationships/image" Target="media/image25.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Chu Thế Hiển</cp:lastModifiedBy>
  <cp:revision>272</cp:revision>
  <dcterms:created xsi:type="dcterms:W3CDTF">2025-09-15T09:58:00Z</dcterms:created>
  <dcterms:modified xsi:type="dcterms:W3CDTF">2026-01-24T01:17:33Z</dcterms:modified>
</cp:coreProperties>
</file>