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6016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016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275/2025/0219/VFI-CT.21.A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NGUYỄN THANH THUỶ</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Giá trị quyền sử dụng đất tại thửa đất số: 339, tờ bản đồ số 28 bản đồ địa chính xã Hoằng Tiến đo đạc năm 2015 có địa chỉ: Thôn Tiền Thôn, xã Hoằng Tiến, huyện Hoằng Hoá, tỉnh Thanh Hoá </w:t>
                            </w:r>
                            <w:r>
                              <w:rPr>
                                <w:i/>
                                <w:iCs/>
                                <w:color w:val="000000"/>
                              </w:rPr>
                              <w:t xml:space="preserve">(Nay là xã Hoằng Tiến, tỉnh Thanh Hoá)</w:t>
                            </w:r>
                            <w:r>
                              <w:rPr>
                                <w:color w:val="000000"/>
                              </w:rPr>
                              <w:t xml:space="preserve"> theo Giấy chứng nhận quyền sử dụ</w:t>
                            </w:r>
                            <w:r>
                              <w:rPr>
                                <w:color w:val="000000"/>
                              </w:rPr>
                              <w:t xml:space="preserve">ng đất quyền sở hữu nhà ở và tài sản khác gắn liền với đất số: DD 847531, số vào sổ cấp GCN: CS 03307 do Sở Tài nguyên và Môi trường tỉnh Thanh Hoá cấp ngày 22/02/2022; Chủ sử dụng đất là Ông Đỗ Văn Hùng và vợ bà Nguyễn Thanh Thuỷ</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3.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275/2025/0219/VFI-CT.21.A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BÀ NGUYỄN THANH THUỶ</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Giá trị quyền sử dụng đất tại thửa đất số: 339, tờ bản đồ số 28 bản đồ địa chính xã Hoằng Tiến đo đạc năm 2015 có địa chỉ: Thôn Tiền Thôn, xã Hoằng Tiến, huyện Hoằng Hoá, tỉnh Thanh Hoá </w:t>
                      </w:r>
                      <w:r>
                        <w:rPr>
                          <w:i/>
                          <w:iCs/>
                          <w:color w:val="000000"/>
                        </w:rPr>
                        <w:t xml:space="preserve">(Nay là xã Hoằng Tiến, tỉnh Thanh Hoá)</w:t>
                      </w:r>
                      <w:r>
                        <w:rPr>
                          <w:color w:val="000000"/>
                        </w:rPr>
                        <w:t xml:space="preserve"> theo Giấy chứng nhận quyền sử dụ</w:t>
                      </w:r>
                      <w:r>
                        <w:rPr>
                          <w:color w:val="000000"/>
                        </w:rPr>
                        <w:t xml:space="preserve">ng đất quyền sở hữu nhà ở và tài sản khác gắn liền với đất số: DD 847531, số vào sổ cấp GCN: CS 03307 do Sở Tài nguyên và Môi trường tỉnh Thanh Hoá cấp ngày 22/02/2022; Chủ sử dụng đất là Ông Đỗ Văn Hùng và vợ bà Nguyễn Thanh Thuỷ</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4-18</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w:t>
            </w:r>
            <w:r>
              <w:rPr>
                <w:b/>
                <w:bCs/>
              </w:rPr>
            </w:r>
            <w:r>
              <w:rPr>
                <w:b/>
                <w:bCs/>
              </w:rPr>
            </w:r>
          </w:p>
        </w:tc>
      </w:tr>
      <w:tr>
        <w:trPr/>
        <w:tc>
          <w:tcPr>
            <w:tcBorders/>
            <w:tcMar>
              <w:left w:w="108" w:type="dxa"/>
              <w:right w:w="108" w:type="dxa"/>
            </w:tcMar>
            <w:tcW w:w="7280" w:type="dxa"/>
            <w:vAlign w:val="center"/>
            <w:textDirection w:val="lrTb"/>
            <w:noWrap w:val="false"/>
          </w:tcPr>
          <w:p>
            <w:pPr>
              <w:pStyle w:val="102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20-22</w:t>
            </w:r>
            <w:r>
              <w:rPr>
                <w:b/>
                <w:bCs/>
              </w:rPr>
            </w:r>
            <w:r>
              <w:rPr>
                <w:b/>
                <w:bCs/>
              </w:rPr>
            </w:r>
          </w:p>
        </w:tc>
      </w:tr>
    </w:tbl>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67" w:type="dxa"/>
        <w:tblBorders/>
        <w:tblLayout w:type="fixed"/>
        <w:tblLook w:val="04A0" w:firstRow="1" w:lastRow="0" w:firstColumn="1" w:lastColumn="0" w:noHBand="0" w:noVBand="1"/>
      </w:tblPr>
      <w:tblGrid>
        <w:gridCol w:w="29"/>
        <w:gridCol w:w="1701"/>
        <w:gridCol w:w="8137"/>
      </w:tblGrid>
      <w:tr>
        <w:trPr>
          <w:trHeight w:val="1361"/>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813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394"/>
        </w:trPr>
        <w:tc>
          <w:tcPr>
            <w:gridSpan w:val="2"/>
            <w:shd w:val="clear" w:color="auto" w:fill="auto"/>
            <w:tcBorders/>
            <w:tcMar>
              <w:left w:w="108" w:type="dxa"/>
              <w:top w:w="0" w:type="dxa"/>
              <w:right w:w="108" w:type="dxa"/>
              <w:bottom w:w="0" w:type="dxa"/>
            </w:tcMar>
            <w:tcW w:w="9838" w:type="dxa"/>
            <w:textDirection w:val="lrTb"/>
            <w:noWrap w:val="false"/>
          </w:tcPr>
          <w:p>
            <w:pPr>
              <w:pStyle w:val="1025"/>
              <w:pBdr/>
              <w:spacing w:after="60"/>
              <w:ind/>
              <w:rPr>
                <w:color w:val="000000" w:themeColor="text1"/>
                <w:sz w:val="24"/>
                <w:szCs w:val="24"/>
              </w:rPr>
            </w:pPr>
            <w:r>
              <w:rPr>
                <w:rStyle w:val="1024"/>
                <w:rFonts w:ascii="Times New Roman" w:hAnsi="Times New Roman"/>
                <w:color w:val="000000" w:themeColor="text1"/>
                <w:lang w:val="pt-BR"/>
              </w:rPr>
              <w:t xml:space="preserve">Số</w:t>
            </w:r>
            <w:r>
              <w:rPr>
                <w:rStyle w:val="1024"/>
                <w:rFonts w:ascii="Times New Roman" w:hAnsi="Times New Roman"/>
                <w:color w:val="000000" w:themeColor="text1"/>
                <w:lang w:val="pt-BR"/>
              </w:rPr>
              <w:t xml:space="preserve">: </w:t>
            </w:r>
            <w:r>
              <w:rPr>
                <w:rStyle w:val="1024"/>
                <w:rFonts w:ascii="Times New Roman" w:hAnsi="Times New Roman"/>
                <w:color w:val="000000" w:themeColor="text1"/>
                <w:lang w:val="pt-BR"/>
              </w:rPr>
              <w:t xml:space="preserve">275/2025/0219/VFI-CT.21.A                                        </w:t>
            </w:r>
            <w:r>
              <w:rPr>
                <w:color w:val="000000" w:themeColor="text1"/>
                <w:sz w:val="24"/>
                <w:szCs w:val="24"/>
              </w:rPr>
            </w:r>
            <w:r>
              <w:rPr>
                <w:color w:val="000000" w:themeColor="text1"/>
                <w:sz w:val="24"/>
                <w:szCs w:val="24"/>
              </w:rPr>
            </w:r>
            <w:r>
              <w:rPr>
                <w:rStyle w:val="1024"/>
                <w:rFonts w:ascii="Times New Roman" w:hAnsi="Times New Roman"/>
                <w:i/>
                <w:color w:val="auto"/>
              </w:rPr>
              <w:t xml:space="preserve">TP. </w:t>
            </w:r>
            <w:r>
              <w:rPr>
                <w:rStyle w:val="1024"/>
                <w:rFonts w:ascii="Times New Roman" w:hAnsi="Times New Roman"/>
                <w:i/>
                <w:color w:val="auto"/>
              </w:rPr>
              <w:t xml:space="preserve">Hà</w:t>
            </w:r>
            <w:r>
              <w:rPr>
                <w:rStyle w:val="1024"/>
                <w:rFonts w:ascii="Times New Roman" w:hAnsi="Times New Roman"/>
                <w:i/>
                <w:color w:val="auto"/>
              </w:rPr>
              <w:t xml:space="preserve"> </w:t>
            </w:r>
            <w:r>
              <w:rPr>
                <w:rStyle w:val="1024"/>
                <w:rFonts w:ascii="Times New Roman" w:hAnsi="Times New Roman"/>
                <w:i/>
                <w:color w:val="auto"/>
              </w:rPr>
              <w:t xml:space="preserve">Nội</w:t>
            </w:r>
            <w:r>
              <w:rPr>
                <w:rStyle w:val="1024"/>
                <w:rFonts w:ascii="Times New Roman" w:hAnsi="Times New Roman"/>
                <w:i/>
                <w:color w:val="auto"/>
                <w:lang w:val="vi-VN"/>
              </w:rPr>
              <w:t xml:space="preserve">, </w:t>
            </w:r>
            <w:r>
              <w:rPr>
                <w:rStyle w:val="1024"/>
                <w:rFonts w:ascii="Times New Roman" w:hAnsi="Times New Roman"/>
                <w:i/>
                <w:color w:val="000000" w:themeColor="text1"/>
                <w:lang w:val="vi-VN"/>
              </w:rPr>
              <w:t xml:space="preserve">ngày 28 tháng 01 năm 2026</w:t>
            </w:r>
            <w:r>
              <w:rPr>
                <w:color w:val="000000" w:themeColor="text1"/>
                <w:sz w:val="24"/>
                <w:szCs w:val="24"/>
                <w:lang w:val="vi-VN"/>
              </w:rPr>
            </w:r>
            <w:r>
              <w:rPr>
                <w:color w:val="000000" w:themeColor="text1"/>
                <w:sz w:val="24"/>
                <w:szCs w:val="24"/>
                <w:lang w:val="vi-VN"/>
              </w:rPr>
            </w:r>
            <w:r>
              <w:rPr>
                <w:color w:val="000000" w:themeColor="text1"/>
                <w:sz w:val="24"/>
                <w:szCs w:val="24"/>
              </w:rPr>
            </w:r>
          </w:p>
        </w:tc>
      </w:tr>
    </w:tbl>
    <w:p>
      <w:pPr>
        <w:pStyle w:val="1025"/>
        <w:pBdr/>
        <w:spacing w:after="120" w:before="200" w:line="288" w:lineRule="auto"/>
        <w:ind/>
        <w:jc w:val="center"/>
        <w:rPr>
          <w:rStyle w:val="1024"/>
          <w:rFonts w:ascii="Times New Roman" w:hAnsi="Times New Roman"/>
          <w:b/>
          <w:bCs/>
          <w:color w:val="auto"/>
          <w:sz w:val="30"/>
          <w:szCs w:val="30"/>
          <w:lang w:val="vi-VN"/>
        </w:rPr>
      </w:pPr>
      <w:r>
        <w:rPr>
          <w:rStyle w:val="1024"/>
          <w:rFonts w:ascii="Times New Roman" w:hAnsi="Times New Roman"/>
          <w:b/>
          <w:bCs/>
          <w:color w:val="auto"/>
          <w:sz w:val="30"/>
          <w:szCs w:val="30"/>
          <w:lang w:val="vi-VN"/>
        </w:rPr>
        <w:t xml:space="preserve">CHỨNG THƯ THẨM ĐỊNH GIÁ</w:t>
      </w:r>
      <w:r>
        <w:rPr>
          <w:rStyle w:val="1024"/>
          <w:rFonts w:ascii="Times New Roman" w:hAnsi="Times New Roman"/>
          <w:b/>
          <w:bCs/>
          <w:color w:val="auto"/>
          <w:sz w:val="30"/>
          <w:szCs w:val="30"/>
          <w:lang w:val="vi-VN"/>
        </w:rPr>
      </w:r>
      <w:r>
        <w:rPr>
          <w:rStyle w:val="102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BÀ NGUYỄN THANH THUỶ</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275/2025/0219/VFI-HĐTĐ.21.A</w:t>
      </w:r>
      <w:r>
        <w:rPr>
          <w:spacing w:val="-4"/>
          <w:lang w:val="vi-VN"/>
        </w:rPr>
        <w:t xml:space="preserve"> ký ngày 22 tháng 01 năm 2026</w:t>
      </w:r>
      <w:r>
        <w:rPr>
          <w:spacing w:val="-4"/>
          <w:lang w:val="vi-VN"/>
        </w:rPr>
        <w:t xml:space="preserve"> </w:t>
      </w:r>
      <w:r>
        <w:rPr>
          <w:spacing w:val="-4"/>
          <w:lang w:val="vi-VN"/>
        </w:rPr>
        <w:t xml:space="preserve">giữa </w:t>
      </w:r>
      <w:r>
        <w:rPr>
          <w:color w:val="000000" w:themeColor="text1"/>
          <w:spacing w:val="-4"/>
        </w:rPr>
        <w:t xml:space="preserve">Bà Nguyễn Thanh Thuỷ</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275/2025/0219/VFI-BC.21.A</w:t>
      </w:r>
      <w:r>
        <w:rPr>
          <w:spacing w:val="-2"/>
          <w:lang w:val="pt-BR"/>
        </w:rPr>
        <w:t xml:space="preserve"> </w:t>
      </w:r>
      <w:r>
        <w:rPr>
          <w:spacing w:val="-2"/>
          <w:lang w:val="pt-BR"/>
        </w:rPr>
        <w:t xml:space="preserve">ngày 28 tháng 01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color w:val="000000" w:themeColor="text1"/>
                <w:lang w:val="pt-BR"/>
              </w:rPr>
              <w:t xml:space="preserve">BÀ NGUYỄN THANH THUỶ</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036173002597</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319"/>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r>
            <w:r>
              <w:rPr>
                <w:b/>
                <w:bCs/>
                <w:lang w:val="vi-VN"/>
              </w:rPr>
            </w:r>
          </w:p>
        </w:tc>
      </w:tr>
      <w:tr>
        <w:trPr>
          <w:trHeight w:val="20"/>
        </w:trPr>
        <w:tc>
          <w:tcPr>
            <w:tcBorders/>
            <w:tcW w:w="2269"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vMerge w:val="restart"/>
            <w:textDirection w:val="lrTb"/>
            <w:noWrap w:val="false"/>
          </w:tcPr>
          <w:p>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rPr>
        <w:t xml:space="preserve">Giá trị quyền sử dụng đất tại thửa đất số: 339, tờ bản đồ số 28 bản đồ địa chính xã Hoằng Tiến đo đạc năm 2015 có địa chỉ: Thôn Tiền Thôn, xã Hoằng Tiến, huyện Hoằng Hoá, tỉnh Thanh Hoá </w:t>
      </w:r>
      <w:r>
        <w:rPr>
          <w:i/>
          <w:iCs/>
          <w:color w:val="000000"/>
        </w:rPr>
        <w:t xml:space="preserve">(Nay là xã Hoằng Tiến, tỉnh Thanh Hoá)</w:t>
      </w:r>
      <w:r>
        <w:rPr>
          <w:color w:val="000000"/>
        </w:rPr>
        <w:t xml:space="preserve"> theo Giấy chứng nhận quyền sử dụ</w:t>
      </w:r>
      <w:r>
        <w:rPr>
          <w:color w:val="000000"/>
        </w:rPr>
        <w:t xml:space="preserve">ng đất quyền sở hữu nhà ở và tài sản khác gắn liền với đất số: DD 847531, số vào sổ cấp GCN: CS 03307 do Sở Tài nguyên và Môi trường tỉnh Thanh Hoá cấp ngày 22/02/2022; Chủ sử dụng đất là Ông Đỗ Văn Hùng và vợ bà Nguyễn Thanh Thuỷ</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Style w:val="103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835"/>
        <w:gridCol w:w="1843"/>
        <w:gridCol w:w="1984"/>
        <w:gridCol w:w="2126"/>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835"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2029"/>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661" w:type="dxa"/>
            <w:vAlign w:val="center"/>
            <w:textDirection w:val="lrTb"/>
            <w:noWrap w:val="false"/>
          </w:tcPr>
          <w:p>
            <w:pPr>
              <w:pBdr/>
              <w:spacing w:after="0" w:before="0" w:line="276" w:lineRule="auto"/>
              <w:ind/>
              <w:jc w:val="both"/>
              <w:rPr/>
            </w:pPr>
            <w:r>
              <w:rPr>
                <w:rFonts w:ascii="Times New Roman" w:hAnsi="Times New Roman" w:eastAsia="Times New Roman" w:cs="Times New Roman"/>
                <w:b/>
                <w:color w:val="000000"/>
                <w:sz w:val="24"/>
              </w:rPr>
              <w:t xml:space="preserve">Giá trị quyền sử dụng đất tại thửa đất số: 339, tờ bản đồ số 28 bản đồ địa chính xã Hoằng Tiến đo đạc năm 2015 có địa chỉ: Thôn Tiền Thôn, xã Hoằng Tiến, huyện Hoằng Hoá, tỉnh Thanh Hoá </w:t>
            </w:r>
            <w:r>
              <w:rPr>
                <w:rFonts w:ascii="Times New Roman" w:hAnsi="Times New Roman" w:eastAsia="Times New Roman" w:cs="Times New Roman"/>
                <w:b/>
                <w:i/>
                <w:iCs/>
                <w:color w:val="000000"/>
                <w:sz w:val="24"/>
              </w:rPr>
              <w:t xml:space="preserve">(Nay là xã Hoằng Tiến, tỉnh Thanh Hoá)</w:t>
            </w:r>
            <w:r>
              <w:rPr>
                <w:rFonts w:ascii="Times New Roman" w:hAnsi="Times New Roman" w:eastAsia="Times New Roman" w:cs="Times New Roman"/>
                <w:b/>
                <w:color w:val="000000"/>
                <w:sz w:val="24"/>
              </w:rPr>
              <w:t xml:space="preserve"> theo Giấy chứng nhận quyền sử d</w:t>
            </w:r>
            <w:r>
              <w:rPr>
                <w:rFonts w:ascii="Times New Roman" w:hAnsi="Times New Roman" w:eastAsia="Times New Roman" w:cs="Times New Roman"/>
                <w:b/>
                <w:color w:val="000000"/>
                <w:sz w:val="24"/>
              </w:rPr>
              <w:t xml:space="preserve">ụng đất quyền sở hữu nhà ở và tài sản khác gắn liền với đất số: DD 847531, số vào sổ cấp GCN: CS 03307 do Sở Tài nguyên và Môi trường tỉnh Thanh Hoá cấp ngày 22/02/2022; Chủ sử dụng đất là Ông Đỗ Văn Hùng và vợ bà Nguyễn Thanh Thuỷ.</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76"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835"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Đất ở tại nông thôn</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157,9</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23.500.000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76" w:lineRule="auto"/>
              <w:ind/>
              <w:jc w:val="right"/>
              <w:rPr/>
            </w:pPr>
            <w:r>
              <w:rPr>
                <w:rFonts w:ascii="Times New Roman" w:hAnsi="Times New Roman" w:eastAsia="Times New Roman" w:cs="Times New Roman"/>
                <w:color w:val="000000"/>
                <w:sz w:val="24"/>
              </w:rPr>
              <w:t xml:space="preserve">3.710.650.000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98"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tcPr>
          <w:p>
            <w:pPr>
              <w:pBdr/>
              <w:spacing w:after="0" w:before="0" w:line="276" w:lineRule="auto"/>
              <w:ind/>
              <w:jc w:val="right"/>
              <w:rPr/>
            </w:pPr>
            <w:r>
              <w:rPr>
                <w:rFonts w:ascii="Times New Roman" w:hAnsi="Times New Roman" w:eastAsia="Times New Roman" w:cs="Times New Roman"/>
                <w:b/>
                <w:color w:val="000000"/>
                <w:sz w:val="24"/>
              </w:rPr>
              <w:t xml:space="preserve">3.710.650.000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98"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tcPr>
          <w:p>
            <w:pPr>
              <w:pBdr/>
              <w:spacing w:after="0" w:before="0" w:line="276" w:lineRule="auto"/>
              <w:ind/>
              <w:jc w:val="right"/>
              <w:rPr/>
            </w:pPr>
            <w:r>
              <w:rPr>
                <w:rFonts w:ascii="Times New Roman" w:hAnsi="Times New Roman" w:eastAsia="Times New Roman" w:cs="Times New Roman"/>
                <w:b/>
                <w:color w:val="000000"/>
                <w:sz w:val="24"/>
              </w:rPr>
              <w:t xml:space="preserve">3.711.000.000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pPr>
              <w:pBdr/>
              <w:spacing w:after="0" w:before="0" w:line="276" w:lineRule="auto"/>
              <w:ind/>
              <w:jc w:val="center"/>
              <w:rPr/>
            </w:pPr>
            <w:r>
              <w:rPr>
                <w:rFonts w:ascii="Times New Roman" w:hAnsi="Times New Roman" w:eastAsia="Times New Roman" w:cs="Times New Roman"/>
                <w:b/>
                <w:i/>
                <w:color w:val="000000"/>
                <w:sz w:val="24"/>
              </w:rPr>
              <w:t xml:space="preserve">(Bằng chữ: Ba tỷ, bảy trăm mười một triệu đồng chẵn./.)</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5074" w:type="pct"/>
        <w:tblBorders/>
        <w:tblLayout w:type="fixed"/>
        <w:tblLook w:val="01E0" w:firstRow="1" w:lastRow="1" w:firstColumn="1" w:lastColumn="1" w:noHBand="0" w:noVBand="0"/>
      </w:tblPr>
      <w:tblGrid>
        <w:gridCol w:w="4563"/>
        <w:gridCol w:w="5102"/>
      </w:tblGrid>
      <w:tr>
        <w:trPr>
          <w:trHeight w:val="20"/>
        </w:trPr>
        <w:tc>
          <w:tcPr>
            <w:tcBorders/>
            <w:tcW w:w="4563"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563"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563" w:type="dxa"/>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5102"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153" w:type="dxa"/>
        <w:tblBorders/>
        <w:tblLayout w:type="fixed"/>
        <w:tblLook w:val="04A0" w:firstRow="1" w:lastRow="0" w:firstColumn="1" w:lastColumn="0" w:noHBand="0" w:noVBand="1"/>
      </w:tblPr>
      <w:tblGrid>
        <w:gridCol w:w="29"/>
        <w:gridCol w:w="1701"/>
        <w:gridCol w:w="480"/>
        <w:gridCol w:w="7943"/>
      </w:tblGrid>
      <w:tr>
        <w:trPr>
          <w:trHeight w:val="1417"/>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42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362"/>
        </w:trPr>
        <w:tc>
          <w:tcPr>
            <w:gridSpan w:val="3"/>
            <w:shd w:val="clear" w:color="auto" w:fill="auto"/>
            <w:tcBorders/>
            <w:tcMar>
              <w:left w:w="108" w:type="dxa"/>
              <w:top w:w="0" w:type="dxa"/>
              <w:right w:w="108" w:type="dxa"/>
              <w:bottom w:w="0" w:type="dxa"/>
            </w:tcMar>
            <w:tcW w:w="10124" w:type="dxa"/>
            <w:textDirection w:val="lrTb"/>
            <w:noWrap w:val="false"/>
          </w:tcPr>
          <w:p>
            <w:pPr>
              <w:pStyle w:val="1025"/>
              <w:pBdr/>
              <w:spacing w:after="60"/>
              <w:ind/>
              <w:rPr>
                <w:color w:val="000000" w:themeColor="text1"/>
                <w:sz w:val="24"/>
                <w:szCs w:val="24"/>
              </w:rPr>
            </w:pPr>
            <w:r>
              <w:rPr>
                <w:rStyle w:val="1024"/>
                <w:rFonts w:ascii="Times New Roman" w:hAnsi="Times New Roman"/>
                <w:color w:val="000000" w:themeColor="text1"/>
                <w:lang w:val="pt-BR"/>
              </w:rPr>
              <w:t xml:space="preserve">Số</w:t>
            </w:r>
            <w:r>
              <w:rPr>
                <w:rStyle w:val="1024"/>
                <w:rFonts w:ascii="Times New Roman" w:hAnsi="Times New Roman"/>
                <w:color w:val="000000" w:themeColor="text1"/>
                <w:lang w:val="pt-BR"/>
              </w:rPr>
              <w:t xml:space="preserve">: </w:t>
            </w:r>
            <w:r>
              <w:rPr>
                <w:rStyle w:val="1024"/>
                <w:rFonts w:ascii="Times New Roman" w:hAnsi="Times New Roman"/>
                <w:color w:val="000000" w:themeColor="text1"/>
                <w:lang w:val="pt-BR"/>
              </w:rPr>
              <w:t xml:space="preserve">275/2025/0219/VFI-BC.21.A                                              </w:t>
            </w:r>
            <w:r>
              <w:rPr>
                <w:color w:val="000000" w:themeColor="text1"/>
                <w:sz w:val="24"/>
                <w:szCs w:val="24"/>
              </w:rPr>
            </w:r>
            <w:r>
              <w:rPr>
                <w:color w:val="000000" w:themeColor="text1"/>
                <w:sz w:val="24"/>
                <w:szCs w:val="24"/>
              </w:rPr>
            </w:r>
            <w:r>
              <w:rPr>
                <w:rStyle w:val="1024"/>
                <w:rFonts w:ascii="Times New Roman" w:hAnsi="Times New Roman"/>
                <w:i/>
                <w:color w:val="auto"/>
              </w:rPr>
              <w:t xml:space="preserve">TP. </w:t>
            </w:r>
            <w:r>
              <w:rPr>
                <w:rStyle w:val="1024"/>
                <w:rFonts w:ascii="Times New Roman" w:hAnsi="Times New Roman"/>
                <w:i/>
                <w:color w:val="auto"/>
              </w:rPr>
              <w:t xml:space="preserve">Hà</w:t>
            </w:r>
            <w:r>
              <w:rPr>
                <w:rStyle w:val="1024"/>
                <w:rFonts w:ascii="Times New Roman" w:hAnsi="Times New Roman"/>
                <w:i/>
                <w:color w:val="auto"/>
              </w:rPr>
              <w:t xml:space="preserve"> </w:t>
            </w:r>
            <w:r>
              <w:rPr>
                <w:rStyle w:val="1024"/>
                <w:rFonts w:ascii="Times New Roman" w:hAnsi="Times New Roman"/>
                <w:i/>
                <w:color w:val="auto"/>
              </w:rPr>
              <w:t xml:space="preserve">Nội</w:t>
            </w:r>
            <w:r>
              <w:rPr>
                <w:rStyle w:val="1024"/>
                <w:rFonts w:ascii="Times New Roman" w:hAnsi="Times New Roman"/>
                <w:i/>
                <w:color w:val="auto"/>
                <w:lang w:val="vi-VN"/>
              </w:rPr>
              <w:t xml:space="preserve">, </w:t>
            </w:r>
            <w:r>
              <w:rPr>
                <w:rStyle w:val="1024"/>
                <w:rFonts w:ascii="Times New Roman" w:hAnsi="Times New Roman"/>
                <w:i/>
                <w:color w:val="000000" w:themeColor="text1"/>
                <w:lang w:val="vi-VN"/>
              </w:rPr>
              <w:t xml:space="preserve">ngày 28 tháng 01 năm 2026</w:t>
            </w:r>
            <w:r>
              <w:rPr>
                <w:color w:val="000000" w:themeColor="text1"/>
                <w:sz w:val="24"/>
                <w:szCs w:val="24"/>
                <w:lang w:val="vi-VN"/>
              </w:rPr>
            </w:r>
            <w:r>
              <w:rPr>
                <w:color w:val="000000" w:themeColor="text1"/>
                <w:sz w:val="24"/>
                <w:szCs w:val="24"/>
                <w:lang w:val="vi-VN"/>
              </w:rPr>
            </w:r>
            <w:r>
              <w:rPr>
                <w:color w:val="000000" w:themeColor="text1"/>
                <w:sz w:val="24"/>
                <w:szCs w:val="24"/>
              </w:rPr>
            </w:r>
          </w:p>
        </w:tc>
      </w:tr>
    </w:tbl>
    <w:p>
      <w:pPr>
        <w:pStyle w:val="102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275/2025/0219/VFI-CT.21.A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28 tháng 01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r>
            <w:r>
              <w:rPr>
                <w:b/>
                <w:bCs/>
                <w:lang w:val="vi-VN"/>
              </w:rPr>
            </w:r>
          </w:p>
        </w:tc>
      </w:tr>
      <w:tr>
        <w:trPr>
          <w:trHeight w:val="20"/>
        </w:trPr>
        <w:tc>
          <w:tcPr>
            <w:tcBorders/>
            <w:tcW w:w="2552"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6940" w:type="dxa"/>
            <w:vAlign w:val="center"/>
            <w:vMerge w:val="restart"/>
            <w:textDirection w:val="lrTb"/>
            <w:noWrap w:val="false"/>
          </w:tcPr>
          <w:p>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Style w:val="102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BÀ NGUYỄN THANH THUỶ</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036173002597</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color w:val="000000"/>
              </w:rPr>
              <w:t xml:space="preserve">Giá trị quyền sử dụng đất tại thửa đất số: 339, tờ bản đồ số 28 bản đồ địa chính xã Hoằng Tiến đo đạc năm 2015 có địa chỉ: Thôn Tiền Thôn, xã Hoằng Tiến, huyện Hoằng Hoá, tỉnh Thanh Hoá </w:t>
            </w:r>
            <w:r>
              <w:rPr>
                <w:i/>
                <w:iCs/>
                <w:color w:val="000000"/>
              </w:rPr>
              <w:t xml:space="preserve">(Nay là xã Hoằng Tiến, tỉnh Thanh Hoá)</w:t>
            </w:r>
            <w:r>
              <w:rPr>
                <w:color w:val="000000"/>
              </w:rPr>
              <w:t xml:space="preserve"> theo Giấy chứng nhận quyền sử dụ</w:t>
            </w:r>
            <w:r>
              <w:rPr>
                <w:color w:val="000000"/>
              </w:rPr>
              <w:t xml:space="preserve">ng đất quyền sở hữu nhà ở và tài sản khác gắn liền với đất số: DD 847531, số vào sổ cấp GCN: CS 03307 do Sở Tài nguyên và Môi trường tỉnh Thanh Hoá cấp ngày 22/02/2022; Chủ sử dụng đất là Ông Đỗ Văn Hùng và vợ bà Nguyễn Thanh Thuỷ</w:t>
            </w:r>
            <w:r>
              <w:rPr>
                <w:bCs/>
                <w:i/>
                <w:iCs/>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color w:val="000000" w:themeColor="text1"/>
                <w:lang w:val="pt-BR"/>
              </w:rPr>
              <w:t xml:space="preserve">Xã Hoằng Tiến, tỉnh Thanh Hoá</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19.847652, 105.935871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6"/>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6"/>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6"/>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6"/>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6"/>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6"/>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bCs/>
          <w:color w:val="000000" w:themeColor="text1"/>
          <w:lang w:val="pt-BR"/>
        </w:rPr>
        <w:t xml:space="preserve">G</w:t>
      </w:r>
      <w:r>
        <w:rPr>
          <w:bCs/>
          <w:color w:val="000000" w:themeColor="text1"/>
          <w:lang w:val="pt-BR"/>
        </w:rPr>
        <w:t xml:space="preserve">iấy chứng nhận quyền sử dụng đất quyền sở hữu nhà ở và tài sản khác gắn liền với đất số: DD 847531, số vào sổ cấp GCN: CS 03307 do Sở Tài nguyên và Môi trường tỉnh Thanh Hoá cấp ngày 22/02/2022; Chủ sử dụng đất là Ông Đỗ Văn Hùng và vợ bà Nguyễn Thanh Thuỷ</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6"/>
        <w:numPr>
          <w:ilvl w:val="0"/>
          <w:numId w:val="2"/>
        </w:numPr>
        <w:pBdr/>
        <w:tabs>
          <w:tab w:val="left" w:leader="none" w:pos="993"/>
        </w:tabs>
        <w:spacing w:after="120" w:before="120" w:line="276" w:lineRule="auto"/>
        <w:ind/>
        <w:jc w:val="both"/>
        <w:rPr>
          <w:b/>
          <w:lang w:val="pt-BR"/>
        </w:rPr>
      </w:pPr>
      <w:r>
        <w:rPr>
          <w:color w:val="000000" w:themeColor="text1"/>
          <w:lang w:val="pt-BR"/>
        </w:rPr>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275/2025/0219/VFI-HĐTĐ.21.A</w:t>
      </w:r>
      <w:r>
        <w:rPr>
          <w:spacing w:val="-4"/>
          <w:lang w:val="vi-VN"/>
        </w:rPr>
        <w:t xml:space="preserve"> ký ngày 22 tháng 01 năm 2026</w:t>
      </w:r>
      <w:r>
        <w:rPr>
          <w:spacing w:val="-4"/>
          <w:lang w:val="vi-VN"/>
        </w:rPr>
        <w:t xml:space="preserve"> </w:t>
      </w:r>
      <w:r>
        <w:rPr>
          <w:spacing w:val="-4"/>
          <w:lang w:val="vi-VN"/>
        </w:rPr>
        <w:t xml:space="preserve">giữa </w:t>
      </w:r>
      <w:r>
        <w:rPr>
          <w:color w:val="000000" w:themeColor="text1"/>
          <w:spacing w:val="-4"/>
        </w:rPr>
        <w:t xml:space="preserve">Bà Nguyễn Thanh Thuỷ</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color w:val="000000" w:themeColor="text1"/>
          <w:lang w:val="pt-BR"/>
        </w:rPr>
        <w:t xml:space="preserve">.</w:t>
      </w:r>
      <w:r>
        <w:rPr>
          <w:b/>
          <w:lang w:val="pt-BR"/>
        </w:rPr>
      </w:r>
      <w:r>
        <w:rPr>
          <w:b/>
          <w:lang w:val="pt-BR"/>
        </w:rPr>
      </w:r>
    </w:p>
    <w:p>
      <w:pPr>
        <w:pStyle w:val="1026"/>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firstLine="0" w:left="0"/>
        <w:jc w:val="both"/>
        <w:rPr/>
      </w:pPr>
      <w:r>
        <w:rPr>
          <w:spacing w:val="-4"/>
          <w:lang w:val="vi-VN"/>
        </w:rPr>
        <w:tab/>
        <w:t xml:space="preserve">Thị trường bất động sản tại Thanh Hóa từ năm 2025 đến nay tiếp tục ghi nhận đà tăng mới, đặc biệt tại khu vực đô thị. Điều này dẫn đến hệ lụy, trong khi nguồn cung dự án không thiếu, nhưng người dân có nh</w:t>
      </w:r>
      <w:r>
        <w:rPr>
          <w:spacing w:val="-4"/>
          <w:lang w:val="vi-VN"/>
        </w:rPr>
        <w:t xml:space="preserve">u cầu ở thực lại ngày càng khó tiếp cận, bởi giá nhà</w:t>
      </w:r>
      <w:r>
        <w:rPr>
          <w:spacing w:val="-4"/>
          <w:lang w:val="vi-VN"/>
        </w:rPr>
        <w:t xml:space="preserve">, đất đã vượt xa khả năng chi trả, ngay cả với những ngư</w:t>
      </w:r>
      <w:r>
        <w:rPr>
          <w:spacing w:val="-4"/>
          <w:lang w:val="vi-VN"/>
        </w:rPr>
        <w:t xml:space="preserve">ời có thu nhập khá.</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firstLine="0" w:left="0"/>
        <w:jc w:val="both"/>
        <w:rPr>
          <w:b/>
          <w:bCs/>
          <w:i/>
          <w:spacing w:val="-4"/>
          <w14:ligatures w14:val="none"/>
        </w:rPr>
      </w:pPr>
      <w:r>
        <w:rPr>
          <w:b/>
          <w:bCs/>
          <w:i/>
          <w:iCs/>
          <w:spacing w:val="-4"/>
          <w:lang w:val="vi-VN"/>
        </w:rPr>
        <w:tab/>
        <w:t xml:space="preserve">Giá nhà đất tăng phi mã</w:t>
      </w:r>
      <w:r>
        <w:rPr>
          <w:b/>
          <w:bCs/>
          <w:i/>
          <w:iCs/>
          <w:spacing w:val="-4"/>
          <w:lang w:val="vi-VN"/>
        </w:rPr>
      </w:r>
      <w:r>
        <w:rPr>
          <w:b/>
          <w:bCs/>
          <w:i/>
          <w:spacing w:val="-4"/>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firstLine="0" w:left="0"/>
        <w:jc w:val="both"/>
        <w:rPr>
          <w:spacing w:val="-4"/>
          <w:lang w:val="vi-VN"/>
          <w14:ligatures w14:val="none"/>
        </w:rPr>
      </w:pPr>
      <w:r>
        <w:rPr>
          <w:spacing w:val="-4"/>
          <w:lang w:val="vi-VN"/>
        </w:rPr>
        <w:tab/>
        <w:t xml:space="preserve">Khảo sát tại nhiều khu vực đô thị như các phường: Hạc Thành, Quảng Phú, Hàm Rồng, Đông Quang... cho thấy mặt bằng giá bất động sản tăng mạnh chỉ trong thời gian ngắn.</w:t>
      </w:r>
      <w:r>
        <w:rPr>
          <w:spacing w:val="-4"/>
          <w:lang w:val="vi-VN"/>
        </w:rPr>
      </w:r>
      <w:r>
        <w:rPr>
          <w:spacing w:val="-4"/>
          <w:lang w:val="vi-VN"/>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firstLine="0" w:left="0"/>
        <w:jc w:val="both"/>
        <w:rPr>
          <w:spacing w:val="-4"/>
          <w:lang w:val="vi-VN"/>
          <w14:ligatures w14:val="none"/>
        </w:rPr>
      </w:pPr>
      <w:r>
        <w:rPr>
          <w:spacing w:val="-4"/>
          <w:lang w:val="vi-VN"/>
        </w:rPr>
        <w:tab/>
      </w:r>
      <w:r>
        <w:rPr>
          <w:spacing w:val="-4"/>
          <w:lang w:val="vi-VN"/>
        </w:rPr>
        <w:t xml:space="preserve">Tại dự án khu nhà ở, công viên cây xanh thuộc Khu Đô thị Nam TP Thanh Hóa, thời điểm tháng 7/2024, giá đất liền kề được giao dịch phổ biến khoảng 31 triệu đồng/m2. Sang đầu năm 2025, mức giá này đã tăng lên gần 40 triệu đồng/m2 và hiện dao động từ 45 - 50 </w:t>
      </w:r>
      <w:r>
        <w:rPr>
          <w:spacing w:val="-4"/>
          <w:lang w:val="vi-VN"/>
        </w:rPr>
        <w:t xml:space="preserve">triệu đồng/m2, tùy vị trí. Đáng chú ý, người mua nhà tại đây còn phải hoàn thiện xây thô mới đủ điều kiện hoàn công, cấp giấy chứng nhận quyền sử dụng đất.</w:t>
      </w:r>
      <w:r>
        <w:rPr>
          <w:spacing w:val="-4"/>
          <w:lang w:val="vi-VN"/>
        </w:rPr>
      </w:r>
      <w:r>
        <w:rPr>
          <w:spacing w:val="-4"/>
          <w:lang w:val="vi-VN"/>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firstLine="0" w:left="0"/>
        <w:jc w:val="both"/>
        <w:rPr>
          <w:spacing w:val="-4"/>
          <w:lang w:val="vi-VN"/>
          <w14:ligatures w14:val="none"/>
        </w:rPr>
      </w:pPr>
      <w:r>
        <w:rPr>
          <w:spacing w:val="-4"/>
          <w:lang w:val="vi-VN"/>
        </w:rPr>
        <w:tab/>
      </w:r>
      <w:r>
        <w:rPr>
          <w:spacing w:val="-4"/>
          <w:lang w:val="vi-VN"/>
        </w:rPr>
        <w:t xml:space="preserve">Không chỉ các dự án đã hình thành rõ ràng về pháp lý, tại nhiều mặt bằng dân cư khác, dù chưa biết khi nào mới được cấp giấy chứng nhận quyền sử dụng đất và hiện chỉ giao dịch thông qua hợp đồng góp vốn, hợp đồng vay vốn, giá đất vẫn ở mức cao “không tưởng</w:t>
      </w:r>
      <w:r>
        <w:rPr>
          <w:spacing w:val="-4"/>
          <w:lang w:val="vi-VN"/>
        </w:rPr>
        <w:t xml:space="preserve">”. Theo ghi nhận, phần lớn các mặt bằng này đã tăng từ 30% so với đầu năm 2025; cá biệt những khu vực có quy hoạch đẹp, hạ tầng tương đối đồng bộ, gần khu dân cư hiện hữu, mức tăng lên tới 50%.</w:t>
      </w:r>
      <w:r>
        <w:rPr>
          <w:spacing w:val="-4"/>
          <w:lang w:val="vi-VN"/>
        </w:rPr>
      </w:r>
      <w:r>
        <w:rPr>
          <w:spacing w:val="-4"/>
          <w:lang w:val="vi-VN"/>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firstLine="0" w:left="0"/>
        <w:jc w:val="both"/>
        <w:rPr>
          <w:spacing w:val="-4"/>
          <w:lang w:val="vi-VN"/>
          <w14:ligatures w14:val="none"/>
        </w:rPr>
      </w:pPr>
      <w:r>
        <w:rPr>
          <w:spacing w:val="-4"/>
          <w:lang w:val="vi-VN"/>
        </w:rPr>
        <w:tab/>
      </w:r>
      <w:r>
        <w:rPr>
          <w:spacing w:val="-4"/>
          <w:lang w:val="vi-VN"/>
        </w:rPr>
        <w:t xml:space="preserve">Tình trạng tăng giá không chỉ diễn ra tại khu vực trung tâm TP Thanh Hóa cũ, mà còn lan sang các xã trung tâm, khu vực gần khu công nghiệp, nơi có lợi thế giao thương. Một trong những nguyên nhân là do giá trúng đấu giá quyền sử dụng đất rất cao. Điển hình</w:t>
      </w:r>
      <w:r>
        <w:rPr>
          <w:spacing w:val="-4"/>
          <w:lang w:val="vi-VN"/>
        </w:rPr>
        <w:t xml:space="preserve">, tại cuộc đấu giá 132 lô đất thuộc mặt bằng quy hoạch số 103/MBQH-UBND Hoằng Kim (nay là xã Hoằng Phú) đầu năm 2025, nhiều lô đất được đẩy giá cao hơn từ 800 triệu đến hơn 1 tỷ đồng so với giá khởi điểm. Cá biệt, có những lô đất giá khởi điểm 1,2 tỷ đồng </w:t>
      </w:r>
      <w:r>
        <w:rPr>
          <w:spacing w:val="-4"/>
          <w:lang w:val="vi-VN"/>
        </w:rPr>
        <w:t xml:space="preserve">nhưng giá trúng đấu giá lên tới 3,6 - 3,9 tỷ đồng.</w:t>
      </w:r>
      <w:r>
        <w:rPr>
          <w:spacing w:val="-4"/>
          <w:lang w:val="vi-VN"/>
        </w:rPr>
      </w:r>
      <w:r>
        <w:rPr>
          <w:spacing w:val="-4"/>
          <w:lang w:val="vi-VN"/>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firstLine="0" w:left="0"/>
        <w:jc w:val="both"/>
        <w:rPr>
          <w:spacing w:val="-4"/>
          <w:lang w:val="vi-VN"/>
          <w14:ligatures w14:val="none"/>
        </w:rPr>
      </w:pPr>
      <w:r>
        <w:rPr>
          <w:spacing w:val="-4"/>
          <w:lang w:val="vi-VN"/>
        </w:rPr>
        <w:tab/>
      </w:r>
      <w:r>
        <w:rPr>
          <w:spacing w:val="-4"/>
          <w:lang w:val="vi-VN"/>
        </w:rPr>
        <w:t xml:space="preserve">Ở phân khúc chung cư, giá cũng tăng đều và mạnh do đáp ứng nhu cầu ở thực. Căn hộ 2 phòng ngủ, diện tích 48m2 tại chung cư Xuân Mai tăng từ khoảng 1,3 tỷ đồng đầu năm 2025 lên hơn 1,6 tỷ đồng hiện nay, gấp 2,3 lần giá mở bán năm 2019. Một số dự án chung cư</w:t>
      </w:r>
      <w:r>
        <w:rPr>
          <w:spacing w:val="-4"/>
          <w:lang w:val="vi-VN"/>
        </w:rPr>
        <w:t xml:space="preserve"> nhà ở xã hội đã đủ điều kiện giao dịch thương mại cũng ghi nhận mức tăng 300 - 400 triệu đồng/căn so với cùng kỳ năm trước.</w:t>
      </w:r>
      <w:r>
        <w:rPr>
          <w:spacing w:val="-4"/>
          <w:lang w:val="vi-VN"/>
        </w:rPr>
      </w:r>
      <w:r>
        <w:rPr>
          <w:spacing w:val="-4"/>
          <w:lang w:val="vi-VN"/>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firstLine="0" w:left="0"/>
        <w:jc w:val="both"/>
        <w:rPr>
          <w:b/>
          <w:bCs/>
          <w:i/>
          <w:spacing w:val="-4"/>
          <w14:ligatures w14:val="none"/>
        </w:rPr>
      </w:pPr>
      <w:r>
        <w:rPr>
          <w:b/>
          <w:bCs/>
          <w:i/>
          <w:iCs/>
          <w:spacing w:val="-4"/>
          <w:lang w:val="vi-VN"/>
        </w:rPr>
        <w:tab/>
        <w:t xml:space="preserve">Cung thừa, nhưng giấc mơ an cư ngày càng xa</w:t>
      </w:r>
      <w:r>
        <w:rPr>
          <w:b/>
          <w:bCs/>
          <w:i/>
          <w:iCs/>
          <w:spacing w:val="-4"/>
          <w:lang w:val="vi-VN"/>
        </w:rPr>
      </w:r>
      <w:r>
        <w:rPr>
          <w:b/>
          <w:bCs/>
          <w:i/>
          <w:spacing w:val="-4"/>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firstLine="0" w:left="0"/>
        <w:jc w:val="both"/>
        <w:rPr>
          <w:spacing w:val="-4"/>
          <w:lang w:val="vi-VN"/>
          <w14:ligatures w14:val="none"/>
        </w:rPr>
      </w:pPr>
      <w:r>
        <w:rPr>
          <w:spacing w:val="-4"/>
          <w:lang w:val="vi-VN"/>
        </w:rPr>
        <w:tab/>
      </w:r>
      <w:r>
        <w:rPr>
          <w:spacing w:val="-4"/>
          <w:lang w:val="vi-VN"/>
        </w:rPr>
        <w:t xml:space="preserve">Giá bất động sản tăng nhanh đang khiến giấc mơ an cư của nhiều người lao động ngày càng trở nên xa vời. Ở phân khúc nhà ở riêng lẻ, nếu như khoảng 2 năm trước, với 2 tỷ đồng, người dân có thể mua được những lô đất có đường rộng, ô tô đi lại thuận tiện tại </w:t>
      </w:r>
      <w:r>
        <w:rPr>
          <w:spacing w:val="-4"/>
          <w:lang w:val="vi-VN"/>
        </w:rPr>
        <w:t xml:space="preserve">khu vực trung tâm TP Thanh Hóa cũ, thì hiện nay, mức tài chính này chỉ đủ mua đất trong các ngõ nhỏ.</w:t>
      </w:r>
      <w:r>
        <w:rPr>
          <w:spacing w:val="-4"/>
          <w:lang w:val="vi-VN"/>
        </w:rPr>
      </w:r>
      <w:r>
        <w:rPr>
          <w:spacing w:val="-4"/>
          <w:lang w:val="vi-VN"/>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firstLine="0" w:left="0"/>
        <w:jc w:val="both"/>
        <w:rPr>
          <w:spacing w:val="-4"/>
          <w:lang w:val="vi-VN"/>
          <w14:ligatures w14:val="none"/>
        </w:rPr>
      </w:pPr>
      <w:r>
        <w:rPr>
          <w:spacing w:val="-4"/>
          <w:lang w:val="vi-VN"/>
        </w:rPr>
        <w:tab/>
      </w:r>
      <w:r>
        <w:rPr>
          <w:spacing w:val="-4"/>
          <w:lang w:val="vi-VN"/>
        </w:rPr>
        <w:t xml:space="preserve">Chị Hoàng Thùy Lan, phường Hạc Thành, chia sẻ: “Năm 2024, gia đình tôi tích lũy được khoảng 1 tỷ đồng, dự định vay thêm ngân hàng để mua một mảnh đất khoảng 60m2, nhưng do lo ngại lãi suất không ổn định nên chần chừ. Đến nay, khi dành dụm thêm được hơn 400</w:t>
      </w:r>
      <w:r>
        <w:rPr>
          <w:spacing w:val="-4"/>
          <w:lang w:val="vi-VN"/>
        </w:rPr>
        <w:t xml:space="preserve"> triệu đồng thì lô đất ấy đã tăng lên 3,3 tỷ đồng, hoàn toàn ngoài khả năng và hiện vẫn đành ở thuê trong căn chung cư nhỏ".</w:t>
      </w:r>
      <w:r>
        <w:rPr>
          <w:spacing w:val="-4"/>
          <w:lang w:val="vi-VN"/>
        </w:rPr>
      </w:r>
      <w:r>
        <w:rPr>
          <w:spacing w:val="-4"/>
          <w:lang w:val="vi-VN"/>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firstLine="0" w:left="0"/>
        <w:jc w:val="both"/>
        <w:rPr>
          <w:spacing w:val="-4"/>
          <w:lang w:val="vi-VN"/>
          <w14:ligatures w14:val="none"/>
        </w:rPr>
      </w:pPr>
      <w:r>
        <w:rPr>
          <w:spacing w:val="-4"/>
          <w:lang w:val="vi-VN"/>
        </w:rPr>
        <w:tab/>
      </w:r>
      <w:r>
        <w:rPr>
          <w:spacing w:val="-4"/>
          <w:lang w:val="vi-VN"/>
        </w:rPr>
        <w:t xml:space="preserve">Tại các xã từng là trung tâm huyện cũ, tình trạng giá đất trúng đấu giá cao, trong khi nhiều lô đất rơi vào tay giới đầu cơ, cũng khiến người có nhu cầu thật khó tiếp cận. Anh Lê Ngọc Long, một người dân vừa đi xuất khẩu lao động về, bày tỏ: “Tôi tích lũy </w:t>
      </w:r>
      <w:r>
        <w:rPr>
          <w:spacing w:val="-4"/>
          <w:lang w:val="vi-VN"/>
        </w:rPr>
        <w:t xml:space="preserve">được ít vốn, muốn mua một lô đất ở trung tâm để mở cửa hàng kinh doanh. Nhưng ngay cả ở khu vực ven, tiện ích chưa đồng bộ, giá đã bị đẩy lên 3 - 4 tỷ đồng mỗi lô, vượt xa khả năng của người lao động”.</w:t>
      </w:r>
      <w:r>
        <w:rPr>
          <w:spacing w:val="-4"/>
          <w:lang w:val="vi-VN"/>
        </w:rPr>
      </w:r>
      <w:r>
        <w:rPr>
          <w:spacing w:val="-4"/>
          <w:lang w:val="vi-VN"/>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firstLine="0" w:left="0"/>
        <w:jc w:val="both"/>
        <w:rPr>
          <w:spacing w:val="-4"/>
          <w:lang w:val="vi-VN"/>
          <w14:ligatures w14:val="none"/>
        </w:rPr>
      </w:pPr>
      <w:r>
        <w:rPr>
          <w:spacing w:val="-4"/>
          <w:lang w:val="vi-VN"/>
        </w:rPr>
        <w:tab/>
      </w:r>
      <w:r>
        <w:rPr>
          <w:spacing w:val="-4"/>
          <w:lang w:val="vi-VN"/>
        </w:rPr>
        <w:t xml:space="preserve">Ở phân khúc chung cư, dù có thể sử dụng ngay, giá tăng mạnh cũng khiến nhiều người trẻ gặp khó. Chị Nguyễn Thị Vân, đang làm việc tại Hà Nội và có ý định trở về Thanh Hóa, cho biết: “Hiện một căn chung cư thương mại 2 phòng ngủ, khoảng 60m2 đã lên tới gần </w:t>
      </w:r>
      <w:r>
        <w:rPr>
          <w:spacing w:val="-4"/>
          <w:lang w:val="vi-VN"/>
        </w:rPr>
        <w:t xml:space="preserve">2 tỷ đồng. Thu nhập hơn 20 triệu đồng/tháng không đủ điều kiện mua nhà ở xã hội, còn mua nhà thương mại thì quá sức".</w:t>
      </w:r>
      <w:r>
        <w:rPr>
          <w:spacing w:val="-4"/>
          <w:lang w:val="vi-VN"/>
        </w:rPr>
      </w:r>
      <w:r>
        <w:rPr>
          <w:spacing w:val="-4"/>
          <w:lang w:val="vi-VN"/>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firstLine="0" w:left="0"/>
        <w:jc w:val="both"/>
        <w:rPr>
          <w:spacing w:val="-4"/>
          <w:lang w:val="vi-VN"/>
          <w14:ligatures w14:val="none"/>
        </w:rPr>
      </w:pPr>
      <w:r>
        <w:rPr>
          <w:spacing w:val="-4"/>
          <w:lang w:val="vi-VN"/>
        </w:rPr>
        <w:tab/>
      </w:r>
      <w:r>
        <w:rPr>
          <w:spacing w:val="-4"/>
          <w:lang w:val="vi-VN"/>
        </w:rPr>
        <w:t xml:space="preserve">Giá nhà cao, vượt khả năng chi trả của người dân lao động đã kéo theo hệ quả rõ nét khi nhiều dự án nhà ở chậm được lấp đầy. Theo số liệu khảo sát mới nhất của Sở Xây dựng, toàn tỉnh có khoảng 28.320 sản phẩm nhà ở, đất nền tại các dự án. Trong số này, kho</w:t>
      </w:r>
      <w:r>
        <w:rPr>
          <w:spacing w:val="-4"/>
          <w:lang w:val="vi-VN"/>
        </w:rPr>
        <w:t xml:space="preserve">ảng 5.878 căn đã hoàn thành, đủ điều kiện đưa vào sử dụng, chiếm gần 21%. Tuy nhiên, số lượng thực tế có người dân vào ở chỉ khoảng 1.354 căn, chiếm chưa đến 5%.</w:t>
      </w:r>
      <w:r>
        <w:rPr>
          <w:spacing w:val="-4"/>
          <w:lang w:val="vi-VN"/>
        </w:rPr>
      </w:r>
      <w:r>
        <w:rPr>
          <w:spacing w:val="-4"/>
          <w:lang w:val="vi-VN"/>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firstLine="0" w:left="0"/>
        <w:jc w:val="both"/>
        <w:rPr>
          <w:spacing w:val="-4"/>
          <w:lang w:val="vi-VN"/>
          <w14:ligatures w14:val="none"/>
        </w:rPr>
      </w:pPr>
      <w:r>
        <w:rPr>
          <w:spacing w:val="-4"/>
          <w:lang w:val="vi-VN"/>
        </w:rPr>
        <w:tab/>
      </w:r>
      <w:r>
        <w:rPr>
          <w:spacing w:val="-4"/>
          <w:lang w:val="vi-VN"/>
        </w:rPr>
        <w:t xml:space="preserve">Trong khi đó, giai đoạn 2011-2025, trên địa bàn tỉnh có 5 dự án nhà ở thương mại, khu đô thị đã hoàn thành; 52 dự án đang triển khai với tổng vốn đầu tư trên 53.600 tỷ đồng; cùng hàng trăm dự án dự kiến triển khai trong thời gian tới. Những con số này cho </w:t>
      </w:r>
      <w:r>
        <w:rPr>
          <w:spacing w:val="-4"/>
          <w:lang w:val="vi-VN"/>
        </w:rPr>
        <w:t xml:space="preserve">thấy nguồn cung bất động sản không hề thiếu, nhưng lại đang “lệch pha” với nhu cầu thực tế. Không ít khu đô thị được đầu tư hạ tầng kỹ thuật khá đồng bộ nhưng thiếu trường học, chợ, dịch vụ thiết yếu, cũng bởi một nguyên nhân là rất ít cư dân sinh sống.</w:t>
      </w:r>
      <w:r>
        <w:rPr>
          <w:spacing w:val="-4"/>
          <w:lang w:val="vi-VN"/>
        </w:rPr>
      </w:r>
      <w:r>
        <w:rPr>
          <w:spacing w:val="-4"/>
          <w:lang w:val="vi-VN"/>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firstLine="0" w:left="0"/>
        <w:jc w:val="both"/>
        <w:rPr>
          <w:spacing w:val="-4"/>
          <w:lang w:val="vi-VN"/>
          <w14:ligatures w14:val="none"/>
        </w:rPr>
      </w:pPr>
      <w:r>
        <w:rPr>
          <w:spacing w:val="-4"/>
          <w:lang w:val="vi-VN"/>
        </w:rPr>
        <w:tab/>
      </w:r>
      <w:r>
        <w:rPr>
          <w:spacing w:val="-4"/>
          <w:lang w:val="vi-VN"/>
        </w:rPr>
        <w:t xml:space="preserve">Trước thực trạng trên, việc điều chỉnh định hướng phát triển thị trường bất động sản là yêu cầu cấp thiết nhằm bảo đảm an sinh xã hội và phát triển bền vững. Đại diện Sở Xây dựng cho biết, cùng với tập trung rà soát, tổ chức thực hiện hiệu quả chương trình</w:t>
      </w:r>
      <w:r>
        <w:rPr>
          <w:spacing w:val="-4"/>
          <w:lang w:val="vi-VN"/>
        </w:rPr>
        <w:t xml:space="preserve">, kế hoạch phát triển nhà ở đã được phê duyệt; ưu tiên bố trí quỹ đất phát triển nhà ở xã hội, nhà ở công nhân, nhà ở tái định cư, sở sẽ đẩy mạnh công tác quản lý Nhà nước về thị trường bất động sản; công khai, minh bạch thông tin quy hoạch, dự án, giá gia</w:t>
      </w:r>
      <w:r>
        <w:rPr>
          <w:spacing w:val="-4"/>
          <w:lang w:val="vi-VN"/>
        </w:rPr>
        <w:t xml:space="preserve">o dịch; tăng cường thanh tra, kiểm tra, xử lý nghiêm các hành vi đầu cơ, thao túng giá, góp phần ổn định thị trường và bảo đảm môi trường đầu tư lành mạnh.</w:t>
      </w:r>
      <w:r>
        <w:rPr>
          <w:spacing w:val="-4"/>
          <w:lang w:val="vi-VN"/>
        </w:rPr>
      </w:r>
      <w:r>
        <w:rPr>
          <w:spacing w:val="-4"/>
          <w:lang w:val="vi-VN"/>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firstLine="0" w:left="0"/>
        <w:jc w:val="both"/>
        <w:rPr>
          <w:spacing w:val="-4"/>
          <w:lang w:val="vi-VN"/>
          <w14:ligatures w14:val="none"/>
        </w:rPr>
      </w:pPr>
      <w:r>
        <w:rPr>
          <w:spacing w:val="-4"/>
          <w:lang w:val="vi-VN"/>
        </w:rPr>
        <w:tab/>
      </w:r>
      <w:r>
        <w:rPr>
          <w:spacing w:val="-4"/>
          <w:lang w:val="vi-VN"/>
        </w:rPr>
        <w:t xml:space="preserve">Mới đây, tại phiên họp lần thứ 5 của Ban Chỉ đạo Trung ương về chính sách nhà ở và thị trường bất động sản, Thủ tướng Chính phủ Phạm Minh Chính đã nhấn mạnh yêu cầu đẩy nhanh nguồn cung nhà ở xã hội, đồng thời xây dựng cơ chế phát triển nhà ở cho người thu</w:t>
      </w:r>
      <w:r>
        <w:rPr>
          <w:spacing w:val="-4"/>
          <w:lang w:val="vi-VN"/>
        </w:rPr>
        <w:t xml:space="preserve"> nhập trung bình - nhóm đối tượng có thu nhập trên 20 triệu đồng/tháng nhưng không đủ điều kiện tiếp cận nhà ở xã hội. Thủ tướng cũng chỉ đạo nghiên cứu các giải pháp kéo giảm giá nhà ở thương mại, nhất là chung cư, về mức hợp lý; đồng thời rà soát chính s</w:t>
      </w:r>
      <w:r>
        <w:rPr>
          <w:spacing w:val="-4"/>
          <w:lang w:val="vi-VN"/>
        </w:rPr>
        <w:t xml:space="preserve">ách thuế nhằm hạn chế đầu cơ, thổi giá bất động sản, hướng dòng vốn đầu tư vào sản xuất, kinh doanh.</w:t>
      </w:r>
      <w:r>
        <w:rPr>
          <w:spacing w:val="-4"/>
          <w:lang w:val="vi-VN"/>
        </w:rPr>
      </w:r>
      <w:r>
        <w:rPr>
          <w:spacing w:val="-4"/>
          <w:lang w:val="vi-VN"/>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firstLine="0" w:left="0"/>
        <w:jc w:val="center"/>
        <w:rPr>
          <w:bCs/>
          <w:i/>
          <w:spacing w:val="-4"/>
          <w14:ligatures w14:val="none"/>
        </w:rPr>
      </w:pPr>
      <w:r>
        <w:rPr>
          <w:i/>
          <w:iCs/>
          <w:spacing w:val="-4"/>
          <w:lang w:val="vi-VN"/>
        </w:rPr>
        <w:t xml:space="preserve">(Nguồn tham khảo: </w:t>
      </w:r>
      <w:r>
        <w:rPr>
          <w:i/>
          <w:iCs/>
          <w:spacing w:val="-4"/>
          <w:lang w:val="vi-VN"/>
        </w:rPr>
        <w:t xml:space="preserve">https://baothanhhoa.vn/thi-truong-bat-dong-san-nguon-cung-doi-dao-nguoi-mua-kho-tiep-can-276675.htm</w:t>
      </w:r>
      <w:r>
        <w:rPr>
          <w:i/>
          <w:iCs/>
          <w:spacing w:val="-4"/>
          <w:lang w:val="vi-VN"/>
        </w:rPr>
        <w:t xml:space="preserve">)</w:t>
      </w:r>
      <w:r>
        <w:rPr>
          <w:i/>
          <w:iCs/>
          <w:spacing w:val="-4"/>
          <w:lang w:val="vi-VN"/>
        </w:rPr>
      </w:r>
      <w:r>
        <w:rPr>
          <w:bCs/>
          <w:i/>
          <w:spacing w:val="-4"/>
          <w14:ligatures w14:val="none"/>
        </w:rPr>
      </w:r>
    </w:p>
    <w:p>
      <w:pPr>
        <w:pStyle w:val="102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Giá trị quyền sử dụng đất tại thửa đất số: 339, tờ bản đồ số 28 bản đồ địa chính xã Hoằng Tiến đo đạc năm 2015 có địa chỉ: Thôn Tiền Thôn, xã Hoằng Tiến, huyện Hoằng Hoá, tỉnh Thanh Hoá </w:t>
            </w:r>
            <w:r>
              <w:rPr>
                <w:rFonts w:ascii="Times New Roman" w:hAnsi="Times New Roman" w:eastAsia="Times New Roman" w:cs="Times New Roman"/>
                <w:b/>
                <w:i/>
                <w:iCs/>
                <w:color w:val="000000"/>
                <w:sz w:val="24"/>
              </w:rPr>
              <w:t xml:space="preserve">(Nay là xã Hoằng Tiến, tỉnh Thanh Hoá)</w:t>
            </w:r>
            <w:r>
              <w:rPr>
                <w:rFonts w:ascii="Times New Roman" w:hAnsi="Times New Roman" w:eastAsia="Times New Roman" w:cs="Times New Roman"/>
                <w:b/>
                <w:color w:val="000000"/>
                <w:sz w:val="24"/>
              </w:rPr>
              <w:t xml:space="preserve"> theo Giấy chứng nhận quyền sử d</w:t>
            </w:r>
            <w:r>
              <w:rPr>
                <w:rFonts w:ascii="Times New Roman" w:hAnsi="Times New Roman" w:eastAsia="Times New Roman" w:cs="Times New Roman"/>
                <w:b/>
                <w:color w:val="000000"/>
                <w:sz w:val="24"/>
              </w:rPr>
              <w:t xml:space="preserve">ụng đất quyền sở hữu nhà ở và tài sản khác gắn liền với đất số: DD 847531, số vào sổ cấp GCN: CS 03307 do Sở Tài nguyên và Môi trường tỉnh Thanh Hoá cấp ngày 22/02/2022; Chủ sử dụng đất là Ông Đỗ Văn Hùng và vợ bà Nguyễn Thanh Thuỷ.</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339</w:t>
            </w: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28 bản đồ địa chính xã Hoằng Tiến đo đạc năm 2015</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Thôn Tiền Thôn, xã Hoằng Tiến, huyện Hoằng Hoá, tỉnh Thanh Hoá </w:t>
            </w:r>
            <w:r>
              <w:rPr>
                <w:rFonts w:ascii="Times New Roman" w:hAnsi="Times New Roman" w:eastAsia="Times New Roman" w:cs="Times New Roman"/>
                <w:i/>
                <w:color w:val="000000"/>
                <w:sz w:val="24"/>
              </w:rPr>
              <w:t xml:space="preserve">(Nay là xã Hoằng Tiến, tỉnh Thanh Hoá)</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157,9</w:t>
            </w: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tại nông thôn</w:t>
            </w: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Nguồn gốc sử dụng đất:</w:t>
            </w: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Nhận chuyển nhượng đất được Nhà nước giao đất có thu tiền sử dụng đất</w:t>
            </w: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Ghi chú:</w:t>
            </w:r>
            <w:r/>
          </w:p>
        </w:tc>
        <w:tc>
          <w:tcPr>
            <w:gridSpan w:val="3"/>
            <w:tcBorders/>
            <w:tcW w:w="6259" w:type="dxa"/>
            <w:vAlign w:val="center"/>
            <w:vMerge w:val="restart"/>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Lô số B2 - MBQH số 85/MBQH-UBND ngày 01/12/2021 của UBND huyện.</w:t>
            </w:r>
            <w:r>
              <w:rPr>
                <w:rFonts w:ascii="Times New Roman" w:hAnsi="Times New Roman" w:eastAsia="Times New Roman" w:cs="Times New Roman"/>
                <w:color w:val="000000"/>
                <w:sz w:val="24"/>
                <w:szCs w:val="24"/>
              </w:rPr>
            </w:r>
          </w:p>
          <w:p>
            <w:pPr>
              <w:pBdr/>
              <w:spacing w:after="0" w:before="0" w:line="240" w:lineRule="auto"/>
              <w:ind/>
              <w:jc w:val="both"/>
              <w:rPr/>
            </w:pPr>
            <w:r>
              <w:rPr>
                <w:rFonts w:ascii="Times New Roman" w:hAnsi="Times New Roman" w:eastAsia="Times New Roman" w:cs="Times New Roman"/>
                <w:color w:val="000000"/>
                <w:sz w:val="24"/>
              </w:rPr>
              <w:t xml:space="preserve">Nhận chuyển nhượng từ giấy chứng nhận quyền sử dụng đất số: DD 757843, số vào sổ: CH 03043, do UBND huyện Hoằng Hoá cấp ngày 08/12/2021.</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Tại thời điểm thẩm định, Tổ thẩm định tham khảo website quy hoạch Guland nhận thấy tài sản thẩm định nằm trong quy hoạch đất ở.</w:t>
            </w:r>
            <w:r/>
          </w:p>
          <w:p>
            <w:pPr>
              <w:pBdr/>
              <w:spacing w:after="0" w:before="0" w:line="240" w:lineRule="auto"/>
              <w:ind/>
              <w:jc w:val="both"/>
              <w:rPr/>
            </w:pPr>
            <w:r>
              <mc:AlternateContent>
                <mc:Choice Requires="wpg">
                  <w:drawing>
                    <wp:inline xmlns:wp="http://schemas.openxmlformats.org/drawingml/2006/wordprocessingDrawing" distT="0" distB="0" distL="0" distR="0">
                      <wp:extent cx="3881141" cy="2741901"/>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64298" name=""/>
                              <pic:cNvPicPr>
                                <a:picLocks noChangeAspect="1"/>
                              </pic:cNvPicPr>
                              <pic:nvPr/>
                            </pic:nvPicPr>
                            <pic:blipFill rotWithShape="1">
                              <a:blip r:embed="rId17"/>
                              <a:stretch/>
                            </pic:blipFill>
                            <pic:spPr bwMode="auto">
                              <a:xfrm flipH="0" flipV="0">
                                <a:off x="0" y="0"/>
                                <a:ext cx="3881141" cy="27419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05.60pt;height:215.90pt;mso-wrap-distance-left:0.00pt;mso-wrap-distance-top:0.00pt;mso-wrap-distance-right:0.00pt;mso-wrap-distance-bottom:0.00pt;z-index:1;" stroked="false">
                      <v:imagedata r:id="rId17" o:title=""/>
                      <o:lock v:ext="edit" rotation="t"/>
                    </v:shape>
                  </w:pict>
                </mc:Fallback>
              </mc:AlternateConten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nhựa</w:t>
            </w: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 mặt tiền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15m+vỉa hè mõi bên 4,5m</w:t>
            </w: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15m+vỉa hè mõi bên 4,5m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nằm tiếp giáp đường nhựa thôn Tiền Thôn, xã Hoằng Tiến, tỉnh Thanh Hoá</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Tây: Tiếp giáp đường nhựa khoảng 15m+vỉa hè mỗi bên 4,5m</w:t>
            </w:r>
            <w:r>
              <w:rPr>
                <w:rFonts w:ascii="Times New Roman" w:hAnsi="Times New Roman" w:eastAsia="Times New Roman" w:cs="Times New Roman"/>
                <w:color w:val="000000"/>
                <w:sz w:val="24"/>
                <w:szCs w:val="24"/>
              </w:rPr>
            </w:r>
          </w:p>
          <w:p>
            <w:pPr>
              <w:pBdr/>
              <w:spacing w:after="0" w:before="0" w:line="240" w:lineRule="auto"/>
              <w:ind/>
              <w:jc w:val="both"/>
              <w:rPr/>
            </w:pPr>
            <w:r>
              <w:rPr>
                <w:rFonts w:ascii="Times New Roman" w:hAnsi="Times New Roman" w:eastAsia="Times New Roman" w:cs="Times New Roman"/>
                <w:color w:val="000000"/>
                <w:sz w:val="24"/>
              </w:rPr>
              <w:t xml:space="preserve">Các hướng khác: Tiếp giáp các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19.847652</w:t>
            </w:r>
            <w:r>
              <w:rPr>
                <w:color w:val="000000"/>
              </w:rPr>
              <w:t xml:space="preserve">, </w:t>
            </w:r>
            <w:r>
              <w:rPr>
                <w:color w:val="000000"/>
              </w:rPr>
              <w:t xml:space="preserve">105.935871</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386667" cy="290755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537363" name=""/>
                              <pic:cNvPicPr>
                                <a:picLocks noChangeAspect="1"/>
                              </pic:cNvPicPr>
                              <pic:nvPr/>
                            </pic:nvPicPr>
                            <pic:blipFill rotWithShape="1">
                              <a:blip r:embed="rId18"/>
                              <a:stretch/>
                            </pic:blipFill>
                            <pic:spPr bwMode="auto">
                              <a:xfrm flipH="0" flipV="0">
                                <a:off x="0" y="0"/>
                                <a:ext cx="5386667" cy="29075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4.15pt;height:228.94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157,9</w:t>
            </w: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7,00</w:t>
            </w: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22,39-22,59</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Vuông vức</w:t>
            </w: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Tây</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w:t>
            </w:r>
            <w:r>
              <w:rPr>
                <w:color w:val="000000"/>
              </w:rPr>
            </w:r>
            <w:r>
              <w:rPr>
                <w:color w:val="000000"/>
              </w:rPr>
            </w:r>
          </w:p>
          <w:p>
            <w:pPr>
              <w:pBdr/>
              <w:spacing/>
              <w:ind/>
              <w:rPr>
                <w:color w:val="000000"/>
              </w:rPr>
            </w:pPr>
            <w:r>
              <w:rPr>
                <w:color w:val="000000"/>
              </w:rPr>
              <w:t xml:space="preserve">Hạ tầng thoát nước: Rãnh có nắp, </w:t>
            </w:r>
            <w:r>
              <w:rPr>
                <w:color w:val="000000"/>
              </w:rPr>
            </w:r>
            <w:r>
              <w:rPr>
                <w:color w:val="000000"/>
              </w:rPr>
            </w:r>
          </w:p>
          <w:p>
            <w:pPr>
              <w:pBdr/>
              <w:spacing/>
              <w:ind/>
              <w:rPr>
                <w:color w:val="000000"/>
              </w:rPr>
            </w:pPr>
            <w:r>
              <w:rPr>
                <w:color w:val="000000"/>
              </w:rPr>
              <w:t xml:space="preserve">Hạ tầng cấp điện: Điện lưới, </w:t>
            </w:r>
            <w:r>
              <w:rPr>
                <w:color w:val="000000"/>
              </w:rPr>
            </w:r>
            <w:r>
              <w:rPr>
                <w:color w:val="000000"/>
              </w:rPr>
            </w:r>
          </w:p>
          <w:p>
            <w:pPr>
              <w:pBdr/>
              <w:spacing/>
              <w:ind/>
              <w:rPr>
                <w:color w:val="000000"/>
              </w:rPr>
            </w:pPr>
            <w:r>
              <w:rPr>
                <w:color w:val="000000"/>
              </w:rPr>
              <w:t xml:space="preserve">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Khá</w:t>
            </w: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Phù hợp để ở/kinh doanh</w:t>
            </w: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 </w:t>
            </w:r>
            <w:r>
              <w:rPr>
                <w:b/>
                <w:bCs/>
                <w:i/>
                <w:iCs/>
                <w:color w:val="000000"/>
              </w:rPr>
              <w:t xml:space="preserve">(Đất trống)</w:t>
            </w:r>
            <w:r>
              <w:rPr>
                <w:b/>
                <w:bCs/>
                <w:color w:val="000000"/>
              </w:rPr>
            </w:r>
            <w:r>
              <w:rPr>
                <w:b/>
                <w:bCs/>
                <w:color w:val="000000"/>
              </w:rP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0"/>
        <w:jc w:val="center"/>
        <w:tblW w:w="0" w:type="auto"/>
        <w:tblBorders/>
        <w:tblLayout w:type="fixed"/>
        <w:tblLook w:val="04A0" w:firstRow="1" w:lastRow="0" w:firstColumn="1" w:lastColumn="0" w:noHBand="0" w:noVBand="1"/>
      </w:tblPr>
      <w:tblGrid>
        <w:gridCol w:w="732"/>
        <w:gridCol w:w="1843"/>
        <w:gridCol w:w="2126"/>
        <w:gridCol w:w="2268"/>
        <w:gridCol w:w="1274"/>
        <w:gridCol w:w="1274"/>
      </w:tblGrid>
      <w:tr>
        <w:trPr>
          <w:jc w:val="center"/>
        </w:trPr>
        <w:tc>
          <w:tcPr>
            <w:tcBorders/>
            <w:tcW w:w="732" w:type="dxa"/>
            <w:vAlign w:val="center"/>
            <w:textDirection w:val="lrTb"/>
            <w:noWrap w:val="false"/>
          </w:tcPr>
          <w:p>
            <w:pPr>
              <w:pBdr/>
              <w:spacing/>
              <w:ind/>
              <w:jc w:val="center"/>
              <w:rPr>
                <w:b/>
                <w:bCs/>
              </w:rPr>
            </w:pPr>
            <w:r>
              <w:rPr>
                <w:b/>
                <w:bCs/>
              </w:rPr>
              <w:t xml:space="preserve">STT</w:t>
            </w:r>
            <w:r>
              <w:rPr>
                <w:b/>
                <w:bCs/>
              </w:rPr>
            </w:r>
            <w:r>
              <w:rPr>
                <w:b/>
                <w:bCs/>
              </w:rPr>
            </w:r>
          </w:p>
        </w:tc>
        <w:tc>
          <w:tcPr>
            <w:tcBorders/>
            <w:tcW w:w="184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2126" w:type="dxa"/>
            <w:vAlign w:val="center"/>
            <w:textDirection w:val="lrTb"/>
            <w:noWrap w:val="false"/>
          </w:tcPr>
          <w:p>
            <w:pPr>
              <w:pBdr/>
              <w:spacing/>
              <w:ind/>
              <w:jc w:val="center"/>
              <w:rPr>
                <w:b/>
                <w:bCs/>
              </w:rPr>
            </w:pPr>
            <w:r>
              <w:rPr>
                <w:b/>
                <w:bCs/>
              </w:rPr>
              <w:t xml:space="preserve">Thông</w:t>
            </w:r>
            <w:r>
              <w:rPr>
                <w:b/>
                <w:bCs/>
              </w:rPr>
              <w:t xml:space="preserve"> tin TSTĐ</w:t>
            </w:r>
            <w:r>
              <w:rPr>
                <w:b/>
                <w:bCs/>
              </w:rPr>
            </w:r>
            <w:r>
              <w:rPr>
                <w:b/>
                <w:bCs/>
              </w:rPr>
            </w:r>
          </w:p>
        </w:tc>
        <w:tc>
          <w:tcPr>
            <w:tcBorders/>
            <w:tcW w:w="2268"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274"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1274"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732" w:type="dxa"/>
            <w:vAlign w:val="center"/>
            <w:textDirection w:val="lrTb"/>
            <w:noWrap w:val="false"/>
          </w:tcPr>
          <w:p>
            <w:pPr>
              <w:pBdr/>
              <w:spacing/>
              <w:ind/>
              <w:jc w:val="center"/>
              <w:rPr/>
            </w:pPr>
            <w:r>
              <w:t xml:space="preserve">1</w:t>
            </w:r>
            <w:r/>
          </w:p>
        </w:tc>
        <w:tc>
          <w:tcPr>
            <w:tcBorders/>
            <w:tcW w:w="1843" w:type="dxa"/>
            <w:vAlign w:val="center"/>
            <w:textDirection w:val="lrTb"/>
            <w:noWrap w:val="false"/>
          </w:tcPr>
          <w:p>
            <w:pPr>
              <w:pBdr/>
              <w:spacing/>
              <w:ind/>
              <w:jc w:val="center"/>
              <w:rPr/>
            </w:pPr>
            <w:r>
              <w:t xml:space="preserve">Địa chỉ trên sổ</w:t>
            </w:r>
            <w:r/>
          </w:p>
        </w:tc>
        <w:tc>
          <w:tcPr>
            <w:tcBorders/>
            <w:tcW w:w="2126" w:type="dxa"/>
            <w:vAlign w:val="center"/>
            <w:textDirection w:val="lrTb"/>
            <w:noWrap w:val="false"/>
          </w:tcPr>
          <w:p>
            <w:pPr>
              <w:pBdr/>
              <w:spacing/>
              <w:ind/>
              <w:jc w:val="center"/>
              <w:rPr/>
            </w:pPr>
            <w:r>
              <w:t xml:space="preserve">Thôn Tiền Thôn, xã Hoằng Tiến, huyện Hoằng Hoá, tỉnh Thanh Hoá</w:t>
            </w:r>
            <w:r>
              <w:t xml:space="preserve"> </w:t>
            </w:r>
            <w:r/>
          </w:p>
        </w:tc>
        <w:tc>
          <w:tcPr>
            <w:tcBorders/>
            <w:tcW w:w="2268" w:type="dxa"/>
            <w:vAlign w:val="center"/>
            <w:textDirection w:val="lrTb"/>
            <w:noWrap w:val="false"/>
          </w:tcPr>
          <w:p>
            <w:pPr>
              <w:pBdr/>
              <w:spacing/>
              <w:ind/>
              <w:jc w:val="center"/>
              <w:rPr/>
            </w:pPr>
            <w:r>
              <w:t xml:space="preserve">Thôn Tiền Thôn, xã Hoằng Tiến, huyện Hoằng Hoá, tỉnh Thanh Hoá</w:t>
            </w:r>
            <w:r>
              <w:t xml:space="preserve">✔</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2</w:t>
            </w:r>
            <w:r/>
          </w:p>
        </w:tc>
        <w:tc>
          <w:tcPr>
            <w:tcBorders/>
            <w:tcW w:w="1843" w:type="dxa"/>
            <w:vAlign w:val="center"/>
            <w:textDirection w:val="lrTb"/>
            <w:noWrap w:val="false"/>
          </w:tcPr>
          <w:p>
            <w:pPr>
              <w:pBdr/>
              <w:spacing/>
              <w:ind/>
              <w:jc w:val="center"/>
              <w:rPr/>
            </w:pPr>
            <w:r>
              <w:t xml:space="preserve">Địa chỉ thực tế</w:t>
            </w:r>
            <w:r/>
          </w:p>
        </w:tc>
        <w:tc>
          <w:tcPr>
            <w:tcBorders/>
            <w:tcW w:w="2126" w:type="dxa"/>
            <w:vAlign w:val="center"/>
            <w:textDirection w:val="lrTb"/>
            <w:noWrap w:val="false"/>
          </w:tcPr>
          <w:p>
            <w:pPr>
              <w:pBdr/>
              <w:spacing/>
              <w:ind/>
              <w:jc w:val="center"/>
              <w:rPr/>
            </w:pPr>
            <w:r>
              <w:t xml:space="preserve">Thôn Tiền Thôn, xã Hoằng Tiến, tỉnh Thanh Hoá</w:t>
            </w:r>
            <w:r/>
          </w:p>
        </w:tc>
        <w:tc>
          <w:tcPr>
            <w:tcBorders/>
            <w:tcW w:w="2268" w:type="dxa"/>
            <w:vAlign w:val="center"/>
            <w:textDirection w:val="lrTb"/>
            <w:noWrap w:val="false"/>
          </w:tcPr>
          <w:p>
            <w:pPr>
              <w:pBdr/>
              <w:spacing/>
              <w:ind/>
              <w:jc w:val="center"/>
              <w:rPr/>
            </w:pPr>
            <w:r>
              <w:t xml:space="preserve">Thôn Tiền Thôn, xã Hoằng Tiến, tỉnh Thanh Hoá</w:t>
            </w:r>
            <w:r>
              <w:t xml:space="preserve">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3</w:t>
            </w:r>
            <w:r/>
          </w:p>
        </w:tc>
        <w:tc>
          <w:tcPr>
            <w:tcBorders/>
            <w:tcW w:w="1843" w:type="dxa"/>
            <w:vAlign w:val="center"/>
            <w:textDirection w:val="lrTb"/>
            <w:noWrap w:val="false"/>
          </w:tcPr>
          <w:p>
            <w:pPr>
              <w:pBdr/>
              <w:spacing/>
              <w:ind/>
              <w:jc w:val="center"/>
              <w:rPr/>
            </w:pPr>
            <w:r>
              <w:t xml:space="preserve">Pháp lý</w:t>
            </w:r>
            <w:r/>
          </w:p>
        </w:tc>
        <w:tc>
          <w:tcPr>
            <w:tcBorders/>
            <w:tcW w:w="2126"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2268"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4</w:t>
            </w:r>
            <w:r/>
          </w:p>
        </w:tc>
        <w:tc>
          <w:tcPr>
            <w:tcBorders/>
            <w:tcW w:w="1843" w:type="dxa"/>
            <w:vAlign w:val="center"/>
            <w:textDirection w:val="lrTb"/>
            <w:noWrap w:val="false"/>
          </w:tcPr>
          <w:p>
            <w:pPr>
              <w:pBdr/>
              <w:spacing/>
              <w:ind/>
              <w:jc w:val="center"/>
              <w:rPr/>
            </w:pPr>
            <w:r>
              <w:t xml:space="preserve">Loại đất</w:t>
            </w:r>
            <w:r/>
          </w:p>
        </w:tc>
        <w:tc>
          <w:tcPr>
            <w:tcBorders/>
            <w:tcW w:w="2126" w:type="dxa"/>
            <w:vAlign w:val="center"/>
            <w:textDirection w:val="lrTb"/>
            <w:noWrap w:val="false"/>
          </w:tcPr>
          <w:p>
            <w:pPr>
              <w:pBdr/>
              <w:spacing/>
              <w:ind/>
              <w:jc w:val="center"/>
              <w:rPr/>
            </w:pPr>
            <w:r>
              <w:t xml:space="preserve">Đất ở tại nông thôn</w:t>
            </w:r>
            <w:r/>
          </w:p>
        </w:tc>
        <w:tc>
          <w:tcPr>
            <w:tcBorders/>
            <w:tcW w:w="2268" w:type="dxa"/>
            <w:vAlign w:val="center"/>
            <w:textDirection w:val="lrTb"/>
            <w:noWrap w:val="false"/>
          </w:tcPr>
          <w:p>
            <w:pPr>
              <w:pBdr/>
              <w:spacing/>
              <w:ind/>
              <w:jc w:val="center"/>
              <w:rPr/>
            </w:pPr>
            <w:r>
              <w:t xml:space="preserve">Đất ở tại nông thôn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5</w:t>
            </w:r>
            <w:r/>
          </w:p>
        </w:tc>
        <w:tc>
          <w:tcPr>
            <w:tcBorders/>
            <w:tcW w:w="1843" w:type="dxa"/>
            <w:vAlign w:val="center"/>
            <w:textDirection w:val="lrTb"/>
            <w:noWrap w:val="false"/>
          </w:tcPr>
          <w:p>
            <w:pPr>
              <w:pBdr/>
              <w:spacing/>
              <w:ind/>
              <w:jc w:val="center"/>
              <w:rPr/>
            </w:pPr>
            <w:r>
              <w:t xml:space="preserve">Thời hạn sử dụng</w:t>
            </w:r>
            <w:r/>
          </w:p>
        </w:tc>
        <w:tc>
          <w:tcPr>
            <w:tcBorders/>
            <w:tcW w:w="2126" w:type="dxa"/>
            <w:vAlign w:val="center"/>
            <w:textDirection w:val="lrTb"/>
            <w:noWrap w:val="false"/>
          </w:tcPr>
          <w:p>
            <w:pPr>
              <w:pBdr/>
              <w:spacing/>
              <w:ind/>
              <w:jc w:val="center"/>
              <w:rPr/>
            </w:pPr>
            <w:r>
              <w:t xml:space="preserve">Lâu dài</w:t>
            </w:r>
            <w:r/>
          </w:p>
        </w:tc>
        <w:tc>
          <w:tcPr>
            <w:tcBorders/>
            <w:tcW w:w="2268" w:type="dxa"/>
            <w:vAlign w:val="center"/>
            <w:textDirection w:val="lrTb"/>
            <w:noWrap w:val="false"/>
          </w:tcPr>
          <w:p>
            <w:pPr>
              <w:pBdr/>
              <w:spacing/>
              <w:ind/>
              <w:jc w:val="center"/>
              <w:rPr/>
            </w:pPr>
            <w:r>
              <w:t xml:space="preserve">Lâu dài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6</w:t>
            </w:r>
            <w:r/>
          </w:p>
        </w:tc>
        <w:tc>
          <w:tcPr>
            <w:tcBorders/>
            <w:tcW w:w="1843" w:type="dxa"/>
            <w:vAlign w:val="center"/>
            <w:textDirection w:val="lrTb"/>
            <w:noWrap w:val="false"/>
          </w:tcPr>
          <w:p>
            <w:pPr>
              <w:pBdr/>
              <w:spacing/>
              <w:ind/>
              <w:jc w:val="center"/>
              <w:rPr/>
            </w:pPr>
            <w:r>
              <w:t xml:space="preserve">Kết cấu mặt đường</w:t>
            </w:r>
            <w:r/>
          </w:p>
        </w:tc>
        <w:tc>
          <w:tcPr>
            <w:tcBorders/>
            <w:tcW w:w="2126" w:type="dxa"/>
            <w:vAlign w:val="center"/>
            <w:textDirection w:val="lrTb"/>
            <w:noWrap w:val="false"/>
          </w:tcPr>
          <w:p>
            <w:pPr>
              <w:pBdr/>
              <w:spacing/>
              <w:ind/>
              <w:jc w:val="center"/>
              <w:rPr/>
            </w:pPr>
            <w:r>
              <w:t xml:space="preserve">Đường nhựa có vỉa hè</w:t>
            </w:r>
            <w:r/>
          </w:p>
        </w:tc>
        <w:tc>
          <w:tcPr>
            <w:tcBorders/>
            <w:tcW w:w="2268" w:type="dxa"/>
            <w:vAlign w:val="center"/>
            <w:textDirection w:val="lrTb"/>
            <w:noWrap w:val="false"/>
          </w:tcPr>
          <w:p>
            <w:pPr>
              <w:pBdr/>
              <w:spacing/>
              <w:ind/>
              <w:jc w:val="center"/>
              <w:rPr/>
            </w:pPr>
            <w:r>
              <w:t xml:space="preserve">Đường nhựa có vỉa hè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7</w:t>
            </w:r>
            <w:r/>
          </w:p>
        </w:tc>
        <w:tc>
          <w:tcPr>
            <w:tcBorders/>
            <w:tcW w:w="1843" w:type="dxa"/>
            <w:vAlign w:val="center"/>
            <w:textDirection w:val="lrTb"/>
            <w:noWrap w:val="false"/>
          </w:tcPr>
          <w:p>
            <w:pPr>
              <w:pBdr/>
              <w:spacing/>
              <w:ind/>
              <w:jc w:val="center"/>
              <w:rPr/>
            </w:pPr>
            <w:r>
              <w:t xml:space="preserve">Mặt cắt đường trước nhà</w:t>
            </w:r>
            <w:r/>
          </w:p>
        </w:tc>
        <w:tc>
          <w:tcPr>
            <w:tcBorders/>
            <w:tcW w:w="2126" w:type="dxa"/>
            <w:vAlign w:val="center"/>
            <w:textDirection w:val="lrTb"/>
            <w:noWrap w:val="false"/>
          </w:tcPr>
          <w:p>
            <w:pPr>
              <w:pBdr/>
              <w:spacing/>
              <w:ind/>
              <w:jc w:val="center"/>
              <w:rPr/>
            </w:pPr>
            <w:r>
              <w:t xml:space="preserve">24,0</w:t>
            </w:r>
            <w:r/>
          </w:p>
        </w:tc>
        <w:tc>
          <w:tcPr>
            <w:tcBorders/>
            <w:tcW w:w="2268" w:type="dxa"/>
            <w:vAlign w:val="center"/>
            <w:textDirection w:val="lrTb"/>
            <w:noWrap w:val="false"/>
          </w:tcPr>
          <w:p>
            <w:pPr>
              <w:pBdr/>
              <w:spacing/>
              <w:ind/>
              <w:jc w:val="center"/>
              <w:rPr/>
            </w:pPr>
            <w:r>
              <w:t xml:space="preserve">24,0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8</w:t>
            </w:r>
            <w:r/>
          </w:p>
        </w:tc>
        <w:tc>
          <w:tcPr>
            <w:tcBorders/>
            <w:tcW w:w="1843" w:type="dxa"/>
            <w:vAlign w:val="center"/>
            <w:textDirection w:val="lrTb"/>
            <w:noWrap w:val="false"/>
          </w:tcPr>
          <w:p>
            <w:pPr>
              <w:pBdr/>
              <w:spacing/>
              <w:ind/>
              <w:jc w:val="center"/>
              <w:rPr/>
            </w:pPr>
            <w:r>
              <w:t xml:space="preserve">Diện tích</w:t>
            </w: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157,9</w:t>
            </w:r>
            <w:r/>
          </w:p>
        </w:tc>
        <w:tc>
          <w:tcPr>
            <w:tcBorders/>
            <w:tcW w:w="226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157,9 </w:t>
            </w:r>
            <w:r>
              <w:t xml:space="preserve">✔</w:t>
            </w:r>
            <w:r>
              <w:rPr>
                <w:rFonts w:ascii="Times New Roman" w:hAnsi="Times New Roman" w:eastAsia="Times New Roman" w:cs="Times New Roman"/>
                <w:color w:val="000000"/>
                <w:sz w:val="24"/>
              </w:rPr>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9</w:t>
            </w:r>
            <w:r/>
          </w:p>
        </w:tc>
        <w:tc>
          <w:tcPr>
            <w:tcBorders/>
            <w:tcW w:w="1843" w:type="dxa"/>
            <w:vAlign w:val="center"/>
            <w:textDirection w:val="lrTb"/>
            <w:noWrap w:val="false"/>
          </w:tcPr>
          <w:p>
            <w:pPr>
              <w:pBdr/>
              <w:spacing/>
              <w:ind/>
              <w:jc w:val="center"/>
              <w:rPr/>
            </w:pPr>
            <w:r>
              <w:t xml:space="preserve">Mặt tiền</w:t>
            </w:r>
            <w:r/>
          </w:p>
        </w:tc>
        <w:tc>
          <w:tcPr>
            <w:tcBorders/>
            <w:tcW w:w="2126" w:type="dxa"/>
            <w:vAlign w:val="center"/>
            <w:textDirection w:val="lrTb"/>
            <w:noWrap w:val="false"/>
          </w:tcPr>
          <w:p>
            <w:pPr>
              <w:pBdr/>
              <w:spacing/>
              <w:ind/>
              <w:jc w:val="center"/>
              <w:rPr/>
            </w:pPr>
            <w:r>
              <w:t xml:space="preserve">7,0</w:t>
            </w:r>
            <w:r/>
          </w:p>
        </w:tc>
        <w:tc>
          <w:tcPr>
            <w:tcBorders/>
            <w:tcW w:w="2268" w:type="dxa"/>
            <w:vAlign w:val="center"/>
            <w:textDirection w:val="lrTb"/>
            <w:noWrap w:val="false"/>
          </w:tcPr>
          <w:p>
            <w:pPr>
              <w:pBdr/>
              <w:spacing/>
              <w:ind/>
              <w:jc w:val="center"/>
              <w:rPr/>
            </w:pPr>
            <w:r>
              <w:t xml:space="preserve">7,0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10</w:t>
            </w:r>
            <w:r/>
          </w:p>
        </w:tc>
        <w:tc>
          <w:tcPr>
            <w:tcBorders/>
            <w:tcW w:w="1843" w:type="dxa"/>
            <w:vAlign w:val="center"/>
            <w:textDirection w:val="lrTb"/>
            <w:noWrap w:val="false"/>
          </w:tcPr>
          <w:p>
            <w:pPr>
              <w:pBdr/>
              <w:spacing/>
              <w:ind/>
              <w:jc w:val="center"/>
              <w:rPr/>
            </w:pPr>
            <w:r>
              <w:t xml:space="preserve">Chiều sâu</w:t>
            </w:r>
            <w:r/>
          </w:p>
        </w:tc>
        <w:tc>
          <w:tcPr>
            <w:tcBorders/>
            <w:tcW w:w="2126" w:type="dxa"/>
            <w:vAlign w:val="center"/>
            <w:textDirection w:val="lrTb"/>
            <w:noWrap w:val="false"/>
          </w:tcPr>
          <w:p>
            <w:pPr>
              <w:pBdr/>
              <w:spacing/>
              <w:ind/>
              <w:jc w:val="center"/>
              <w:rPr/>
            </w:pPr>
            <w:r>
              <w:t xml:space="preserve">22,39-22,59</w:t>
            </w:r>
            <w:r/>
          </w:p>
        </w:tc>
        <w:tc>
          <w:tcPr>
            <w:tcBorders/>
            <w:tcW w:w="2268" w:type="dxa"/>
            <w:vAlign w:val="center"/>
            <w:textDirection w:val="lrTb"/>
            <w:noWrap w:val="false"/>
          </w:tcPr>
          <w:p>
            <w:pPr>
              <w:pBdr/>
              <w:spacing/>
              <w:ind/>
              <w:jc w:val="center"/>
              <w:rPr/>
            </w:pPr>
            <w:r>
              <w:t xml:space="preserve">22,39-22,59</w:t>
            </w:r>
            <w:r>
              <w:t xml:space="preserve">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11</w:t>
            </w:r>
            <w:r/>
          </w:p>
        </w:tc>
        <w:tc>
          <w:tcPr>
            <w:tcBorders/>
            <w:tcW w:w="1843" w:type="dxa"/>
            <w:vAlign w:val="center"/>
            <w:textDirection w:val="lrTb"/>
            <w:noWrap w:val="false"/>
          </w:tcPr>
          <w:p>
            <w:pPr>
              <w:pBdr/>
              <w:spacing/>
              <w:ind/>
              <w:jc w:val="center"/>
              <w:rPr/>
            </w:pPr>
            <w:r>
              <w:t xml:space="preserve">Mặt tiếp giáp</w:t>
            </w:r>
            <w:r/>
          </w:p>
        </w:tc>
        <w:tc>
          <w:tcPr>
            <w:tcBorders/>
            <w:tcW w:w="2126" w:type="dxa"/>
            <w:vAlign w:val="center"/>
            <w:textDirection w:val="lrTb"/>
            <w:noWrap w:val="false"/>
          </w:tcPr>
          <w:p>
            <w:pPr>
              <w:pBdr/>
              <w:spacing/>
              <w:ind/>
              <w:jc w:val="center"/>
              <w:rPr/>
            </w:pPr>
            <w:r>
              <w:t xml:space="preserve">Tiếp giáp 1 mặt tiền</w:t>
            </w:r>
            <w:r/>
          </w:p>
        </w:tc>
        <w:tc>
          <w:tcPr>
            <w:tcBorders/>
            <w:tcW w:w="2268" w:type="dxa"/>
            <w:vAlign w:val="center"/>
            <w:textDirection w:val="lrTb"/>
            <w:noWrap w:val="false"/>
          </w:tcPr>
          <w:p>
            <w:pPr>
              <w:pBdr/>
              <w:spacing/>
              <w:ind/>
              <w:jc w:val="center"/>
              <w:rPr/>
            </w:pPr>
            <w:r>
              <w:t xml:space="preserve">Tiếp giáp 1 mặt tiền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12</w:t>
            </w:r>
            <w:r/>
          </w:p>
        </w:tc>
        <w:tc>
          <w:tcPr>
            <w:tcBorders/>
            <w:tcW w:w="1843" w:type="dxa"/>
            <w:vAlign w:val="center"/>
            <w:textDirection w:val="lrTb"/>
            <w:noWrap w:val="false"/>
          </w:tcPr>
          <w:p>
            <w:pPr>
              <w:pBdr/>
              <w:spacing/>
              <w:ind/>
              <w:jc w:val="center"/>
              <w:rPr/>
            </w:pPr>
            <w:r>
              <w:t xml:space="preserve">Hình dạng thửa đất</w:t>
            </w:r>
            <w:r/>
          </w:p>
        </w:tc>
        <w:tc>
          <w:tcPr>
            <w:tcBorders/>
            <w:tcW w:w="2126" w:type="dxa"/>
            <w:vAlign w:val="center"/>
            <w:textDirection w:val="lrTb"/>
            <w:noWrap w:val="false"/>
          </w:tcPr>
          <w:p>
            <w:pPr>
              <w:pBdr/>
              <w:spacing/>
              <w:ind/>
              <w:jc w:val="center"/>
              <w:rPr/>
            </w:pPr>
            <w:r>
              <w:t xml:space="preserve">Hình chữ nhật</w:t>
            </w:r>
            <w:r/>
          </w:p>
        </w:tc>
        <w:tc>
          <w:tcPr>
            <w:tcBorders/>
            <w:tcW w:w="2268" w:type="dxa"/>
            <w:vAlign w:val="center"/>
            <w:textDirection w:val="lrTb"/>
            <w:noWrap w:val="false"/>
          </w:tcPr>
          <w:p>
            <w:pPr>
              <w:pBdr/>
              <w:spacing/>
              <w:ind/>
              <w:jc w:val="center"/>
              <w:rPr/>
            </w:pPr>
            <w:r>
              <w:t xml:space="preserve">Hình chữ nhật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13</w:t>
            </w:r>
            <w:r/>
          </w:p>
        </w:tc>
        <w:tc>
          <w:tcPr>
            <w:tcBorders/>
            <w:tcW w:w="1843" w:type="dxa"/>
            <w:vAlign w:val="center"/>
            <w:textDirection w:val="lrTb"/>
            <w:noWrap w:val="false"/>
          </w:tcPr>
          <w:p>
            <w:pPr>
              <w:pBdr/>
              <w:spacing/>
              <w:ind/>
              <w:jc w:val="center"/>
              <w:rPr/>
            </w:pPr>
            <w:r>
              <w:t xml:space="preserve">Hướng</w:t>
            </w:r>
            <w:r/>
          </w:p>
        </w:tc>
        <w:tc>
          <w:tcPr>
            <w:tcBorders/>
            <w:tcW w:w="2126" w:type="dxa"/>
            <w:vAlign w:val="center"/>
            <w:textDirection w:val="lrTb"/>
            <w:noWrap w:val="false"/>
          </w:tcPr>
          <w:p>
            <w:pPr>
              <w:pBdr/>
              <w:spacing/>
              <w:ind/>
              <w:jc w:val="center"/>
              <w:rPr/>
            </w:pPr>
            <w:r>
              <w:t xml:space="preserve">Tây</w:t>
            </w:r>
            <w:r/>
          </w:p>
        </w:tc>
        <w:tc>
          <w:tcPr>
            <w:tcBorders/>
            <w:tcW w:w="2268" w:type="dxa"/>
            <w:vAlign w:val="center"/>
            <w:textDirection w:val="lrTb"/>
            <w:noWrap w:val="false"/>
          </w:tcPr>
          <w:p>
            <w:pPr>
              <w:pBdr/>
              <w:spacing/>
              <w:ind/>
              <w:jc w:val="center"/>
              <w:rPr/>
            </w:pPr>
            <w:r>
              <w:t xml:space="preserve">Tây ✔</w:t>
            </w:r>
            <w:r/>
          </w:p>
        </w:tc>
        <w:tc>
          <w:tcPr>
            <w:tcBorders/>
            <w:tcW w:w="1274" w:type="dxa"/>
            <w:vAlign w:val="center"/>
            <w:textDirection w:val="lrTb"/>
            <w:noWrap w:val="false"/>
          </w:tcPr>
          <w:p>
            <w:pPr>
              <w:pBdr/>
              <w:spacing/>
              <w:ind/>
              <w:jc w:val="center"/>
              <w:rPr/>
            </w:pPr>
            <w:r>
              <w:t xml:space="preserve">Không</w:t>
            </w:r>
            <w:r/>
          </w:p>
        </w:tc>
        <w:tc>
          <w:tcPr>
            <w:tcBorders/>
            <w:tcW w:w="1274" w:type="dxa"/>
            <w:vAlign w:val="center"/>
            <w:textDirection w:val="lrTb"/>
            <w:noWrap w:val="false"/>
          </w:tcPr>
          <w:p>
            <w:pPr>
              <w:pBdr/>
              <w:spacing/>
              <w:ind/>
              <w:jc w:val="center"/>
              <w:rPr/>
            </w:pPr>
            <w:r/>
            <w:r/>
          </w:p>
        </w:tc>
      </w:tr>
    </w:tbl>
    <w:p>
      <w:pPr>
        <w:pStyle w:val="102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6"/>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6"/>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6"/>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6"/>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6"/>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6"/>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6"/>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6"/>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6"/>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6"/>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6"/>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86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Thôn Tiền Thôn, xã Hoằng Tiến, tỉnh Thanh Hoá</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Thôn Tiền Thôn, xã Hoằng Tiến, tỉnh Thanh Hoá</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Thôn Tiền Thôn, xã Hoằng Tiến, tỉnh Thanh Hoá</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Thôn Tiền Thôn, xã Hoằng Tiến, tỉnh Thanh Hoá</w:t>
            </w:r>
            <w:r/>
          </w:p>
        </w:tc>
      </w:tr>
      <w:tr>
        <w:trPr>
          <w:trHeight w:val="154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hyperlink r:id="rId19" w:tooltip="https://www.facebook.com/groups/127291407441562/permalink/2950422835128391/" w:history="1">
              <w:r>
                <w:rPr>
                  <w:rStyle w:val="1016"/>
                  <w:rFonts w:ascii="Times New Roman" w:hAnsi="Times New Roman" w:eastAsia="Times New Roman" w:cs="Times New Roman"/>
                  <w:color w:val="000000"/>
                  <w:sz w:val="22"/>
                  <w:u w:val="none"/>
                </w:rPr>
                <w:t xml:space="preserve">https://www.facebook.com/groups/127291407441562/permalink/2950422835128391/</w:t>
              </w:r>
            </w:hyperlink>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0388.640.833</w:t>
              <w:br/>
              <w:t xml:space="preserve">(Sale Tùng)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0388.640.833</w:t>
              <w:br/>
              <w:t xml:space="preserve">(Sale Tùng)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0941.228.866</w:t>
              <w:br/>
              <w:t xml:space="preserve">(Sale)</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01/2026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01/2026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01/2026 </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tiếp giáp đường nhựa thôn Tiền Thôn, xã Hoằng Tiến, tỉnh Thanh Hoá</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tiếp giáp đường nhựa thôn Tiền Thôn, xã Hoằng Tiến, tỉnh Thanh Hoá</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tiếp giáp đường nhựa thôn Tiền Thôn, xã Hoằng Tiến, tỉnh Thanh Hoá</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tiếp giáp đường nhựa thôn Tiền Thôn, xã Hoằng Tiến, tỉnh Thanh Hoá</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15m+vỉa hè mõi bên 4,5m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15m+vỉa hè mõi bên 4,5m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15m+vỉa hè mõi bên 4,5m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15m+vỉa hè mõi bên 4,5m</w:t>
            </w:r>
            <w:r/>
          </w:p>
        </w:tc>
      </w:tr>
      <w:tr>
        <w:trPr>
          <w:trHeight w:val="28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157,9</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145,0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145,0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282,5</w:t>
            </w:r>
            <w:r/>
          </w:p>
        </w:tc>
      </w:tr>
      <w:tr>
        <w:trPr>
          <w:trHeight w:val="27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14,0</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ở/kinh doanh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ở/kinh doanh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ở/kinh doanh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ở/kinh doanh</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shd w:val="clear" w:color="000000" w:fill="ffffff"/>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shd w:val="clear" w:color="000000" w:fill="ffffff"/>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3.480.000.000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3.770.000.000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7.203.750.000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3.201.600.000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3.468.400.000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6.627.450.000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3.201.600.000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3.468.400.000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6.627.450.000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22.080.000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23.920.000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23.460.000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6"/>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3.201.600.000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3.468.400.000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6.627.450.000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22.080.000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23.920.000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23.460.000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22.100.000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21.675.000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tiếp giáp đường nhựa thôn Tiền Thôn, xã Hoằng Tiến, tỉnh Thanh Hoá</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tiếp giáp đường nhựa thôn Tiền Thôn, xã Hoằng Tiến, tỉnh Thanh Hoá</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tiếp giáp đường nhựa thôn Tiền Thôn, xã Hoằng Tiến, tỉnh Thanh Hoá</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tiếp giáp đường nhựa thôn Tiền Thôn, xã Hoằng Tiến, tỉnh Thanh Hoá</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22.100.000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21.675.000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sz w:val="22"/>
                <w:szCs w:val="22"/>
              </w:rPr>
            </w:pPr>
            <w:r>
              <w:rPr>
                <w:sz w:val="22"/>
                <w:szCs w:val="22"/>
              </w:rPr>
              <w:t xml:space="preserve">C3</w:t>
            </w:r>
            <w:r>
              <w:rPr>
                <w:sz w:val="22"/>
                <w:szCs w:val="22"/>
              </w:rPr>
            </w:r>
            <w:r>
              <w:rPr>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15m+vỉa hè mõi bên 4,5m</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15m+vỉa hè mõi bên 4,5m</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15m+vỉa hè mõi bên 4,5m</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15m+vỉa hè mõi bên 4,5m</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22.100.000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21.675.000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157,9</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145</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145</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282,5</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3.519.000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22.100.000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26.979.000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7,0</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7,0</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7,0</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14,0</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-2.346.000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22.100.000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24.633.000</w:t>
            </w:r>
            <w:r>
              <w:rPr>
                <w:color w:val="000000"/>
                <w:sz w:val="22"/>
                <w:szCs w:val="22"/>
              </w:rPr>
            </w:r>
            <w:r>
              <w:rPr>
                <w:color w:val="000000"/>
                <w:sz w:val="22"/>
                <w:szCs w:val="22"/>
              </w:rPr>
            </w:r>
          </w:p>
        </w:tc>
      </w:tr>
      <w:tr>
        <w:trPr>
          <w:trHeight w:val="472"/>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22.100.000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24.633.000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22.100.000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24.633.000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22.080.000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23.920.000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24.633.000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23.544.333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-6,22%</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1,60%</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4,62%</w:t>
            </w: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5.865.000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 - 15%</w:t>
            </w: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1.173.000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-6,22</w:t>
      </w:r>
      <w:r>
        <w:t xml:space="preserve">% </w:t>
      </w:r>
      <w:r>
        <w:t xml:space="preserve">đến</w:t>
      </w:r>
      <w:r>
        <w:t xml:space="preserve"> </w:t>
      </w:r>
      <w:r>
        <w:t xml:space="preserve"> </w:t>
      </w:r>
      <w:r>
        <w:t xml:space="preserve">4,62</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22.080.000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7.361.472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23.920.000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7.972.536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24.633.000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8.210.179</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23.544.187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23.500.000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23.500.000</w:t>
      </w:r>
      <w:r>
        <w:rPr>
          <w:b/>
          <w:bCs/>
          <w:color w:val="000000" w:themeColor="text1"/>
        </w:rPr>
        <w:t xml:space="preserve"> </w:t>
      </w:r>
      <w:r>
        <w:rPr>
          <w:b/>
          <w:bCs/>
        </w:rPr>
        <w:t xml:space="preserve">đồng</w:t>
      </w:r>
      <w:r>
        <w:rPr>
          <w:b/>
          <w:bCs/>
        </w:rPr>
        <w:t xml:space="preserve">/m².</w:t>
      </w:r>
      <w:r>
        <w:rPr>
          <w:b/>
          <w:bCs/>
        </w:rPr>
      </w:r>
      <w:r>
        <w:rPr>
          <w:b/>
          <w:bCs/>
        </w:rPr>
      </w:r>
    </w:p>
    <w:p>
      <w:pPr>
        <w:pStyle w:val="1026"/>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6"/>
        <w:pBdr/>
        <w:tabs>
          <w:tab w:val="left" w:leader="none" w:pos="993"/>
        </w:tabs>
        <w:spacing w:after="120" w:before="120" w:line="276" w:lineRule="auto"/>
        <w:ind w:left="0"/>
        <w:jc w:val="both"/>
        <w:rPr>
          <w:highlight w:val="none"/>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Pr>
          <w:highlight w:val="none"/>
        </w:rPr>
      </w:r>
    </w:p>
    <w:p>
      <w:pPr>
        <w:pBdr/>
        <w:shd w:val="nil" w:color="auto"/>
        <w:spacing/>
        <w:ind/>
        <w:rPr/>
      </w:pPr>
      <w:r>
        <w:br w:type="page" w:clear="all"/>
      </w:r>
      <w:r>
        <w:rPr>
          <w:highlight w:val="none"/>
        </w:rPr>
      </w:r>
      <w:r/>
    </w:p>
    <w:tbl>
      <w:tblPr>
        <w:tblStyle w:val="103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835"/>
        <w:gridCol w:w="1843"/>
        <w:gridCol w:w="1984"/>
        <w:gridCol w:w="2126"/>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835"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2029"/>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661" w:type="dxa"/>
            <w:vAlign w:val="center"/>
            <w:textDirection w:val="lrTb"/>
            <w:noWrap w:val="false"/>
          </w:tcPr>
          <w:p>
            <w:pPr>
              <w:pBdr/>
              <w:spacing w:after="0" w:before="0" w:line="276" w:lineRule="auto"/>
              <w:ind/>
              <w:jc w:val="both"/>
              <w:rPr/>
            </w:pPr>
            <w:r>
              <w:rPr>
                <w:rFonts w:ascii="Times New Roman" w:hAnsi="Times New Roman" w:eastAsia="Times New Roman" w:cs="Times New Roman"/>
                <w:b/>
                <w:color w:val="000000"/>
                <w:sz w:val="24"/>
              </w:rPr>
              <w:t xml:space="preserve">Giá trị quyền sử dụng đất tại thửa đất số: 339, tờ bản đồ số 28 bản đồ địa chính xã Hoằng Tiến đo đạc năm 2015 có địa chỉ: Thôn Tiền Thôn, xã Hoằng Tiến, huyện Hoằng Hoá, tỉnh Thanh Hoá </w:t>
            </w:r>
            <w:r>
              <w:rPr>
                <w:rFonts w:ascii="Times New Roman" w:hAnsi="Times New Roman" w:eastAsia="Times New Roman" w:cs="Times New Roman"/>
                <w:b/>
                <w:i/>
                <w:iCs/>
                <w:color w:val="000000"/>
                <w:sz w:val="24"/>
              </w:rPr>
              <w:t xml:space="preserve">(Nay là xã Hoằng Tiến, tỉnh Thanh Hoá)</w:t>
            </w:r>
            <w:r>
              <w:rPr>
                <w:rFonts w:ascii="Times New Roman" w:hAnsi="Times New Roman" w:eastAsia="Times New Roman" w:cs="Times New Roman"/>
                <w:b/>
                <w:color w:val="000000"/>
                <w:sz w:val="24"/>
              </w:rPr>
              <w:t xml:space="preserve"> theo Giấy chứng nhận quyền sử d</w:t>
            </w:r>
            <w:r>
              <w:rPr>
                <w:rFonts w:ascii="Times New Roman" w:hAnsi="Times New Roman" w:eastAsia="Times New Roman" w:cs="Times New Roman"/>
                <w:b/>
                <w:color w:val="000000"/>
                <w:sz w:val="24"/>
              </w:rPr>
              <w:t xml:space="preserve">ụng đất quyền sở hữu nhà ở và tài sản khác gắn liền với đất số: DD 847531, số vào sổ cấp GCN: CS 03307 do Sở Tài nguyên và Môi trường tỉnh Thanh Hoá cấp ngày 22/02/2022; Chủ sử dụng đất là Ông Đỗ Văn Hùng và vợ bà Nguyễn Thanh Thuỷ.</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76"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835"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Đất ở tại nông thôn</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157,9</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23.500.000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76" w:lineRule="auto"/>
              <w:ind/>
              <w:jc w:val="right"/>
              <w:rPr/>
            </w:pPr>
            <w:r>
              <w:rPr>
                <w:rFonts w:ascii="Times New Roman" w:hAnsi="Times New Roman" w:eastAsia="Times New Roman" w:cs="Times New Roman"/>
                <w:color w:val="000000"/>
                <w:sz w:val="24"/>
              </w:rPr>
              <w:t xml:space="preserve">3.710.650.000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98"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tcPr>
          <w:p>
            <w:pPr>
              <w:pBdr/>
              <w:spacing w:after="0" w:before="0" w:line="276" w:lineRule="auto"/>
              <w:ind/>
              <w:jc w:val="right"/>
              <w:rPr/>
            </w:pPr>
            <w:r>
              <w:rPr>
                <w:rFonts w:ascii="Times New Roman" w:hAnsi="Times New Roman" w:eastAsia="Times New Roman" w:cs="Times New Roman"/>
                <w:b/>
                <w:color w:val="000000"/>
                <w:sz w:val="24"/>
              </w:rPr>
              <w:t xml:space="preserve">3.710.650.000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98"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tcPr>
          <w:p>
            <w:pPr>
              <w:pBdr/>
              <w:spacing w:after="0" w:before="0" w:line="276" w:lineRule="auto"/>
              <w:ind/>
              <w:jc w:val="right"/>
              <w:rPr/>
            </w:pPr>
            <w:r>
              <w:rPr>
                <w:rFonts w:ascii="Times New Roman" w:hAnsi="Times New Roman" w:eastAsia="Times New Roman" w:cs="Times New Roman"/>
                <w:b/>
                <w:color w:val="000000"/>
                <w:sz w:val="24"/>
              </w:rPr>
              <w:t xml:space="preserve">3.711.000.000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pPr>
              <w:pBdr/>
              <w:spacing w:after="0" w:before="0" w:line="276" w:lineRule="auto"/>
              <w:ind/>
              <w:jc w:val="center"/>
              <w:rPr/>
            </w:pPr>
            <w:r>
              <w:rPr>
                <w:rFonts w:ascii="Times New Roman" w:hAnsi="Times New Roman" w:eastAsia="Times New Roman" w:cs="Times New Roman"/>
                <w:b/>
                <w:i/>
                <w:color w:val="000000"/>
                <w:sz w:val="24"/>
              </w:rPr>
              <w:t xml:space="preserve">(Bằng chữ: Ba tỷ, bảy trăm mười một triệu đồng chẵn./.)</w:t>
            </w:r>
            <w:r/>
          </w:p>
        </w:tc>
      </w:tr>
    </w:tbl>
    <w:p>
      <w:pPr>
        <w:pStyle w:val="102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6"/>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6"/>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6"/>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6"/>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6"/>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6"/>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6"/>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6"/>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6"/>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6"/>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6"/>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6"/>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6"/>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6"/>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6"/>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Bdr/>
        <w:shd w:val="nil" w:color="auto"/>
        <w:spacing/>
        <w:ind/>
        <w:rPr>
          <w:lang w:val="vi-VN"/>
        </w:rPr>
      </w:pPr>
      <w:r>
        <w:rPr>
          <w:highlight w:val="none"/>
          <w:lang w:val="vi-VN"/>
        </w:rPr>
        <w:br w:type="page" w:clear="all"/>
      </w:r>
      <w:r>
        <w:rPr>
          <w:highlight w:val="none"/>
          <w:lang w:val="vi-VN"/>
        </w:rPr>
      </w:r>
      <w:r>
        <w:rPr>
          <w:lang w:val="vi-VN"/>
        </w:rPr>
      </w:r>
    </w:p>
    <w:p>
      <w:pPr>
        <w:pStyle w:val="1026"/>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275/2025/0219/VFI-CT.21.A</w:t>
      </w:r>
      <w:r>
        <w:rPr>
          <w:color w:val="ff0000"/>
          <w:lang w:val="vi-VN"/>
        </w:rPr>
        <w:t xml:space="preserve"> </w:t>
      </w:r>
      <w:r>
        <w:rPr>
          <w:color w:val="000000" w:themeColor="text1"/>
        </w:rPr>
        <w:t xml:space="preserve">ngày 28 tháng 01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5000" w:type="pct"/>
        <w:tblBorders/>
        <w:tblLayout w:type="fixed"/>
        <w:tblLook w:val="01E0" w:firstRow="1" w:lastRow="1" w:firstColumn="1" w:lastColumn="1" w:noHBand="0" w:noVBand="0"/>
      </w:tblPr>
      <w:tblGrid>
        <w:gridCol w:w="4422"/>
        <w:gridCol w:w="5102"/>
      </w:tblGrid>
      <w:tr>
        <w:trPr>
          <w:trHeight w:val="20"/>
        </w:trPr>
        <w:tc>
          <w:tcPr>
            <w:tcBorders/>
            <w:tcW w:w="4422"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422"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422"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5102"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Trương Thị Diệp</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275/2025/0219/VFI-BC.21.A</w:t>
      </w:r>
      <w:r>
        <w:rPr>
          <w:i/>
          <w:lang w:val="pt-BR"/>
        </w:rPr>
        <w:t xml:space="preserve"> </w:t>
      </w:r>
      <w:r>
        <w:rPr>
          <w:i/>
          <w:lang w:val="pt-BR"/>
        </w:rPr>
        <w:t xml:space="preserve">ngày 28 tháng 01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229159" cy="21600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814057" name=""/>
                              <pic:cNvPicPr>
                                <a:picLocks noChangeAspect="1"/>
                              </pic:cNvPicPr>
                              <pic:nvPr/>
                            </pic:nvPicPr>
                            <pic:blipFill rotWithShape="1">
                              <a:blip r:embed="rId20"/>
                              <a:stretch/>
                            </pic:blipFill>
                            <pic:spPr bwMode="auto">
                              <a:xfrm rot="0" flipH="0" flipV="0">
                                <a:off x="0" y="0"/>
                                <a:ext cx="1229158"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96.78pt;height:170.08pt;mso-wrap-distance-left:0.00pt;mso-wrap-distance-top:0.00pt;mso-wrap-distance-right:0.00pt;mso-wrap-distance-bottom:0.00pt;rotation:0;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438573" name=""/>
                              <pic:cNvPicPr>
                                <a:picLocks noChangeAspect="1"/>
                              </pic:cNvPicPr>
                              <pic:nvPr/>
                            </pic:nvPicPr>
                            <pic:blipFill rotWithShape="1">
                              <a:blip r:embed="rId21"/>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6.77pt;height:170.08pt;mso-wrap-distance-left:0.00pt;mso-wrap-distance-top:0.00pt;mso-wrap-distance-right:0.00pt;mso-wrap-distance-bottom:0.00pt;rotation:0;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sát+Người hướng dẫn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734598" name=""/>
                              <pic:cNvPicPr>
                                <a:picLocks noChangeAspect="1"/>
                              </pic:cNvPicPr>
                              <pic:nvPr/>
                            </pic:nvPicPr>
                            <pic:blipFill rotWithShape="1">
                              <a:blip r:embed="rId22"/>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6.77pt;height:170.08pt;mso-wrap-distance-left:0.00pt;mso-wrap-distance-top:0.00pt;mso-wrap-distance-right:0.00pt;mso-wrap-distance-bottom:0.00pt;rotation:0;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174490" name=""/>
                              <pic:cNvPicPr>
                                <a:picLocks noChangeAspect="1"/>
                              </pic:cNvPicPr>
                              <pic:nvPr/>
                            </pic:nvPicPr>
                            <pic:blipFill rotWithShape="1">
                              <a:blip r:embed="rId23"/>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6.77pt;height:170.08pt;mso-wrap-distance-left:0.00pt;mso-wrap-distance-top:0.00pt;mso-wrap-distance-right:0.00pt;mso-wrap-distance-bottom:0.00pt;rotation:0;z-index:1;" stroked="false">
                      <v:imagedata r:id="rId23"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658277" name=""/>
                              <pic:cNvPicPr>
                                <a:picLocks noChangeAspect="1"/>
                              </pic:cNvPicPr>
                              <pic:nvPr/>
                            </pic:nvPicPr>
                            <pic:blipFill rotWithShape="1">
                              <a:blip r:embed="rId24"/>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6.77pt;height:170.08pt;mso-wrap-distance-left:0.00pt;mso-wrap-distance-top:0.00pt;mso-wrap-distance-right:0.00pt;mso-wrap-distance-bottom:0.00pt;rotation:0;z-index:1;" stroked="false">
                      <v:imagedata r:id="rId24"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355273" name=""/>
                              <pic:cNvPicPr>
                                <a:picLocks noChangeAspect="1"/>
                              </pic:cNvPicPr>
                              <pic:nvPr/>
                            </pic:nvPicPr>
                            <pic:blipFill rotWithShape="1">
                              <a:blip r:embed="rId25"/>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6.77pt;height:170.08pt;mso-wrap-distance-left:0.00pt;mso-wrap-distance-top:0.00pt;mso-wrap-distance-right:0.00pt;mso-wrap-distance-bottom:0.00pt;rotation:0;z-index:1;" stroked="false">
                      <v:imagedata r:id="rId25"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275/2025/0219/VFI-BC.21.A ngày</w:t>
      </w:r>
      <w:r>
        <w:rPr>
          <w:i/>
          <w:lang w:val="pt-BR"/>
        </w:rPr>
        <w:t xml:space="preserve"> </w:t>
      </w:r>
      <w:r>
        <w:rPr>
          <w:i/>
          <w:lang w:val="pt-BR"/>
        </w:rPr>
        <w:t xml:space="preserve">28 tháng 01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5284366" cy="6547711"/>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135251" name=""/>
                        <pic:cNvPicPr>
                          <a:picLocks noChangeAspect="1"/>
                        </pic:cNvPicPr>
                        <pic:nvPr/>
                      </pic:nvPicPr>
                      <pic:blipFill rotWithShape="1">
                        <a:blip r:embed="rId26"/>
                        <a:stretch/>
                      </pic:blipFill>
                      <pic:spPr bwMode="auto">
                        <a:xfrm flipH="0" flipV="0">
                          <a:off x="0" y="0"/>
                          <a:ext cx="5284365" cy="65477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16.09pt;height:515.57pt;mso-wrap-distance-left:0.00pt;mso-wrap-distance-top:0.00pt;mso-wrap-distance-right:0.00pt;mso-wrap-distance-bottom:0.00pt;z-index:1;" stroked="false">
                <v:imagedata r:id="rId26" o:title=""/>
                <o:lock v:ext="edit" rotation="t"/>
              </v:shape>
            </w:pict>
          </mc:Fallback>
        </mc:AlternateContent>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mc:AlternateContent>
                <mc:Choice Requires="wpg">
                  <w:drawing>
                    <wp:inline xmlns:wp="http://schemas.openxmlformats.org/drawingml/2006/wordprocessingDrawing" distT="0" distB="0" distL="0" distR="0">
                      <wp:extent cx="1616899" cy="1135679"/>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77355" name=""/>
                              <pic:cNvPicPr>
                                <a:picLocks noChangeAspect="1"/>
                              </pic:cNvPicPr>
                              <pic:nvPr/>
                            </pic:nvPicPr>
                            <pic:blipFill rotWithShape="1">
                              <a:blip r:embed="rId27"/>
                              <a:stretch/>
                            </pic:blipFill>
                            <pic:spPr bwMode="auto">
                              <a:xfrm flipH="0" flipV="0">
                                <a:off x="0" y="0"/>
                                <a:ext cx="1616899" cy="113567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27.31pt;height:89.42pt;mso-wrap-distance-left:0.00pt;mso-wrap-distance-top:0.00pt;mso-wrap-distance-right:0.00pt;mso-wrap-distance-bottom:0.00pt;z-index:1;" stroked="false">
                      <v:imagedata r:id="rId27" o:title=""/>
                      <o:lock v:ext="edit" rotation="t"/>
                    </v:shape>
                  </w:pict>
                </mc:Fallback>
              </mc:AlternateConten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mc:AlternateContent>
          <mc:Choice Requires="wpg">
            <w:drawing>
              <wp:inline xmlns:wp="http://schemas.openxmlformats.org/drawingml/2006/wordprocessingDrawing" distT="0" distB="0" distL="0" distR="0">
                <wp:extent cx="5852065" cy="7112433"/>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970816" name=""/>
                        <pic:cNvPicPr>
                          <a:picLocks noChangeAspect="1"/>
                        </pic:cNvPicPr>
                        <pic:nvPr/>
                      </pic:nvPicPr>
                      <pic:blipFill rotWithShape="1">
                        <a:blip r:embed="rId28"/>
                        <a:stretch/>
                      </pic:blipFill>
                      <pic:spPr bwMode="auto">
                        <a:xfrm flipH="0" flipV="0">
                          <a:off x="0" y="0"/>
                          <a:ext cx="5852064" cy="71124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60.79pt;height:560.03pt;mso-wrap-distance-left:0.00pt;mso-wrap-distance-top:0.00pt;mso-wrap-distance-right:0.00pt;mso-wrap-distance-bottom:0.00pt;z-index:1;" stroked="false">
                <v:imagedata r:id="rId28" o:title=""/>
                <o:lock v:ext="edit" rotation="t"/>
              </v:shape>
            </w:pict>
          </mc:Fallback>
        </mc:AlternateContent>
      </w:r>
      <w:r>
        <w:rPr>
          <w:b/>
          <w:bCs/>
          <w:iCs/>
          <w:lang w:val="pt-BR"/>
        </w:rPr>
      </w:r>
      <w:r>
        <w:rPr>
          <w:b/>
          <w:bCs/>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795396" cy="1261052"/>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762050" name=""/>
                              <pic:cNvPicPr>
                                <a:picLocks noChangeAspect="1"/>
                              </pic:cNvPicPr>
                              <pic:nvPr/>
                            </pic:nvPicPr>
                            <pic:blipFill rotWithShape="1">
                              <a:blip r:embed="rId29"/>
                              <a:stretch/>
                            </pic:blipFill>
                            <pic:spPr bwMode="auto">
                              <a:xfrm flipH="0" flipV="0">
                                <a:off x="0" y="0"/>
                                <a:ext cx="1795396" cy="12610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41.37pt;height:99.30pt;mso-wrap-distance-left:0.00pt;mso-wrap-distance-top:0.00pt;mso-wrap-distance-right:0.00pt;mso-wrap-distance-bottom:0.00pt;z-index:1;" stroked="false">
                      <v:imagedata r:id="rId29" o:title=""/>
                      <o:lock v:ext="edit" rotation="t"/>
                    </v:shape>
                  </w:pict>
                </mc:Fallback>
              </mc:AlternateConten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5939641" cy="7095114"/>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609818" name=""/>
                        <pic:cNvPicPr>
                          <a:picLocks noChangeAspect="1"/>
                        </pic:cNvPicPr>
                        <pic:nvPr/>
                      </pic:nvPicPr>
                      <pic:blipFill rotWithShape="1">
                        <a:blip r:embed="rId30"/>
                        <a:stretch/>
                      </pic:blipFill>
                      <pic:spPr bwMode="auto">
                        <a:xfrm flipH="0" flipV="0">
                          <a:off x="0" y="0"/>
                          <a:ext cx="5939641" cy="70951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67.69pt;height:558.67pt;mso-wrap-distance-left:0.00pt;mso-wrap-distance-top:0.00pt;mso-wrap-distance-right:0.00pt;mso-wrap-distance-bottom:0.00pt;z-index:1;" stroked="false">
                <v:imagedata r:id="rId30"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mc:AlternateContent>
                <mc:Choice Requires="wpg">
                  <w:drawing>
                    <wp:inline xmlns:wp="http://schemas.openxmlformats.org/drawingml/2006/wordprocessingDrawing" distT="0" distB="0" distL="0" distR="0">
                      <wp:extent cx="1714299" cy="1204091"/>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921839" name=""/>
                              <pic:cNvPicPr>
                                <a:picLocks noChangeAspect="1"/>
                              </pic:cNvPicPr>
                              <pic:nvPr/>
                            </pic:nvPicPr>
                            <pic:blipFill rotWithShape="1">
                              <a:blip r:embed="rId31"/>
                              <a:stretch/>
                            </pic:blipFill>
                            <pic:spPr bwMode="auto">
                              <a:xfrm flipH="0" flipV="0">
                                <a:off x="0" y="0"/>
                                <a:ext cx="1714299" cy="12040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34.98pt;height:94.81pt;mso-wrap-distance-left:0.00pt;mso-wrap-distance-top:0.00pt;mso-wrap-distance-right:0.00pt;mso-wrap-distance-bottom:0.00pt;z-index:1;" stroked="false">
                      <v:imagedata r:id="rId31" o:title=""/>
                      <o:lock v:ext="edit" rotation="t"/>
                    </v:shape>
                  </w:pict>
                </mc:Fallback>
              </mc:AlternateContent>
            </w:r>
            <w:r>
              <w:rPr>
                <w:b/>
                <w:bCs/>
              </w:rPr>
            </w:r>
            <w:r>
              <w:rPr>
                <w:b/>
                <w:bCs/>
              </w:rP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rPr>
          <w:lang w:val="pt-BR"/>
        </w:rPr>
      </w:pPr>
      <w:r>
        <w:rPr>
          <w:iCs/>
          <w:lang w:val="pt-BR"/>
        </w:rPr>
      </w:r>
      <w:r>
        <w:rPr>
          <w:iCs/>
          <w:lang w:val="pt-BR"/>
        </w:rPr>
      </w:r>
      <w:r>
        <w:rPr>
          <w:lang w:val="pt-BR"/>
        </w:rPr>
      </w:r>
    </w:p>
    <w:p>
      <w:pPr>
        <w:pBdr/>
        <w:spacing w:after="200" w:line="276" w:lineRule="auto"/>
        <w:ind/>
        <w:rPr>
          <w:iCs/>
          <w:highlight w:val="none"/>
          <w:lang w:val="pt-BR"/>
        </w:rPr>
      </w:pPr>
      <w:r>
        <w:rPr>
          <w:iCs/>
          <w:lang w:val="pt-BR"/>
        </w:rPr>
      </w:r>
      <w:r>
        <mc:AlternateContent>
          <mc:Choice Requires="wpg">
            <w:drawing>
              <wp:inline xmlns:wp="http://schemas.openxmlformats.org/drawingml/2006/wordprocessingDrawing" distT="0" distB="0" distL="0" distR="0">
                <wp:extent cx="6048375" cy="4123162"/>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784489" name=""/>
                        <pic:cNvPicPr>
                          <a:picLocks noChangeAspect="1"/>
                        </pic:cNvPicPr>
                        <pic:nvPr/>
                      </pic:nvPicPr>
                      <pic:blipFill rotWithShape="1">
                        <a:blip r:embed="rId32"/>
                        <a:stretch/>
                      </pic:blipFill>
                      <pic:spPr bwMode="auto">
                        <a:xfrm>
                          <a:off x="0" y="0"/>
                          <a:ext cx="6048374" cy="412316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324.66pt;mso-wrap-distance-left:0.00pt;mso-wrap-distance-top:0.00pt;mso-wrap-distance-right:0.00pt;mso-wrap-distance-bottom:0.00pt;z-index:1;" stroked="false">
                <v:imagedata r:id="rId32" o:title=""/>
                <o:lock v:ext="edit" rotation="t"/>
              </v:shape>
            </w:pict>
          </mc:Fallback>
        </mc:AlternateContent>
      </w:r>
      <w:r>
        <w:rPr>
          <w:iCs/>
          <w:lang w:val="pt-BR"/>
        </w:rPr>
      </w:r>
      <w:r>
        <w:rPr>
          <w:iCs/>
          <w:highlight w:val="none"/>
          <w:lang w:val="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4025243"/>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637091" name=""/>
                        <pic:cNvPicPr>
                          <a:picLocks noChangeAspect="1"/>
                        </pic:cNvPicPr>
                        <pic:nvPr/>
                      </pic:nvPicPr>
                      <pic:blipFill rotWithShape="1">
                        <a:blip r:embed="rId33"/>
                        <a:stretch/>
                      </pic:blipFill>
                      <pic:spPr bwMode="auto">
                        <a:xfrm>
                          <a:off x="0" y="0"/>
                          <a:ext cx="6048374" cy="40252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316.95pt;mso-wrap-distance-left:0.00pt;mso-wrap-distance-top:0.00pt;mso-wrap-distance-right:0.00pt;mso-wrap-distance-bottom:0.00pt;z-index:1;" stroked="false">
                <v:imagedata r:id="rId33" o:title=""/>
                <o:lock v:ext="edit" rotation="t"/>
              </v:shape>
            </w:pict>
          </mc:Fallback>
        </mc:AlternateContent>
      </w:r>
      <w:r>
        <w:rPr>
          <w:lang w:val="pt-BR"/>
        </w:rPr>
      </w:r>
      <w:r>
        <w:rPr>
          <w:highlight w:val="none"/>
          <w:lang w:val="pt-BR" w:bidi="pt-BR"/>
        </w:rPr>
      </w:r>
    </w:p>
    <w:p>
      <w:pPr>
        <w:pBdr/>
        <w:spacing w:after="200" w:line="276" w:lineRule="auto"/>
        <w:ind/>
        <w:rPr>
          <w:lang w:val="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878921" name=""/>
                        <pic:cNvPicPr>
                          <a:picLocks noChangeAspect="1"/>
                        </pic:cNvPicPr>
                        <pic:nvPr/>
                      </pic:nvPicPr>
                      <pic:blipFill rotWithShape="1">
                        <a:blip r:embed="rId34"/>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35.00pt;mso-wrap-distance-left:0.00pt;mso-wrap-distance-top:0.00pt;mso-wrap-distance-right:0.00pt;mso-wrap-distance-bottom:0.00pt;z-index:1;" stroked="false">
                <v:imagedata r:id="rId34" o:title=""/>
                <o:lock v:ext="edit" rotation="t"/>
              </v:shape>
            </w:pict>
          </mc:Fallback>
        </mc:AlternateContent>
      </w:r>
      <w:r>
        <w:rPr>
          <w:iCs/>
          <w:highlight w:val="none"/>
          <w:lang w:val="pt-BR" w:bidi="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8">
    <w:name w:val="Table Grid Light"/>
    <w:basedOn w:val="101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1"/>
    <w:basedOn w:val="101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2"/>
    <w:basedOn w:val="101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3"/>
    <w:basedOn w:val="101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4"/>
    <w:basedOn w:val="101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5"/>
    <w:basedOn w:val="101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w:basedOn w:val="101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1"/>
    <w:basedOn w:val="101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2"/>
    <w:basedOn w:val="101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3"/>
    <w:basedOn w:val="101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4"/>
    <w:basedOn w:val="101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5"/>
    <w:basedOn w:val="101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6"/>
    <w:basedOn w:val="101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w:basedOn w:val="101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1"/>
    <w:basedOn w:val="101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2"/>
    <w:basedOn w:val="101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3"/>
    <w:basedOn w:val="101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4"/>
    <w:basedOn w:val="101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5"/>
    <w:basedOn w:val="101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6"/>
    <w:basedOn w:val="101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w:basedOn w:val="101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1"/>
    <w:basedOn w:val="101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2"/>
    <w:basedOn w:val="101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3"/>
    <w:basedOn w:val="101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4"/>
    <w:basedOn w:val="101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5"/>
    <w:basedOn w:val="101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6"/>
    <w:basedOn w:val="101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w:basedOn w:val="101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1"/>
    <w:basedOn w:val="101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2"/>
    <w:basedOn w:val="101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3"/>
    <w:basedOn w:val="101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4"/>
    <w:basedOn w:val="101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5"/>
    <w:basedOn w:val="101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6"/>
    <w:basedOn w:val="101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Accent 1"/>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2"/>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3"/>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4"/>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5"/>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6"/>
    <w:basedOn w:val="101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6 Colorful"/>
    <w:basedOn w:val="101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0">
    <w:name w:val="Grid Table 6 Colorful - Accent 1"/>
    <w:basedOn w:val="101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1">
    <w:name w:val="Grid Table 6 Colorful - Accent 2"/>
    <w:basedOn w:val="101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2">
    <w:name w:val="Grid Table 6 Colorful - Accent 3"/>
    <w:basedOn w:val="101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3">
    <w:name w:val="Grid Table 6 Colorful - Accent 4"/>
    <w:basedOn w:val="101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4">
    <w:name w:val="Grid Table 6 Colorful - Accent 5"/>
    <w:basedOn w:val="101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6 Colorful - Accent 6"/>
    <w:basedOn w:val="101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7 Colorful"/>
    <w:basedOn w:val="101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1"/>
    <w:basedOn w:val="101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2"/>
    <w:basedOn w:val="101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3"/>
    <w:basedOn w:val="101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4"/>
    <w:basedOn w:val="101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5"/>
    <w:basedOn w:val="101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6"/>
    <w:basedOn w:val="101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1"/>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2"/>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3"/>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4"/>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5"/>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6"/>
    <w:basedOn w:val="101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w:basedOn w:val="101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1"/>
    <w:basedOn w:val="101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2"/>
    <w:basedOn w:val="101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3"/>
    <w:basedOn w:val="101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4"/>
    <w:basedOn w:val="101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5"/>
    <w:basedOn w:val="101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6"/>
    <w:basedOn w:val="101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w:basedOn w:val="101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1"/>
    <w:basedOn w:val="101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2"/>
    <w:basedOn w:val="101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3"/>
    <w:basedOn w:val="101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4"/>
    <w:basedOn w:val="101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5"/>
    <w:basedOn w:val="101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6"/>
    <w:basedOn w:val="101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w:basedOn w:val="101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1"/>
    <w:basedOn w:val="101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2"/>
    <w:basedOn w:val="101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3"/>
    <w:basedOn w:val="101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4"/>
    <w:basedOn w:val="101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5"/>
    <w:basedOn w:val="101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6"/>
    <w:basedOn w:val="101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5 Dark"/>
    <w:basedOn w:val="101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1"/>
    <w:basedOn w:val="101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2"/>
    <w:basedOn w:val="101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3"/>
    <w:basedOn w:val="101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4"/>
    <w:basedOn w:val="101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5"/>
    <w:basedOn w:val="101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6"/>
    <w:basedOn w:val="101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6 Colorful"/>
    <w:basedOn w:val="101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1"/>
    <w:basedOn w:val="101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2"/>
    <w:basedOn w:val="101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3"/>
    <w:basedOn w:val="101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4"/>
    <w:basedOn w:val="101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5"/>
    <w:basedOn w:val="101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6"/>
    <w:basedOn w:val="101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7 Colorful"/>
    <w:basedOn w:val="101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6">
    <w:name w:val="List Table 7 Colorful - Accent 1"/>
    <w:basedOn w:val="101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7">
    <w:name w:val="List Table 7 Colorful - Accent 2"/>
    <w:basedOn w:val="101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8">
    <w:name w:val="List Table 7 Colorful - Accent 3"/>
    <w:basedOn w:val="101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9">
    <w:name w:val="List Table 7 Colorful - Accent 4"/>
    <w:basedOn w:val="101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0">
    <w:name w:val="List Table 7 Colorful - Accent 5"/>
    <w:basedOn w:val="101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1">
    <w:name w:val="List Table 7 Colorful - Accent 6"/>
    <w:basedOn w:val="101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2">
    <w:name w:val="Lined - Accent"/>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1"/>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2"/>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3"/>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4"/>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5"/>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6"/>
    <w:basedOn w:val="101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w:basedOn w:val="101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1"/>
    <w:basedOn w:val="101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2"/>
    <w:basedOn w:val="101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3"/>
    <w:basedOn w:val="101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4"/>
    <w:basedOn w:val="101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5"/>
    <w:basedOn w:val="101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6"/>
    <w:basedOn w:val="101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w:basedOn w:val="101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1"/>
    <w:basedOn w:val="101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2"/>
    <w:basedOn w:val="101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3"/>
    <w:basedOn w:val="101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4"/>
    <w:basedOn w:val="101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5"/>
    <w:basedOn w:val="101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6"/>
    <w:basedOn w:val="101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3">
    <w:name w:val="Heading 5"/>
    <w:basedOn w:val="1004"/>
    <w:next w:val="1004"/>
    <w:link w:val="968"/>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4">
    <w:name w:val="Heading 6"/>
    <w:basedOn w:val="1004"/>
    <w:next w:val="1004"/>
    <w:link w:val="969"/>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5">
    <w:name w:val="Heading 7"/>
    <w:basedOn w:val="1004"/>
    <w:next w:val="1004"/>
    <w:link w:val="970"/>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6">
    <w:name w:val="Heading 8"/>
    <w:basedOn w:val="1004"/>
    <w:next w:val="1004"/>
    <w:link w:val="971"/>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7">
    <w:name w:val="Heading 9"/>
    <w:basedOn w:val="1004"/>
    <w:next w:val="1004"/>
    <w:link w:val="972"/>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8">
    <w:name w:val="Heading 5 Char"/>
    <w:basedOn w:val="1009"/>
    <w:link w:val="963"/>
    <w:uiPriority w:val="9"/>
    <w:pPr>
      <w:pBdr/>
      <w:spacing/>
      <w:ind/>
    </w:pPr>
    <w:rPr>
      <w:rFonts w:ascii="Arial" w:hAnsi="Arial" w:eastAsia="Arial" w:cs="Arial"/>
      <w:color w:val="0f4761" w:themeColor="accent1" w:themeShade="BF"/>
    </w:rPr>
  </w:style>
  <w:style w:type="character" w:styleId="969">
    <w:name w:val="Heading 6 Char"/>
    <w:basedOn w:val="1009"/>
    <w:link w:val="964"/>
    <w:uiPriority w:val="9"/>
    <w:pPr>
      <w:pBdr/>
      <w:spacing/>
      <w:ind/>
    </w:pPr>
    <w:rPr>
      <w:rFonts w:ascii="Arial" w:hAnsi="Arial" w:eastAsia="Arial" w:cs="Arial"/>
      <w:i/>
      <w:iCs/>
      <w:color w:val="595959" w:themeColor="text1" w:themeTint="A6"/>
    </w:rPr>
  </w:style>
  <w:style w:type="character" w:styleId="970">
    <w:name w:val="Heading 7 Char"/>
    <w:basedOn w:val="1009"/>
    <w:link w:val="965"/>
    <w:uiPriority w:val="9"/>
    <w:pPr>
      <w:pBdr/>
      <w:spacing/>
      <w:ind/>
    </w:pPr>
    <w:rPr>
      <w:rFonts w:ascii="Arial" w:hAnsi="Arial" w:eastAsia="Arial" w:cs="Arial"/>
      <w:color w:val="595959" w:themeColor="text1" w:themeTint="A6"/>
    </w:rPr>
  </w:style>
  <w:style w:type="character" w:styleId="971">
    <w:name w:val="Heading 8 Char"/>
    <w:basedOn w:val="1009"/>
    <w:link w:val="966"/>
    <w:uiPriority w:val="9"/>
    <w:pPr>
      <w:pBdr/>
      <w:spacing/>
      <w:ind/>
    </w:pPr>
    <w:rPr>
      <w:rFonts w:ascii="Arial" w:hAnsi="Arial" w:eastAsia="Arial" w:cs="Arial"/>
      <w:i/>
      <w:iCs/>
      <w:color w:val="272727" w:themeColor="text1" w:themeTint="D8"/>
    </w:rPr>
  </w:style>
  <w:style w:type="character" w:styleId="972">
    <w:name w:val="Heading 9 Char"/>
    <w:basedOn w:val="1009"/>
    <w:link w:val="967"/>
    <w:uiPriority w:val="9"/>
    <w:pPr>
      <w:pBdr/>
      <w:spacing/>
      <w:ind/>
    </w:pPr>
    <w:rPr>
      <w:rFonts w:ascii="Arial" w:hAnsi="Arial" w:eastAsia="Arial" w:cs="Arial"/>
      <w:i/>
      <w:iCs/>
      <w:color w:val="272727" w:themeColor="text1" w:themeTint="D8"/>
    </w:rPr>
  </w:style>
  <w:style w:type="paragraph" w:styleId="973">
    <w:name w:val="Subtitle"/>
    <w:basedOn w:val="1004"/>
    <w:next w:val="1004"/>
    <w:link w:val="974"/>
    <w:uiPriority w:val="11"/>
    <w:qFormat/>
    <w:pPr>
      <w:numPr>
        <w:ilvl w:val="1"/>
      </w:numPr>
      <w:pBdr/>
      <w:spacing/>
      <w:ind/>
    </w:pPr>
    <w:rPr>
      <w:color w:val="595959" w:themeColor="text1" w:themeTint="A6"/>
      <w:spacing w:val="15"/>
      <w:sz w:val="28"/>
      <w:szCs w:val="28"/>
    </w:rPr>
  </w:style>
  <w:style w:type="character" w:styleId="974">
    <w:name w:val="Subtitle Char"/>
    <w:basedOn w:val="1009"/>
    <w:link w:val="973"/>
    <w:uiPriority w:val="11"/>
    <w:pPr>
      <w:pBdr/>
      <w:spacing/>
      <w:ind/>
    </w:pPr>
    <w:rPr>
      <w:color w:val="595959" w:themeColor="text1" w:themeTint="A6"/>
      <w:spacing w:val="15"/>
      <w:sz w:val="28"/>
      <w:szCs w:val="28"/>
    </w:rPr>
  </w:style>
  <w:style w:type="paragraph" w:styleId="975">
    <w:name w:val="Quote"/>
    <w:basedOn w:val="1004"/>
    <w:next w:val="1004"/>
    <w:link w:val="976"/>
    <w:uiPriority w:val="29"/>
    <w:qFormat/>
    <w:pPr>
      <w:pBdr/>
      <w:spacing w:before="160"/>
      <w:ind/>
      <w:jc w:val="center"/>
    </w:pPr>
    <w:rPr>
      <w:i/>
      <w:iCs/>
      <w:color w:val="404040" w:themeColor="text1" w:themeTint="BF"/>
    </w:rPr>
  </w:style>
  <w:style w:type="character" w:styleId="976">
    <w:name w:val="Quote Char"/>
    <w:basedOn w:val="1009"/>
    <w:link w:val="975"/>
    <w:uiPriority w:val="29"/>
    <w:pPr>
      <w:pBdr/>
      <w:spacing/>
      <w:ind/>
    </w:pPr>
    <w:rPr>
      <w:i/>
      <w:iCs/>
      <w:color w:val="404040" w:themeColor="text1" w:themeTint="BF"/>
    </w:rPr>
  </w:style>
  <w:style w:type="character" w:styleId="977">
    <w:name w:val="Intense Emphasis"/>
    <w:basedOn w:val="1009"/>
    <w:uiPriority w:val="21"/>
    <w:qFormat/>
    <w:pPr>
      <w:pBdr/>
      <w:spacing/>
      <w:ind/>
    </w:pPr>
    <w:rPr>
      <w:i/>
      <w:iCs/>
      <w:color w:val="0f4761" w:themeColor="accent1" w:themeShade="BF"/>
    </w:rPr>
  </w:style>
  <w:style w:type="paragraph" w:styleId="978">
    <w:name w:val="Intense Quote"/>
    <w:basedOn w:val="1004"/>
    <w:next w:val="1004"/>
    <w:link w:val="979"/>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9">
    <w:name w:val="Intense Quote Char"/>
    <w:basedOn w:val="1009"/>
    <w:link w:val="978"/>
    <w:uiPriority w:val="30"/>
    <w:pPr>
      <w:pBdr/>
      <w:spacing/>
      <w:ind/>
    </w:pPr>
    <w:rPr>
      <w:i/>
      <w:iCs/>
      <w:color w:val="0f4761" w:themeColor="accent1" w:themeShade="BF"/>
    </w:rPr>
  </w:style>
  <w:style w:type="character" w:styleId="980">
    <w:name w:val="Intense Reference"/>
    <w:basedOn w:val="1009"/>
    <w:uiPriority w:val="32"/>
    <w:qFormat/>
    <w:pPr>
      <w:pBdr/>
      <w:spacing/>
      <w:ind/>
    </w:pPr>
    <w:rPr>
      <w:b/>
      <w:bCs/>
      <w:smallCaps/>
      <w:color w:val="0f4761" w:themeColor="accent1" w:themeShade="BF"/>
      <w:spacing w:val="5"/>
    </w:rPr>
  </w:style>
  <w:style w:type="paragraph" w:styleId="981">
    <w:name w:val="No Spacing"/>
    <w:basedOn w:val="1004"/>
    <w:uiPriority w:val="1"/>
    <w:qFormat/>
    <w:pPr>
      <w:pBdr/>
      <w:spacing w:after="0" w:line="240" w:lineRule="auto"/>
      <w:ind/>
    </w:pPr>
  </w:style>
  <w:style w:type="character" w:styleId="982">
    <w:name w:val="Subtle Emphasis"/>
    <w:basedOn w:val="1009"/>
    <w:uiPriority w:val="19"/>
    <w:qFormat/>
    <w:pPr>
      <w:pBdr/>
      <w:spacing/>
      <w:ind/>
    </w:pPr>
    <w:rPr>
      <w:i/>
      <w:iCs/>
      <w:color w:val="404040" w:themeColor="text1" w:themeTint="BF"/>
    </w:rPr>
  </w:style>
  <w:style w:type="character" w:styleId="983">
    <w:name w:val="Subtle Reference"/>
    <w:basedOn w:val="1009"/>
    <w:uiPriority w:val="31"/>
    <w:qFormat/>
    <w:pPr>
      <w:pBdr/>
      <w:spacing/>
      <w:ind/>
    </w:pPr>
    <w:rPr>
      <w:smallCaps/>
      <w:color w:val="5a5a5a" w:themeColor="text1" w:themeTint="A5"/>
    </w:rPr>
  </w:style>
  <w:style w:type="character" w:styleId="984">
    <w:name w:val="Book Title"/>
    <w:basedOn w:val="1009"/>
    <w:uiPriority w:val="33"/>
    <w:qFormat/>
    <w:pPr>
      <w:pBdr/>
      <w:spacing/>
      <w:ind/>
    </w:pPr>
    <w:rPr>
      <w:b/>
      <w:bCs/>
      <w:i/>
      <w:iCs/>
      <w:spacing w:val="5"/>
    </w:rPr>
  </w:style>
  <w:style w:type="paragraph" w:styleId="985">
    <w:name w:val="Caption"/>
    <w:basedOn w:val="1004"/>
    <w:next w:val="1004"/>
    <w:uiPriority w:val="35"/>
    <w:unhideWhenUsed/>
    <w:qFormat/>
    <w:pPr>
      <w:pBdr/>
      <w:spacing w:after="200" w:line="240" w:lineRule="auto"/>
      <w:ind/>
    </w:pPr>
    <w:rPr>
      <w:i/>
      <w:iCs/>
      <w:color w:val="0e2841" w:themeColor="text2"/>
      <w:sz w:val="18"/>
      <w:szCs w:val="18"/>
    </w:rPr>
  </w:style>
  <w:style w:type="paragraph" w:styleId="986">
    <w:name w:val="footnote text"/>
    <w:basedOn w:val="1004"/>
    <w:link w:val="987"/>
    <w:uiPriority w:val="99"/>
    <w:semiHidden/>
    <w:unhideWhenUsed/>
    <w:pPr>
      <w:pBdr/>
      <w:spacing w:after="0" w:line="240" w:lineRule="auto"/>
      <w:ind/>
    </w:pPr>
    <w:rPr>
      <w:sz w:val="20"/>
      <w:szCs w:val="20"/>
    </w:rPr>
  </w:style>
  <w:style w:type="character" w:styleId="987">
    <w:name w:val="Footnote Text Char"/>
    <w:basedOn w:val="1009"/>
    <w:link w:val="986"/>
    <w:uiPriority w:val="99"/>
    <w:semiHidden/>
    <w:pPr>
      <w:pBdr/>
      <w:spacing/>
      <w:ind/>
    </w:pPr>
    <w:rPr>
      <w:sz w:val="20"/>
      <w:szCs w:val="20"/>
    </w:rPr>
  </w:style>
  <w:style w:type="character" w:styleId="988">
    <w:name w:val="footnote reference"/>
    <w:basedOn w:val="1009"/>
    <w:uiPriority w:val="99"/>
    <w:semiHidden/>
    <w:unhideWhenUsed/>
    <w:pPr>
      <w:pBdr/>
      <w:spacing/>
      <w:ind/>
    </w:pPr>
    <w:rPr>
      <w:vertAlign w:val="superscript"/>
    </w:rPr>
  </w:style>
  <w:style w:type="paragraph" w:styleId="989">
    <w:name w:val="endnote text"/>
    <w:basedOn w:val="1004"/>
    <w:link w:val="990"/>
    <w:uiPriority w:val="99"/>
    <w:semiHidden/>
    <w:unhideWhenUsed/>
    <w:pPr>
      <w:pBdr/>
      <w:spacing w:after="0" w:line="240" w:lineRule="auto"/>
      <w:ind/>
    </w:pPr>
    <w:rPr>
      <w:sz w:val="20"/>
      <w:szCs w:val="20"/>
    </w:rPr>
  </w:style>
  <w:style w:type="character" w:styleId="990">
    <w:name w:val="Endnote Text Char"/>
    <w:basedOn w:val="1009"/>
    <w:link w:val="989"/>
    <w:uiPriority w:val="99"/>
    <w:semiHidden/>
    <w:pPr>
      <w:pBdr/>
      <w:spacing/>
      <w:ind/>
    </w:pPr>
    <w:rPr>
      <w:sz w:val="20"/>
      <w:szCs w:val="20"/>
    </w:rPr>
  </w:style>
  <w:style w:type="character" w:styleId="991">
    <w:name w:val="endnote reference"/>
    <w:basedOn w:val="1009"/>
    <w:uiPriority w:val="99"/>
    <w:semiHidden/>
    <w:unhideWhenUsed/>
    <w:pPr>
      <w:pBdr/>
      <w:spacing/>
      <w:ind/>
    </w:pPr>
    <w:rPr>
      <w:vertAlign w:val="superscript"/>
    </w:rPr>
  </w:style>
  <w:style w:type="paragraph" w:styleId="992">
    <w:name w:val="toc 1"/>
    <w:basedOn w:val="1004"/>
    <w:next w:val="1004"/>
    <w:uiPriority w:val="39"/>
    <w:unhideWhenUsed/>
    <w:pPr>
      <w:pBdr/>
      <w:spacing w:after="100"/>
      <w:ind/>
    </w:pPr>
  </w:style>
  <w:style w:type="paragraph" w:styleId="993">
    <w:name w:val="toc 2"/>
    <w:basedOn w:val="1004"/>
    <w:next w:val="1004"/>
    <w:uiPriority w:val="39"/>
    <w:unhideWhenUsed/>
    <w:pPr>
      <w:pBdr/>
      <w:spacing w:after="100"/>
      <w:ind w:left="220"/>
    </w:pPr>
  </w:style>
  <w:style w:type="paragraph" w:styleId="994">
    <w:name w:val="toc 3"/>
    <w:basedOn w:val="1004"/>
    <w:next w:val="1004"/>
    <w:uiPriority w:val="39"/>
    <w:unhideWhenUsed/>
    <w:pPr>
      <w:pBdr/>
      <w:spacing w:after="100"/>
      <w:ind w:left="440"/>
    </w:pPr>
  </w:style>
  <w:style w:type="paragraph" w:styleId="995">
    <w:name w:val="toc 4"/>
    <w:basedOn w:val="1004"/>
    <w:next w:val="1004"/>
    <w:uiPriority w:val="39"/>
    <w:unhideWhenUsed/>
    <w:pPr>
      <w:pBdr/>
      <w:spacing w:after="100"/>
      <w:ind w:left="660"/>
    </w:pPr>
  </w:style>
  <w:style w:type="paragraph" w:styleId="996">
    <w:name w:val="toc 5"/>
    <w:basedOn w:val="1004"/>
    <w:next w:val="1004"/>
    <w:uiPriority w:val="39"/>
    <w:unhideWhenUsed/>
    <w:pPr>
      <w:pBdr/>
      <w:spacing w:after="100"/>
      <w:ind w:left="880"/>
    </w:pPr>
  </w:style>
  <w:style w:type="paragraph" w:styleId="997">
    <w:name w:val="toc 6"/>
    <w:basedOn w:val="1004"/>
    <w:next w:val="1004"/>
    <w:uiPriority w:val="39"/>
    <w:unhideWhenUsed/>
    <w:pPr>
      <w:pBdr/>
      <w:spacing w:after="100"/>
      <w:ind w:left="1100"/>
    </w:pPr>
  </w:style>
  <w:style w:type="paragraph" w:styleId="998">
    <w:name w:val="toc 7"/>
    <w:basedOn w:val="1004"/>
    <w:next w:val="1004"/>
    <w:uiPriority w:val="39"/>
    <w:unhideWhenUsed/>
    <w:pPr>
      <w:pBdr/>
      <w:spacing w:after="100"/>
      <w:ind w:left="1320"/>
    </w:pPr>
  </w:style>
  <w:style w:type="paragraph" w:styleId="999">
    <w:name w:val="toc 8"/>
    <w:basedOn w:val="1004"/>
    <w:next w:val="1004"/>
    <w:uiPriority w:val="39"/>
    <w:unhideWhenUsed/>
    <w:pPr>
      <w:pBdr/>
      <w:spacing w:after="100"/>
      <w:ind w:left="1540"/>
    </w:pPr>
  </w:style>
  <w:style w:type="paragraph" w:styleId="1000">
    <w:name w:val="toc 9"/>
    <w:basedOn w:val="1004"/>
    <w:next w:val="1004"/>
    <w:uiPriority w:val="39"/>
    <w:unhideWhenUsed/>
    <w:pPr>
      <w:pBdr/>
      <w:spacing w:after="100"/>
      <w:ind w:left="1760"/>
    </w:pPr>
  </w:style>
  <w:style w:type="character" w:styleId="1001">
    <w:name w:val="Placeholder Text"/>
    <w:basedOn w:val="1009"/>
    <w:uiPriority w:val="99"/>
    <w:semiHidden/>
    <w:pPr>
      <w:pBdr/>
      <w:spacing/>
      <w:ind/>
    </w:pPr>
    <w:rPr>
      <w:color w:val="666666"/>
    </w:rPr>
  </w:style>
  <w:style w:type="paragraph" w:styleId="1002">
    <w:name w:val="TOC Heading"/>
    <w:uiPriority w:val="39"/>
    <w:unhideWhenUsed/>
    <w:pPr>
      <w:pBdr/>
      <w:spacing/>
      <w:ind/>
    </w:pPr>
  </w:style>
  <w:style w:type="paragraph" w:styleId="1003">
    <w:name w:val="table of figures"/>
    <w:basedOn w:val="1004"/>
    <w:next w:val="1004"/>
    <w:uiPriority w:val="99"/>
    <w:unhideWhenUsed/>
    <w:pPr>
      <w:pBdr/>
      <w:spacing w:after="0" w:afterAutospacing="0"/>
      <w:ind/>
    </w:pPr>
  </w:style>
  <w:style w:type="paragraph" w:styleId="1004" w:default="1">
    <w:name w:val="Normal"/>
    <w:qFormat/>
    <w:pPr>
      <w:pBdr/>
      <w:spacing w:after="0" w:line="240" w:lineRule="auto"/>
      <w:ind/>
    </w:pPr>
    <w:rPr>
      <w:rFonts w:ascii="Times New Roman" w:hAnsi="Times New Roman" w:eastAsia="Times New Roman" w:cs="Times New Roman"/>
      <w:sz w:val="24"/>
      <w:szCs w:val="24"/>
    </w:rPr>
  </w:style>
  <w:style w:type="paragraph" w:styleId="1005">
    <w:name w:val="Heading 1"/>
    <w:basedOn w:val="1004"/>
    <w:next w:val="1004"/>
    <w:link w:val="1012"/>
    <w:qFormat/>
    <w:pPr>
      <w:keepNext w:val="true"/>
      <w:pBdr/>
      <w:spacing w:after="120" w:before="120"/>
      <w:ind/>
      <w:jc w:val="center"/>
      <w:outlineLvl w:val="0"/>
    </w:pPr>
    <w:rPr>
      <w:b/>
      <w:bCs/>
      <w:sz w:val="27"/>
      <w:szCs w:val="27"/>
    </w:rPr>
  </w:style>
  <w:style w:type="paragraph" w:styleId="1006">
    <w:name w:val="Heading 2"/>
    <w:basedOn w:val="1004"/>
    <w:next w:val="1004"/>
    <w:link w:val="101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7">
    <w:name w:val="Heading 3"/>
    <w:basedOn w:val="1004"/>
    <w:next w:val="1004"/>
    <w:link w:val="1014"/>
    <w:qFormat/>
    <w:pPr>
      <w:keepNext w:val="true"/>
      <w:pBdr/>
      <w:spacing w:before="60"/>
      <w:ind/>
      <w:outlineLvl w:val="2"/>
    </w:pPr>
    <w:rPr>
      <w:sz w:val="28"/>
      <w:szCs w:val="28"/>
    </w:rPr>
  </w:style>
  <w:style w:type="paragraph" w:styleId="1008">
    <w:name w:val="Heading 4"/>
    <w:basedOn w:val="1004"/>
    <w:next w:val="1004"/>
    <w:link w:val="1015"/>
    <w:qFormat/>
    <w:pPr>
      <w:keepNext w:val="true"/>
      <w:pBdr/>
      <w:spacing/>
      <w:ind/>
      <w:jc w:val="center"/>
      <w:outlineLvl w:val="3"/>
    </w:pPr>
    <w:rPr>
      <w:b/>
      <w:bCs/>
    </w:rPr>
  </w:style>
  <w:style w:type="character" w:styleId="1009" w:default="1">
    <w:name w:val="Default Paragraph Font"/>
    <w:uiPriority w:val="1"/>
    <w:semiHidden/>
    <w:unhideWhenUsed/>
    <w:pPr>
      <w:pBdr/>
      <w:spacing/>
      <w:ind/>
    </w:pPr>
  </w:style>
  <w:style w:type="table" w:styleId="101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1" w:default="1">
    <w:name w:val="No List"/>
    <w:uiPriority w:val="99"/>
    <w:semiHidden/>
    <w:unhideWhenUsed/>
    <w:pPr>
      <w:pBdr/>
      <w:spacing/>
      <w:ind/>
    </w:pPr>
  </w:style>
  <w:style w:type="character" w:styleId="1012" w:customStyle="1">
    <w:name w:val="Heading 1 Char"/>
    <w:basedOn w:val="1009"/>
    <w:link w:val="1005"/>
    <w:pPr>
      <w:pBdr/>
      <w:spacing/>
      <w:ind/>
    </w:pPr>
    <w:rPr>
      <w:rFonts w:ascii="Times New Roman" w:hAnsi="Times New Roman" w:eastAsia="Times New Roman" w:cs="Times New Roman"/>
      <w:b/>
      <w:bCs/>
      <w:sz w:val="27"/>
      <w:szCs w:val="27"/>
    </w:rPr>
  </w:style>
  <w:style w:type="character" w:styleId="1013" w:customStyle="1">
    <w:name w:val="Heading 2 Char"/>
    <w:basedOn w:val="1009"/>
    <w:link w:val="1006"/>
    <w:uiPriority w:val="9"/>
    <w:pPr>
      <w:pBdr/>
      <w:spacing/>
      <w:ind/>
    </w:pPr>
    <w:rPr>
      <w:rFonts w:asciiTheme="majorHAnsi" w:hAnsiTheme="majorHAnsi" w:eastAsiaTheme="majorEastAsia" w:cstheme="majorBidi"/>
      <w:color w:val="365f91" w:themeColor="accent1" w:themeShade="BF"/>
      <w:sz w:val="26"/>
      <w:szCs w:val="26"/>
    </w:rPr>
  </w:style>
  <w:style w:type="character" w:styleId="1014" w:customStyle="1">
    <w:name w:val="Heading 3 Char"/>
    <w:basedOn w:val="1009"/>
    <w:link w:val="1007"/>
    <w:pPr>
      <w:pBdr/>
      <w:spacing/>
      <w:ind/>
    </w:pPr>
    <w:rPr>
      <w:rFonts w:ascii="Times New Roman" w:hAnsi="Times New Roman" w:eastAsia="Times New Roman" w:cs="Times New Roman"/>
      <w:sz w:val="28"/>
      <w:szCs w:val="28"/>
    </w:rPr>
  </w:style>
  <w:style w:type="character" w:styleId="1015" w:customStyle="1">
    <w:name w:val="Heading 4 Char"/>
    <w:basedOn w:val="1009"/>
    <w:link w:val="1008"/>
    <w:pPr>
      <w:pBdr/>
      <w:spacing/>
      <w:ind/>
    </w:pPr>
    <w:rPr>
      <w:rFonts w:ascii="Times New Roman" w:hAnsi="Times New Roman" w:eastAsia="Times New Roman" w:cs="Times New Roman"/>
      <w:b/>
      <w:bCs/>
      <w:sz w:val="24"/>
      <w:szCs w:val="24"/>
    </w:rPr>
  </w:style>
  <w:style w:type="character" w:styleId="1016">
    <w:name w:val="Hyperlink"/>
    <w:uiPriority w:val="99"/>
    <w:pPr>
      <w:pBdr/>
      <w:spacing/>
      <w:ind/>
    </w:pPr>
    <w:rPr>
      <w:color w:val="000000"/>
      <w:u w:val="single"/>
    </w:rPr>
  </w:style>
  <w:style w:type="character" w:styleId="1017">
    <w:name w:val="Strong"/>
    <w:uiPriority w:val="22"/>
    <w:qFormat/>
    <w:pPr>
      <w:pBdr/>
      <w:spacing/>
      <w:ind/>
    </w:pPr>
    <w:rPr>
      <w:b/>
      <w:bCs/>
    </w:rPr>
  </w:style>
  <w:style w:type="paragraph" w:styleId="1018">
    <w:name w:val="Balloon Text"/>
    <w:basedOn w:val="1004"/>
    <w:link w:val="1019"/>
    <w:uiPriority w:val="99"/>
    <w:semiHidden/>
    <w:unhideWhenUsed/>
    <w:pPr>
      <w:pBdr/>
      <w:spacing/>
      <w:ind/>
    </w:pPr>
    <w:rPr>
      <w:rFonts w:ascii="Tahoma" w:hAnsi="Tahoma" w:cs="Tahoma"/>
      <w:sz w:val="16"/>
      <w:szCs w:val="16"/>
    </w:rPr>
  </w:style>
  <w:style w:type="character" w:styleId="1019" w:customStyle="1">
    <w:name w:val="Balloon Text Char"/>
    <w:basedOn w:val="1009"/>
    <w:link w:val="1018"/>
    <w:uiPriority w:val="99"/>
    <w:semiHidden/>
    <w:pPr>
      <w:pBdr/>
      <w:spacing/>
      <w:ind/>
    </w:pPr>
    <w:rPr>
      <w:rFonts w:ascii="Tahoma" w:hAnsi="Tahoma" w:eastAsia="Times New Roman" w:cs="Tahoma"/>
      <w:sz w:val="16"/>
      <w:szCs w:val="16"/>
    </w:rPr>
  </w:style>
  <w:style w:type="paragraph" w:styleId="1020">
    <w:name w:val="Header"/>
    <w:basedOn w:val="1004"/>
    <w:link w:val="1021"/>
    <w:unhideWhenUsed/>
    <w:pPr>
      <w:pBdr/>
      <w:tabs>
        <w:tab w:val="center" w:leader="none" w:pos="4680"/>
        <w:tab w:val="right" w:leader="none" w:pos="9360"/>
      </w:tabs>
      <w:spacing/>
      <w:ind/>
    </w:pPr>
  </w:style>
  <w:style w:type="character" w:styleId="1021" w:customStyle="1">
    <w:name w:val="Header Char"/>
    <w:basedOn w:val="1009"/>
    <w:link w:val="1020"/>
    <w:pPr>
      <w:pBdr/>
      <w:spacing/>
      <w:ind/>
    </w:pPr>
    <w:rPr>
      <w:rFonts w:ascii="Times New Roman" w:hAnsi="Times New Roman" w:eastAsia="Times New Roman" w:cs="Times New Roman"/>
      <w:sz w:val="24"/>
      <w:szCs w:val="24"/>
    </w:rPr>
  </w:style>
  <w:style w:type="paragraph" w:styleId="1022">
    <w:name w:val="Footer"/>
    <w:basedOn w:val="1004"/>
    <w:link w:val="1023"/>
    <w:uiPriority w:val="99"/>
    <w:unhideWhenUsed/>
    <w:pPr>
      <w:pBdr/>
      <w:tabs>
        <w:tab w:val="center" w:leader="none" w:pos="4680"/>
        <w:tab w:val="right" w:leader="none" w:pos="9360"/>
      </w:tabs>
      <w:spacing/>
      <w:ind/>
    </w:pPr>
  </w:style>
  <w:style w:type="character" w:styleId="1023" w:customStyle="1">
    <w:name w:val="Footer Char"/>
    <w:basedOn w:val="1009"/>
    <w:link w:val="1022"/>
    <w:uiPriority w:val="99"/>
    <w:pPr>
      <w:pBdr/>
      <w:spacing/>
      <w:ind/>
    </w:pPr>
    <w:rPr>
      <w:rFonts w:ascii="Times New Roman" w:hAnsi="Times New Roman" w:eastAsia="Times New Roman" w:cs="Times New Roman"/>
      <w:sz w:val="24"/>
      <w:szCs w:val="24"/>
    </w:rPr>
  </w:style>
  <w:style w:type="character" w:styleId="1024" w:customStyle="1">
    <w:name w:val="normal-h1"/>
    <w:pPr>
      <w:pBdr/>
      <w:spacing/>
      <w:ind/>
    </w:pPr>
    <w:rPr>
      <w:rFonts w:hint="default" w:ascii=".VnTime" w:hAnsi=".VnTime"/>
      <w:color w:val="0000ff"/>
      <w:sz w:val="24"/>
      <w:szCs w:val="24"/>
    </w:rPr>
  </w:style>
  <w:style w:type="paragraph" w:styleId="1025" w:customStyle="1">
    <w:name w:val="normal-p"/>
    <w:basedOn w:val="1004"/>
    <w:pPr>
      <w:pBdr/>
      <w:spacing/>
      <w:ind/>
      <w:jc w:val="both"/>
    </w:pPr>
    <w:rPr>
      <w:sz w:val="20"/>
      <w:szCs w:val="20"/>
    </w:rPr>
  </w:style>
  <w:style w:type="paragraph" w:styleId="1026">
    <w:name w:val="List Paragraph"/>
    <w:basedOn w:val="1004"/>
    <w:link w:val="1113"/>
    <w:uiPriority w:val="34"/>
    <w:qFormat/>
    <w:pPr>
      <w:pBdr/>
      <w:spacing/>
      <w:ind w:left="720"/>
    </w:pPr>
  </w:style>
  <w:style w:type="paragraph" w:styleId="1027">
    <w:name w:val="Normal (Web)"/>
    <w:basedOn w:val="1004"/>
    <w:uiPriority w:val="99"/>
    <w:pPr>
      <w:pBdr/>
      <w:spacing w:after="100" w:afterAutospacing="1" w:before="100" w:beforeAutospacing="1"/>
      <w:ind/>
    </w:pPr>
  </w:style>
  <w:style w:type="paragraph" w:styleId="1028">
    <w:name w:val="Body Text"/>
    <w:basedOn w:val="1004"/>
    <w:link w:val="1029"/>
    <w:pPr>
      <w:pBdr/>
      <w:spacing w:after="120"/>
      <w:ind/>
      <w:jc w:val="both"/>
    </w:pPr>
  </w:style>
  <w:style w:type="character" w:styleId="1029" w:customStyle="1">
    <w:name w:val="Body Text Char"/>
    <w:basedOn w:val="1009"/>
    <w:link w:val="1028"/>
    <w:pPr>
      <w:pBdr/>
      <w:spacing/>
      <w:ind/>
    </w:pPr>
    <w:rPr>
      <w:rFonts w:ascii="Times New Roman" w:hAnsi="Times New Roman" w:eastAsia="Times New Roman" w:cs="Times New Roman"/>
      <w:sz w:val="24"/>
      <w:szCs w:val="24"/>
    </w:rPr>
  </w:style>
  <w:style w:type="table" w:styleId="1030">
    <w:name w:val="Table Grid"/>
    <w:basedOn w:val="101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2">
    <w:name w:val="annotation reference"/>
    <w:basedOn w:val="1009"/>
    <w:uiPriority w:val="99"/>
    <w:semiHidden/>
    <w:unhideWhenUsed/>
    <w:pPr>
      <w:pBdr/>
      <w:spacing/>
      <w:ind/>
    </w:pPr>
    <w:rPr>
      <w:sz w:val="16"/>
      <w:szCs w:val="16"/>
    </w:rPr>
  </w:style>
  <w:style w:type="paragraph" w:styleId="1033">
    <w:name w:val="annotation text"/>
    <w:basedOn w:val="1004"/>
    <w:link w:val="1034"/>
    <w:uiPriority w:val="99"/>
    <w:unhideWhenUsed/>
    <w:pPr>
      <w:pBdr/>
      <w:spacing/>
      <w:ind/>
    </w:pPr>
    <w:rPr>
      <w:sz w:val="20"/>
      <w:szCs w:val="20"/>
    </w:rPr>
  </w:style>
  <w:style w:type="character" w:styleId="1034" w:customStyle="1">
    <w:name w:val="Comment Text Char"/>
    <w:basedOn w:val="1009"/>
    <w:link w:val="1033"/>
    <w:uiPriority w:val="99"/>
    <w:pPr>
      <w:pBdr/>
      <w:spacing/>
      <w:ind/>
    </w:pPr>
    <w:rPr>
      <w:rFonts w:ascii="Times New Roman" w:hAnsi="Times New Roman" w:eastAsia="Times New Roman" w:cs="Times New Roman"/>
      <w:sz w:val="20"/>
      <w:szCs w:val="20"/>
    </w:rPr>
  </w:style>
  <w:style w:type="paragraph" w:styleId="1035">
    <w:name w:val="annotation subject"/>
    <w:basedOn w:val="1033"/>
    <w:next w:val="1033"/>
    <w:link w:val="1036"/>
    <w:uiPriority w:val="99"/>
    <w:semiHidden/>
    <w:unhideWhenUsed/>
    <w:pPr>
      <w:pBdr/>
      <w:spacing/>
      <w:ind/>
    </w:pPr>
    <w:rPr>
      <w:b/>
      <w:bCs/>
    </w:rPr>
  </w:style>
  <w:style w:type="character" w:styleId="1036" w:customStyle="1">
    <w:name w:val="Comment Subject Char"/>
    <w:basedOn w:val="1034"/>
    <w:link w:val="1035"/>
    <w:uiPriority w:val="99"/>
    <w:semiHidden/>
    <w:pPr>
      <w:pBdr/>
      <w:spacing/>
      <w:ind/>
    </w:pPr>
    <w:rPr>
      <w:rFonts w:ascii="Times New Roman" w:hAnsi="Times New Roman" w:eastAsia="Times New Roman" w:cs="Times New Roman"/>
      <w:b/>
      <w:bCs/>
      <w:sz w:val="20"/>
      <w:szCs w:val="20"/>
    </w:rPr>
  </w:style>
  <w:style w:type="paragraph" w:styleId="1037" w:customStyle="1">
    <w:name w:val="font5"/>
    <w:basedOn w:val="1004"/>
    <w:pPr>
      <w:pBdr/>
      <w:spacing w:after="100" w:afterAutospacing="1" w:before="100" w:beforeAutospacing="1"/>
      <w:ind/>
    </w:pPr>
    <w:rPr>
      <w:rFonts w:ascii="Tahoma" w:hAnsi="Tahoma" w:cs="Tahoma"/>
      <w:color w:val="000000"/>
      <w:sz w:val="18"/>
      <w:szCs w:val="18"/>
    </w:rPr>
  </w:style>
  <w:style w:type="paragraph" w:styleId="1038" w:customStyle="1">
    <w:name w:val="font6"/>
    <w:basedOn w:val="1004"/>
    <w:pPr>
      <w:pBdr/>
      <w:spacing w:after="100" w:afterAutospacing="1" w:before="100" w:beforeAutospacing="1"/>
      <w:ind/>
    </w:pPr>
    <w:rPr>
      <w:rFonts w:ascii="Tahoma" w:hAnsi="Tahoma" w:cs="Tahoma"/>
      <w:b/>
      <w:bCs/>
      <w:color w:val="000000"/>
      <w:sz w:val="18"/>
      <w:szCs w:val="18"/>
    </w:rPr>
  </w:style>
  <w:style w:type="paragraph" w:styleId="1039" w:customStyle="1">
    <w:name w:val="xl233"/>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0" w:customStyle="1">
    <w:name w:val="xl234"/>
    <w:basedOn w:val="1004"/>
    <w:pPr>
      <w:pBdr/>
      <w:spacing w:after="100" w:afterAutospacing="1" w:before="100" w:beforeAutospacing="1"/>
      <w:ind/>
      <w:jc w:val="center"/>
    </w:pPr>
  </w:style>
  <w:style w:type="paragraph" w:styleId="1041" w:customStyle="1">
    <w:name w:val="xl235"/>
    <w:basedOn w:val="1004"/>
    <w:pPr>
      <w:pBdr/>
      <w:spacing w:after="100" w:afterAutospacing="1" w:before="100" w:beforeAutospacing="1"/>
      <w:ind/>
      <w:jc w:val="center"/>
    </w:pPr>
    <w:rPr>
      <w:b/>
      <w:bCs/>
    </w:rPr>
  </w:style>
  <w:style w:type="paragraph" w:styleId="1042" w:customStyle="1">
    <w:name w:val="xl236"/>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3" w:customStyle="1">
    <w:name w:val="xl237"/>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4" w:customStyle="1">
    <w:name w:val="xl238"/>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5" w:customStyle="1">
    <w:name w:val="xl23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6" w:customStyle="1">
    <w:name w:val="xl240"/>
    <w:basedOn w:val="1004"/>
    <w:pPr>
      <w:pBdr/>
      <w:spacing w:after="100" w:afterAutospacing="1" w:before="100" w:beforeAutospacing="1"/>
      <w:ind/>
    </w:pPr>
  </w:style>
  <w:style w:type="paragraph" w:styleId="1047" w:customStyle="1">
    <w:name w:val="xl241"/>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8" w:customStyle="1">
    <w:name w:val="xl242"/>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9" w:customStyle="1">
    <w:name w:val="xl243"/>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0" w:customStyle="1">
    <w:name w:val="xl244"/>
    <w:basedOn w:val="1004"/>
    <w:pPr>
      <w:pBdr/>
      <w:spacing w:after="100" w:afterAutospacing="1" w:before="100" w:beforeAutospacing="1"/>
      <w:ind/>
    </w:pPr>
    <w:rPr>
      <w:b/>
      <w:bCs/>
    </w:rPr>
  </w:style>
  <w:style w:type="paragraph" w:styleId="1051" w:customStyle="1">
    <w:name w:val="xl245"/>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6"/>
    <w:basedOn w:val="100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3" w:customStyle="1">
    <w:name w:val="xl247"/>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48"/>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5" w:customStyle="1">
    <w:name w:val="xl24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6" w:customStyle="1">
    <w:name w:val="xl250"/>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7" w:customStyle="1">
    <w:name w:val="xl251"/>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52"/>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3"/>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4"/>
    <w:basedOn w:val="100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5"/>
    <w:basedOn w:val="100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6"/>
    <w:basedOn w:val="100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7"/>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8"/>
    <w:basedOn w:val="100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0"/>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1"/>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8" w:customStyle="1">
    <w:name w:val="xl262"/>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9" w:customStyle="1">
    <w:name w:val="xl263"/>
    <w:basedOn w:val="1004"/>
    <w:pPr>
      <w:pBdr/>
      <w:shd w:val="clear" w:color="000000" w:fill="ffffff"/>
      <w:spacing w:after="100" w:afterAutospacing="1" w:before="100" w:beforeAutospacing="1"/>
      <w:ind/>
    </w:pPr>
  </w:style>
  <w:style w:type="paragraph" w:styleId="1070" w:customStyle="1">
    <w:name w:val="xl264"/>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5"/>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2" w:customStyle="1">
    <w:name w:val="xl266"/>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3" w:customStyle="1">
    <w:name w:val="xl267"/>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68"/>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69"/>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70"/>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7" w:customStyle="1">
    <w:name w:val="xl271"/>
    <w:basedOn w:val="100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8" w:customStyle="1">
    <w:name w:val="xl272"/>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73"/>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0" w:customStyle="1">
    <w:name w:val="xl274"/>
    <w:basedOn w:val="100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1" w:customStyle="1">
    <w:name w:val="xl275"/>
    <w:basedOn w:val="1004"/>
    <w:pPr>
      <w:pBdr/>
      <w:spacing w:after="100" w:afterAutospacing="1" w:before="100" w:beforeAutospacing="1"/>
      <w:ind/>
    </w:pPr>
  </w:style>
  <w:style w:type="paragraph" w:styleId="1082" w:customStyle="1">
    <w:name w:val="xl276"/>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3" w:customStyle="1">
    <w:name w:val="xl277"/>
    <w:basedOn w:val="100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4" w:customStyle="1">
    <w:name w:val="xl278"/>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79"/>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80"/>
    <w:basedOn w:val="100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7" w:customStyle="1">
    <w:name w:val="xl281"/>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8" w:customStyle="1">
    <w:name w:val="xl282"/>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9" w:customStyle="1">
    <w:name w:val="xl283"/>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4"/>
    <w:basedOn w:val="1004"/>
    <w:pPr>
      <w:pBdr>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5"/>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6"/>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87"/>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8"/>
    <w:basedOn w:val="1004"/>
    <w:pPr>
      <w:pBdr>
        <w:top w:val="single" w:color="000000" w:sz="4" w:space="0"/>
        <w:left w:val="single" w:color="000000" w:sz="4" w:space="0"/>
        <w:right w:val="single" w:color="000000" w:sz="4" w:space="0"/>
      </w:pBdr>
      <w:spacing w:after="100" w:afterAutospacing="1" w:before="100" w:beforeAutospacing="1"/>
      <w:ind/>
    </w:pPr>
  </w:style>
  <w:style w:type="paragraph" w:styleId="1095" w:customStyle="1">
    <w:name w:val="xl289"/>
    <w:basedOn w:val="1004"/>
    <w:pPr>
      <w:pBdr>
        <w:left w:val="single" w:color="000000" w:sz="4" w:space="0"/>
        <w:right w:val="single" w:color="000000" w:sz="4" w:space="0"/>
      </w:pBdr>
      <w:spacing w:after="100" w:afterAutospacing="1" w:before="100" w:beforeAutospacing="1"/>
      <w:ind/>
    </w:pPr>
    <w:rPr>
      <w:b/>
      <w:bCs/>
    </w:rPr>
  </w:style>
  <w:style w:type="paragraph" w:styleId="1096" w:customStyle="1">
    <w:name w:val="xl290"/>
    <w:basedOn w:val="100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7" w:customStyle="1">
    <w:name w:val="xl291"/>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8" w:customStyle="1">
    <w:name w:val="xl292"/>
    <w:basedOn w:val="1004"/>
    <w:pPr>
      <w:pBdr>
        <w:top w:val="single" w:color="000000" w:sz="4" w:space="0"/>
        <w:left w:val="single" w:color="000000" w:sz="4" w:space="0"/>
        <w:right w:val="single" w:color="000000" w:sz="4" w:space="0"/>
      </w:pBdr>
      <w:spacing w:after="100" w:afterAutospacing="1" w:before="100" w:beforeAutospacing="1"/>
      <w:ind/>
    </w:pPr>
  </w:style>
  <w:style w:type="paragraph" w:styleId="1099" w:customStyle="1">
    <w:name w:val="xl293"/>
    <w:basedOn w:val="1004"/>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94"/>
    <w:basedOn w:val="100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1">
    <w:name w:val="Title"/>
    <w:basedOn w:val="1004"/>
    <w:link w:val="1102"/>
    <w:qFormat/>
    <w:pPr>
      <w:pBdr/>
      <w:spacing/>
      <w:ind/>
      <w:jc w:val="center"/>
    </w:pPr>
    <w:rPr>
      <w:b/>
      <w:bCs/>
      <w:sz w:val="32"/>
      <w:szCs w:val="26"/>
    </w:rPr>
  </w:style>
  <w:style w:type="character" w:styleId="1102" w:customStyle="1">
    <w:name w:val="Title Char"/>
    <w:basedOn w:val="1009"/>
    <w:link w:val="1101"/>
    <w:pPr>
      <w:pBdr/>
      <w:spacing/>
      <w:ind/>
    </w:pPr>
    <w:rPr>
      <w:rFonts w:ascii="Times New Roman" w:hAnsi="Times New Roman" w:eastAsia="Times New Roman" w:cs="Times New Roman"/>
      <w:b/>
      <w:bCs/>
      <w:sz w:val="32"/>
      <w:szCs w:val="26"/>
    </w:rPr>
  </w:style>
  <w:style w:type="character" w:styleId="1103" w:customStyle="1">
    <w:name w:val="Unresolved Mention1"/>
    <w:basedOn w:val="1009"/>
    <w:uiPriority w:val="99"/>
    <w:semiHidden/>
    <w:unhideWhenUsed/>
    <w:pPr>
      <w:pBdr/>
      <w:spacing/>
      <w:ind/>
    </w:pPr>
    <w:rPr>
      <w:color w:val="605e5c"/>
      <w:shd w:val="clear" w:color="auto" w:fill="e1dfdd"/>
    </w:rPr>
  </w:style>
  <w:style w:type="character" w:styleId="1104" w:customStyle="1">
    <w:name w:val="Body text (3)_"/>
    <w:link w:val="1105"/>
    <w:pPr>
      <w:pBdr/>
      <w:spacing/>
      <w:ind/>
    </w:pPr>
    <w:rPr>
      <w:rFonts w:ascii="Times New Roman" w:hAnsi="Times New Roman" w:cs="Times New Roman"/>
      <w:i/>
      <w:iCs/>
      <w:spacing w:val="4"/>
      <w:shd w:val="clear" w:color="auto" w:fill="ffffff"/>
    </w:rPr>
  </w:style>
  <w:style w:type="paragraph" w:styleId="1105" w:customStyle="1">
    <w:name w:val="Body text (3)1"/>
    <w:basedOn w:val="1004"/>
    <w:link w:val="110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6" w:customStyle="1">
    <w:name w:val="t-j"/>
    <w:basedOn w:val="1004"/>
    <w:pPr>
      <w:pBdr/>
      <w:spacing w:after="100" w:afterAutospacing="1" w:before="100" w:beforeAutospacing="1"/>
      <w:ind/>
    </w:pPr>
  </w:style>
  <w:style w:type="character" w:styleId="1107" w:customStyle="1">
    <w:name w:val="Unresolved Mention2"/>
    <w:basedOn w:val="1009"/>
    <w:uiPriority w:val="99"/>
    <w:semiHidden/>
    <w:unhideWhenUsed/>
    <w:pPr>
      <w:pBdr/>
      <w:spacing/>
      <w:ind/>
    </w:pPr>
    <w:rPr>
      <w:color w:val="605e5c"/>
      <w:shd w:val="clear" w:color="auto" w:fill="e1dfdd"/>
    </w:rPr>
  </w:style>
  <w:style w:type="character" w:styleId="1108">
    <w:name w:val="FollowedHyperlink"/>
    <w:basedOn w:val="1009"/>
    <w:uiPriority w:val="99"/>
    <w:semiHidden/>
    <w:unhideWhenUsed/>
    <w:pPr>
      <w:pBdr/>
      <w:spacing/>
      <w:ind/>
    </w:pPr>
    <w:rPr>
      <w:color w:val="800080" w:themeColor="followedHyperlink"/>
      <w:u w:val="single"/>
    </w:rPr>
  </w:style>
  <w:style w:type="character" w:styleId="1109" w:customStyle="1">
    <w:name w:val="text"/>
    <w:basedOn w:val="1009"/>
    <w:pPr>
      <w:pBdr/>
      <w:spacing/>
      <w:ind/>
    </w:pPr>
  </w:style>
  <w:style w:type="character" w:styleId="1110" w:customStyle="1">
    <w:name w:val="card-send-time__sendtime"/>
    <w:basedOn w:val="1009"/>
    <w:pPr>
      <w:pBdr/>
      <w:spacing/>
      <w:ind/>
    </w:pPr>
  </w:style>
  <w:style w:type="character" w:styleId="1111" w:customStyle="1">
    <w:name w:val="Đề cập Chưa giải quyết1"/>
    <w:basedOn w:val="1009"/>
    <w:uiPriority w:val="99"/>
    <w:semiHidden/>
    <w:unhideWhenUsed/>
    <w:pPr>
      <w:pBdr/>
      <w:spacing/>
      <w:ind/>
    </w:pPr>
    <w:rPr>
      <w:color w:val="605e5c"/>
      <w:shd w:val="clear" w:color="auto" w:fill="e1dfdd"/>
    </w:rPr>
  </w:style>
  <w:style w:type="paragraph" w:styleId="1112" w:customStyle="1">
    <w:name w:val="nqtitle"/>
    <w:basedOn w:val="1004"/>
    <w:pPr>
      <w:pBdr/>
      <w:spacing w:after="100" w:afterAutospacing="1" w:before="100" w:beforeAutospacing="1"/>
      <w:ind/>
    </w:pPr>
    <w:rPr>
      <w:lang w:val="vi-VN" w:eastAsia="vi-VN"/>
    </w:rPr>
  </w:style>
  <w:style w:type="character" w:styleId="1113" w:customStyle="1">
    <w:name w:val="List Paragraph Char"/>
    <w:link w:val="1026"/>
    <w:uiPriority w:val="34"/>
    <w:qFormat/>
    <w:pPr>
      <w:pBdr/>
      <w:spacing/>
      <w:ind/>
    </w:pPr>
    <w:rPr>
      <w:rFonts w:ascii="Times New Roman" w:hAnsi="Times New Roman" w:eastAsia="Times New Roman" w:cs="Times New Roman"/>
      <w:sz w:val="24"/>
      <w:szCs w:val="24"/>
    </w:rPr>
  </w:style>
  <w:style w:type="character" w:styleId="1114" w:customStyle="1">
    <w:name w:val="Đề cập Chưa giải quyết2"/>
    <w:basedOn w:val="1009"/>
    <w:uiPriority w:val="99"/>
    <w:semiHidden/>
    <w:unhideWhenUsed/>
    <w:pPr>
      <w:pBdr/>
      <w:spacing/>
      <w:ind/>
    </w:pPr>
    <w:rPr>
      <w:color w:val="605e5c"/>
      <w:shd w:val="clear" w:color="auto" w:fill="e1dfdd"/>
    </w:rPr>
  </w:style>
  <w:style w:type="character" w:styleId="1115" w:customStyle="1">
    <w:name w:val="Unresolved Mention3"/>
    <w:basedOn w:val="1009"/>
    <w:uiPriority w:val="99"/>
    <w:semiHidden/>
    <w:unhideWhenUsed/>
    <w:pPr>
      <w:pBdr/>
      <w:spacing/>
      <w:ind/>
    </w:pPr>
    <w:rPr>
      <w:color w:val="605e5c"/>
      <w:shd w:val="clear" w:color="auto" w:fill="e1dfdd"/>
    </w:rPr>
  </w:style>
  <w:style w:type="character" w:styleId="1116" w:customStyle="1">
    <w:name w:val="copy"/>
    <w:basedOn w:val="1009"/>
    <w:pPr>
      <w:pBdr/>
      <w:spacing/>
      <w:ind/>
    </w:pPr>
  </w:style>
  <w:style w:type="paragraph" w:styleId="1117" w:customStyle="1">
    <w:name w:val="align-justify"/>
    <w:basedOn w:val="1004"/>
    <w:pPr>
      <w:pBdr/>
      <w:spacing w:after="100" w:afterAutospacing="1" w:before="100" w:beforeAutospacing="1"/>
      <w:ind/>
    </w:pPr>
  </w:style>
  <w:style w:type="character" w:styleId="1118" w:customStyle="1">
    <w:name w:val="btn"/>
    <w:basedOn w:val="1009"/>
    <w:pPr>
      <w:pBdr/>
      <w:spacing/>
      <w:ind/>
    </w:pPr>
  </w:style>
  <w:style w:type="character" w:styleId="1119" w:customStyle="1">
    <w:name w:val="hide_mobile"/>
    <w:basedOn w:val="1009"/>
    <w:pPr>
      <w:pBdr/>
      <w:spacing/>
      <w:ind/>
    </w:pPr>
  </w:style>
  <w:style w:type="character" w:styleId="1120">
    <w:name w:val="Emphasis"/>
    <w:basedOn w:val="1009"/>
    <w:uiPriority w:val="20"/>
    <w:qFormat/>
    <w:pPr>
      <w:pBdr/>
      <w:spacing/>
      <w:ind/>
    </w:pPr>
    <w:rPr>
      <w:i/>
      <w:iCs/>
    </w:rPr>
  </w:style>
  <w:style w:type="character" w:styleId="1121" w:customStyle="1">
    <w:name w:val="t1"/>
    <w:basedOn w:val="1009"/>
    <w:pPr>
      <w:pBdr/>
      <w:spacing/>
      <w:ind/>
    </w:pPr>
  </w:style>
  <w:style w:type="character" w:styleId="1122" w:customStyle="1">
    <w:name w:val="Unresolved Mention4"/>
    <w:basedOn w:val="1009"/>
    <w:uiPriority w:val="99"/>
    <w:semiHidden/>
    <w:unhideWhenUsed/>
    <w:pPr>
      <w:pBdr/>
      <w:spacing/>
      <w:ind/>
    </w:pPr>
    <w:rPr>
      <w:color w:val="605e5c"/>
      <w:shd w:val="clear" w:color="auto" w:fill="e1dfdd"/>
    </w:rPr>
  </w:style>
  <w:style w:type="character" w:styleId="1123">
    <w:name w:val="Unresolved Mention"/>
    <w:basedOn w:val="100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jpg"/><Relationship Id="rId18" Type="http://schemas.openxmlformats.org/officeDocument/2006/relationships/image" Target="media/image4.png"/><Relationship Id="rId19" Type="http://schemas.openxmlformats.org/officeDocument/2006/relationships/hyperlink" Target="https://www.facebook.com/groups/127291407441562/permalink/2950422835128391/" TargetMode="External"/><Relationship Id="rId20" Type="http://schemas.openxmlformats.org/officeDocument/2006/relationships/image" Target="media/image5.jpg"/><Relationship Id="rId21" Type="http://schemas.openxmlformats.org/officeDocument/2006/relationships/image" Target="media/image6.jpg"/><Relationship Id="rId22" Type="http://schemas.openxmlformats.org/officeDocument/2006/relationships/image" Target="media/image7.jpg"/><Relationship Id="rId23" Type="http://schemas.openxmlformats.org/officeDocument/2006/relationships/image" Target="media/image8.jpg"/><Relationship Id="rId24" Type="http://schemas.openxmlformats.org/officeDocument/2006/relationships/image" Target="media/image9.jpg"/><Relationship Id="rId25" Type="http://schemas.openxmlformats.org/officeDocument/2006/relationships/image" Target="media/image10.jp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Trương Thị Diệp</cp:lastModifiedBy>
  <cp:revision>272</cp:revision>
  <dcterms:created xsi:type="dcterms:W3CDTF">2025-09-15T09:58:00Z</dcterms:created>
  <dcterms:modified xsi:type="dcterms:W3CDTF">2026-01-30T03:25:56Z</dcterms:modified>
</cp:coreProperties>
</file>