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bCs/>
          <w:sz w:val="28"/>
          <w:szCs w:val="28"/>
        </w:rPr>
      </w:pPr>
      <w:r>
        <w:rPr>
          <w:b/>
          <w:sz w:val="28"/>
        </w:rPr>
      </w:r>
      <w:r>
        <w:rPr>
          <w:b/>
          <w:bCs/>
          <w:sz w:val="28"/>
          <w:szCs w:val="28"/>
        </w:rPr>
      </w:r>
      <w:r>
        <w:rPr>
          <w:b/>
          <w:bCs/>
          <w:sz w:val="28"/>
          <w:szCs w:val="28"/>
        </w:rPr>
      </w:r>
    </w:p>
    <w:p>
      <w:pPr>
        <w:pBdr/>
        <w:spacing/>
        <w:ind w:right="-1"/>
        <w:jc w:val="center"/>
        <w:rPr>
          <w:b/>
          <w:bCs/>
          <w:sz w:val="28"/>
          <w:szCs w:val="28"/>
        </w:rPr>
      </w:pPr>
      <w:r>
        <w:rPr>
          <w:b/>
          <w:bCs/>
          <w:sz w:val="28"/>
          <w:szCs w:val="28"/>
        </w:rPr>
      </w:r>
      <w:r>
        <w:rPr>
          <w:b/>
          <w:bCs/>
          <w:sz w:val="28"/>
          <w:szCs w:val="28"/>
        </w:rPr>
      </w:r>
      <w:r>
        <w:rPr>
          <w:b/>
          <w:bCs/>
          <w:sz w:val="28"/>
          <w:szCs w:val="28"/>
        </w:rPr>
      </w:r>
    </w:p>
    <w:p>
      <w:pPr>
        <w:pBdr/>
        <w:spacing/>
        <w:ind w:right="-1"/>
        <w:jc w:val="center"/>
        <w:rPr>
          <w:b/>
          <w:bCs/>
          <w:sz w:val="28"/>
          <w:szCs w:val="28"/>
        </w:rPr>
      </w:pPr>
      <w:r>
        <w:rPr>
          <w:b/>
          <w:sz w:val="28"/>
        </w:rPr>
      </w:r>
      <w:r>
        <w:rPr>
          <w:b/>
          <w:bCs/>
          <w:sz w:val="28"/>
          <w:szCs w:val="28"/>
        </w:rPr>
      </w:r>
      <w:r>
        <w:rPr>
          <w:b/>
          <w:bCs/>
          <w:sz w:val="28"/>
          <w:szCs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921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921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275/2026/0271/VFI-CT.65.A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Nguyễn Đình Quyết</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75, tờ bản đồ số 15 có địa chỉ: Khu xí  nghiệp 4, xã Duyên Thái, huyện Thường Tín, Thành phố Hà Nội (nay là xã Ngọc Hồi, thành phố Hà Nội)  theo Giấy chứng nhận quyền sử dụng đất, quyền sở hữu nhà ở và tài sản khác gắn li</w:t>
                            </w:r>
                            <w:r>
                              <w:rPr>
                                <w:rFonts w:ascii="Times New Roman" w:hAnsi="Times New Roman" w:eastAsia="Times New Roman" w:cs="Times New Roman"/>
                                <w:color w:val="000000"/>
                                <w:sz w:val="24"/>
                              </w:rPr>
                              <w:t xml:space="preserve">ền với đất  số: DD 294557, số vào sổ cấp GCN: CS-TTI 22013 do Sở tài nguyên và môi trường thành phố Hà Nội cấp ngày 05/10/2021; Chủ sử dụng đất là Ông Nguyễn Đình Quyết và Bà Đặng Thị Tuyết.</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2.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275/2026/0271/VFI-CT.65.A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Nguyễn Đình Quyết</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75, tờ bản đồ số 15 có địa chỉ: Khu xí  nghiệp 4, xã Duyên Thái, huyện Thường Tín, Thành phố Hà Nội (nay là xã Ngọc Hồi, thành phố Hà Nội)  theo Giấy chứng nhận quyền sử dụng đất, quyền sở hữu nhà ở và tài sản khác gắn li</w:t>
                      </w:r>
                      <w:r>
                        <w:rPr>
                          <w:rFonts w:ascii="Times New Roman" w:hAnsi="Times New Roman" w:eastAsia="Times New Roman" w:cs="Times New Roman"/>
                          <w:color w:val="000000"/>
                          <w:sz w:val="24"/>
                        </w:rPr>
                        <w:t xml:space="preserve">ền với đất  số: DD 294557, số vào sổ cấp GCN: CS-TTI 22013 do Sở tài nguyên và môi trường thành phố Hà Nội cấp ngày 05/10/2021; Chủ sử dụng đất là Ông Nguyễn Đình Quyết và Bà Đặng Thị Tuyết.</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lef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21-26</w:t>
            </w:r>
            <w:r>
              <w:rPr>
                <w:b/>
                <w:bCs/>
              </w:rPr>
            </w:r>
            <w:r>
              <w:rPr>
                <w:b/>
                <w:bCs/>
              </w:rPr>
            </w:r>
          </w:p>
        </w:tc>
      </w:tr>
      <w:tr>
        <w:trPr/>
        <w:tc>
          <w:tcPr>
            <w:tcBorders/>
            <w:tcMar>
              <w:left w:w="108" w:type="dxa"/>
              <w:top w:w="0" w:type="dxa"/>
              <w:right w:w="108" w:type="dxa"/>
              <w:bottom w:w="0" w:type="dxa"/>
            </w:tcMar>
            <w:tcW w:w="7280" w:type="dxa"/>
            <w:vAlign w:val="center"/>
            <w:vMerge w:val="restart"/>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3: Pháp lý tài sản</w:t>
            </w:r>
            <w:r>
              <w:rPr>
                <w:bCs/>
                <w:lang w:val="pt-BR"/>
              </w:rPr>
            </w:r>
            <w:r>
              <w:rPr>
                <w:bCs/>
                <w:lang w:val="pt-BR"/>
              </w:rPr>
            </w:r>
          </w:p>
        </w:tc>
        <w:tc>
          <w:tcPr>
            <w:tcBorders/>
            <w:tcMar>
              <w:left w:w="108" w:type="dxa"/>
              <w:top w:w="0" w:type="dxa"/>
              <w:right w:w="108" w:type="dxa"/>
              <w:bottom w:w="0" w:type="dxa"/>
            </w:tcMar>
            <w:tcW w:w="1520" w:type="dxa"/>
            <w:vAlign w:val="center"/>
            <w:vMerge w:val="restart"/>
            <w:textDirection w:val="lrTb"/>
            <w:noWrap w:val="false"/>
          </w:tcPr>
          <w:p>
            <w:pPr>
              <w:pBdr/>
              <w:spacing w:after="120" w:before="100" w:beforeAutospacing="1"/>
              <w:ind/>
              <w:jc w:val="right"/>
              <w:rPr>
                <w:b/>
                <w:bCs/>
              </w:rPr>
            </w:pPr>
            <w:r>
              <w:rPr>
                <w:b/>
                <w:bCs/>
              </w:rPr>
              <w:t xml:space="preserve">27-29</w:t>
            </w:r>
            <w:r>
              <w:rPr>
                <w:b/>
                <w:bCs/>
              </w:rPr>
            </w:r>
            <w:r>
              <w:rPr>
                <w:b/>
                <w:bCs/>
              </w:rPr>
            </w:r>
          </w:p>
        </w:tc>
      </w:tr>
      <w:tr>
        <w:trPr/>
        <w:tc>
          <w:tcPr>
            <w:tcBorders/>
            <w:tcMar>
              <w:left w:w="108" w:type="dxa"/>
              <w:top w:w="0" w:type="dxa"/>
              <w:right w:w="108" w:type="dxa"/>
              <w:bottom w:w="0" w:type="dxa"/>
            </w:tcMar>
            <w:tcW w:w="7280" w:type="dxa"/>
            <w:vAlign w:val="center"/>
            <w:vMerge w:val="restart"/>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4: Biên bản khảo sát</w:t>
            </w:r>
            <w:r>
              <w:rPr>
                <w:bCs/>
                <w:lang w:val="pt-BR"/>
              </w:rPr>
            </w:r>
            <w:r>
              <w:rPr>
                <w:bCs/>
                <w:lang w:val="pt-BR"/>
              </w:rPr>
            </w:r>
          </w:p>
        </w:tc>
        <w:tc>
          <w:tcPr>
            <w:tcBorders/>
            <w:tcMar>
              <w:left w:w="108" w:type="dxa"/>
              <w:top w:w="0" w:type="dxa"/>
              <w:right w:w="108" w:type="dxa"/>
              <w:bottom w:w="0" w:type="dxa"/>
            </w:tcMar>
            <w:tcW w:w="1520" w:type="dxa"/>
            <w:vAlign w:val="center"/>
            <w:vMerge w:val="restart"/>
            <w:textDirection w:val="lrTb"/>
            <w:noWrap w:val="false"/>
          </w:tcPr>
          <w:p>
            <w:pPr>
              <w:pBdr/>
              <w:spacing w:after="120" w:before="100" w:beforeAutospacing="1"/>
              <w:ind/>
              <w:jc w:val="right"/>
              <w:rPr>
                <w:b/>
                <w:bCs/>
              </w:rPr>
            </w:pPr>
            <w:r>
              <w:rPr>
                <w:b/>
                <w:bCs/>
              </w:rPr>
              <w:t xml:space="preserve">30</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43" w:type="dxa"/>
        <w:tblBorders/>
        <w:tblLayout w:type="fixed"/>
        <w:tblLook w:val="04A0" w:firstRow="1" w:lastRow="0" w:firstColumn="1" w:lastColumn="0" w:noHBand="0" w:noVBand="1"/>
      </w:tblPr>
      <w:tblGrid>
        <w:gridCol w:w="170"/>
        <w:gridCol w:w="1559"/>
        <w:gridCol w:w="3118"/>
        <w:gridCol w:w="5096"/>
      </w:tblGrid>
      <w:tr>
        <w:trPr>
          <w:trHeight w:val="1559"/>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21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382"/>
        </w:trPr>
        <w:tc>
          <w:tcPr>
            <w:gridSpan w:val="2"/>
            <w:shd w:val="clear" w:color="auto" w:fill="auto"/>
            <w:tcBorders/>
            <w:tcMar>
              <w:left w:w="108" w:type="dxa"/>
              <w:top w:w="0" w:type="dxa"/>
              <w:right w:w="108" w:type="dxa"/>
              <w:bottom w:w="0" w:type="dxa"/>
            </w:tcMar>
            <w:tcW w:w="4677"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275/2026/0271/VFI-CT.65.A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96"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4 tháng 2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Đình Quyết</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275/2026/0271/VFI-HĐTĐ.65.A</w:t>
      </w:r>
      <w:r>
        <w:rPr>
          <w:spacing w:val="-4"/>
          <w:lang w:val="vi-VN"/>
        </w:rPr>
        <w:t xml:space="preserve"> ký ngày </w:t>
      </w:r>
      <w:r>
        <w:rPr>
          <w:color w:val="000000" w:themeColor="text1"/>
          <w:spacing w:val="-4"/>
        </w:rPr>
        <w:t xml:space="preserve">16 tháng 1 năm 2026</w:t>
      </w:r>
      <w:r>
        <w:rPr>
          <w:spacing w:val="-4"/>
          <w:lang w:val="vi-VN"/>
        </w:rPr>
        <w:t xml:space="preserve"> </w:t>
      </w:r>
      <w:r>
        <w:rPr>
          <w:spacing w:val="-4"/>
          <w:lang w:val="vi-VN"/>
        </w:rPr>
        <w:t xml:space="preserve">giữa </w:t>
      </w:r>
      <w:r>
        <w:rPr>
          <w:color w:val="000000" w:themeColor="text1"/>
          <w:spacing w:val="-4"/>
        </w:rPr>
        <w:t xml:space="preserve">Ông Nguyễn Đình Quyết</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275/2026/0271/VFI-BC.65.A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4 tháng 2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Nguyễn Đình Quyết</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001091010744</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1991</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196 Phố Ga, Xã Thường Tín, thành phố 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top w:val="none" w:color="000000" w:sz="4" w:space="0"/>
          <w:left w:val="none" w:color="000000" w:sz="4" w:space="0"/>
          <w:bottom w:val="none" w:color="000000" w:sz="4" w:space="0"/>
          <w:right w:val="none" w:color="000000" w:sz="4" w:space="0"/>
        </w:pBdr>
        <w:spacing w:line="235" w:lineRule="atLeast"/>
        <w:ind w:right="0" w:firstLine="0" w:left="0"/>
        <w:jc w:val="both"/>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75, tờ bản đồ số 15 có địa chỉ: Khu xí  nghiệp 4, xã Duyên Thái, huyện Thường Tín, Thành phố Hà Nội (nay là xã Ngọc Hồi, thành phố Hà Nội)  theo Giấy chứng nhận quyền sử dụng đất, quyền sở hữu nhà ở và tài sản khác gắn li</w:t>
      </w:r>
      <w:r>
        <w:rPr>
          <w:rFonts w:ascii="Times New Roman" w:hAnsi="Times New Roman" w:eastAsia="Times New Roman" w:cs="Times New Roman"/>
          <w:color w:val="000000"/>
          <w:sz w:val="24"/>
        </w:rPr>
        <w:t xml:space="preserve">ền với đất số: DD 294557, số vào sổ cấp GCN: CS-TTI 22013 do Sở tài nguyên và môi trường thành phố Hà Nội cấp ngày 05/10/2021; Chủ sử dụng đất là Ông Nguyễn Đình Quyết và Bà Đặng Thị Tuyết</w:t>
      </w:r>
      <w:r>
        <w:rPr>
          <w:i/>
          <w:iCs/>
        </w:rPr>
        <w:t xml:space="preserve">.</w:t>
      </w:r>
      <w:r>
        <w:rPr>
          <w:sz w:val="22"/>
        </w:rPr>
      </w: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02/2026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jc w:val="both"/>
              <w:rPr/>
            </w:pPr>
            <w:r>
              <w:rPr>
                <w:rFonts w:ascii="Times New Roman" w:hAnsi="Times New Roman" w:eastAsia="Times New Roman" w:cs="Times New Roman"/>
                <w:color w:val="000000"/>
                <w:sz w:val="24"/>
              </w:rPr>
              <w:t xml:space="preserve">Quyền sử dụng đất tại thửa đất số: 75, tờ bản đồ số 15 có địa chỉ: Khu xí  nghiệp 4, xã Duyên Thái, huyện Thường Tín, Thành phố Hà Nội (nay là xã Ngọc Hồi, thành phố Hà Nội)  theo Giấy chứng nhận quyền sử dụng đất, quyền sở hữu nhà ở và tài sản khác gắn li</w:t>
            </w:r>
            <w:r>
              <w:rPr>
                <w:rFonts w:ascii="Times New Roman" w:hAnsi="Times New Roman" w:eastAsia="Times New Roman" w:cs="Times New Roman"/>
                <w:color w:val="000000"/>
                <w:sz w:val="24"/>
              </w:rPr>
              <w:t xml:space="preserve">ền với đất số: DD 294557, số vào sổ cấp GCN: CS-TTI 22013 do Sở tài nguyên và môi trường thành phố Hà Nội cấp ngày 05/10/2021; Chủ sử dụng đất là Ông Nguyễn Đình Quyết và Bà Đặng Thị Tuyết.</w:t>
            </w:r>
            <w:r>
              <w:rPr>
                <w:sz w:val="22"/>
              </w:rPr>
            </w: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025" w:type="dxa"/>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30,0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90.000.000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2.700.000.000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2.700.000.000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Hai tỷ bảy trăm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08" w:type="dxa"/>
        <w:tblBorders/>
        <w:tblLayout w:type="fixed"/>
        <w:tblLook w:val="04A0" w:firstRow="1" w:lastRow="0" w:firstColumn="1" w:lastColumn="0" w:noHBand="0" w:noVBand="1"/>
      </w:tblPr>
      <w:tblGrid>
        <w:gridCol w:w="170"/>
        <w:gridCol w:w="1417"/>
        <w:gridCol w:w="3118"/>
        <w:gridCol w:w="5102"/>
      </w:tblGrid>
      <w:tr>
        <w:trPr>
          <w:trHeight w:val="1559"/>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22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384"/>
        </w:trPr>
        <w:tc>
          <w:tcPr>
            <w:gridSpan w:val="2"/>
            <w:shd w:val="clear" w:color="auto" w:fill="auto"/>
            <w:tcBorders/>
            <w:tcMar>
              <w:left w:w="108" w:type="dxa"/>
              <w:top w:w="0" w:type="dxa"/>
              <w:right w:w="108" w:type="dxa"/>
              <w:bottom w:w="0" w:type="dxa"/>
            </w:tcMar>
            <w:tcW w:w="4535"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275/2026/0271/VFI-BC.65.A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102"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4 tháng 2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275/2026/0271/VFI-CT.65.A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4 tháng 2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r>
            <w:r>
              <w:rPr>
                <w:b/>
                <w:bCs/>
                <w:lang w:val="vi-VN"/>
              </w:rPr>
            </w:r>
            <w:r>
              <w:rPr>
                <w:b/>
                <w:bCs/>
                <w:lang w:val="vi-VN"/>
              </w:rPr>
            </w:r>
          </w:p>
        </w:tc>
      </w:tr>
      <w:tr>
        <w:trPr>
          <w:trHeight w:val="20"/>
        </w:trPr>
        <w:tc>
          <w:tcPr>
            <w:tcBorders/>
            <w:tcW w:w="2552" w:type="dxa"/>
            <w:vAlign w:val="center"/>
            <w:vMerge w:val="restart"/>
            <w:textDirection w:val="lrTb"/>
            <w:noWrap w:val="false"/>
          </w:tcPr>
          <w:p>
            <w:pPr>
              <w:pBdr/>
              <w:spacing w:after="60" w:before="6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vMerge w:val="restart"/>
            <w:textDirection w:val="lrTb"/>
            <w:noWrap w:val="false"/>
          </w:tcPr>
          <w:p>
            <w:pPr>
              <w:pBdr/>
              <w:spacing w:after="60" w:before="6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Tên khách hàng</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Ông Nguyễn Đình Quyết</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CCCD</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pPr>
            <w:r>
              <w:rPr>
                <w:rFonts w:ascii="Times New Roman" w:hAnsi="Times New Roman" w:eastAsia="Times New Roman" w:cs="Times New Roman"/>
                <w:color w:val="000000"/>
                <w:sz w:val="24"/>
              </w:rPr>
              <w:t xml:space="preserve">001091010744</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Năm sinh:</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pPr>
            <w:r>
              <w:rPr>
                <w:rFonts w:ascii="Times New Roman" w:hAnsi="Times New Roman" w:eastAsia="Times New Roman" w:cs="Times New Roman"/>
                <w:color w:val="000000"/>
                <w:sz w:val="24"/>
              </w:rPr>
              <w:t xml:space="preserve">1991</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Địa chỉ</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pPr>
            <w:r>
              <w:rPr>
                <w:rFonts w:ascii="Times New Roman" w:hAnsi="Times New Roman" w:eastAsia="Times New Roman" w:cs="Times New Roman"/>
                <w:color w:val="000000"/>
                <w:sz w:val="24"/>
              </w:rPr>
              <w:t xml:space="preserve">196 Phố Ga, Xã Thường Tín, thành phố Hà Nội</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jc w:val="both"/>
              <w:rPr/>
            </w:pPr>
            <w:r>
              <w:rPr>
                <w:rFonts w:ascii="Times New Roman" w:hAnsi="Times New Roman" w:eastAsia="Times New Roman" w:cs="Times New Roman"/>
                <w:color w:val="000000"/>
                <w:sz w:val="24"/>
              </w:rPr>
              <w:t xml:space="preserve">Quyền sử dụng đất tại thửa đất số: 75, tờ bản đồ số 15 có địa chỉ: Khu xí  nghiệp 4, xã Duyên Thái, huyện Thường Tín, Thành phố Hà Nội (nay là xã Ngọc Hồi, thành phố Hà Nội)  theo Giấy chứng nhận quyền sử dụng đất, quyền sở hữu nhà ở và tài sản khác gắn li</w:t>
            </w:r>
            <w:r>
              <w:rPr>
                <w:rFonts w:ascii="Times New Roman" w:hAnsi="Times New Roman" w:eastAsia="Times New Roman" w:cs="Times New Roman"/>
                <w:color w:val="000000"/>
                <w:sz w:val="24"/>
              </w:rPr>
              <w:t xml:space="preserve">ền với đất số: DD 294557, số vào sổ cấp GCN: CS-TTI 22013 do Sở tài nguyên và môi trường thành phố Hà Nội cấp ngày 05/10/2021; Chủ sử dụng đất là Ông Nguyễn Đình Quyết và Bà Đặng Thị Tuyết.</w:t>
            </w:r>
            <w:r>
              <w:rPr>
                <w:sz w:val="22"/>
              </w:rPr>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Khu xí nghiệp 4, xã Duyên Thái, huyện Thường Tín, Thành phố Hà Nội </w:t>
            </w:r>
            <w:r>
              <w:rPr>
                <w:rFonts w:ascii="Times New Roman" w:hAnsi="Times New Roman" w:eastAsia="Times New Roman" w:cs="Times New Roman"/>
                <w:color w:val="000000"/>
                <w:sz w:val="24"/>
              </w:rPr>
              <w:t xml:space="preserve">(nay là xã Ngọc Hồi, thành phố Hà Nội) </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20.898634163167145, 105.85502506828118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02/2026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DD 294557, số vào sổ cấp GCN: CS-TTI 22013 do Sở tài nguyên và môi trường thành phố Hà Nội cấp ngày 05/10/2021; Chủ sử dụng đất là Ông Nguyễn Đình Quyết và Bà Đặng T</w:t>
      </w:r>
      <w:r>
        <w:rPr>
          <w:rFonts w:ascii="Times New Roman" w:hAnsi="Times New Roman" w:eastAsia="Times New Roman" w:cs="Times New Roman"/>
          <w:color w:val="000000"/>
          <w:sz w:val="24"/>
        </w:rPr>
        <w:t xml:space="preserve">hị Tuyết.</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275/2026/0271/VFI-HĐTĐ.65.A ngày 16/01/2026 giữa Ông Nguyễn Đình Quyết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both"/>
        <w:rPr>
          <w:iCs/>
        </w:rPr>
      </w:pPr>
      <w:r>
        <w:rPr>
          <w:lang w:val="pt-BR"/>
        </w:rPr>
        <w:tab/>
      </w:r>
      <w:r>
        <w:rPr>
          <w:shd w:val="clear" w:color="auto" w:fill="ffffff"/>
        </w:rPr>
        <w:t xml:space="preserve">Bước sang năm 2026, thị trườ</w:t>
      </w:r>
      <w:r>
        <w:rPr>
          <w:shd w:val="clear" w:color="auto" w:fill="ffffff"/>
        </w:rPr>
        <w:t xml:space="preserve">ng bất động sản Hà Nội được kỳ vọng bước vào chu kỳ tăng trưởng mới với nền tảng hạ tầng, pháp lý và chính sách ngày càng rõ nét. Thay vì những cơn “sốt nóng”, thị trường vận động theo hướng chọn lọc, phân hóa mạnh, lấy nhu cầu ở thực, chất lượng dự án và </w:t>
      </w:r>
      <w:r>
        <w:rPr>
          <w:shd w:val="clear" w:color="auto" w:fill="ffffff"/>
        </w:rPr>
        <w:t xml:space="preserve">năng lực doanh nghiệp làm trụ cột phát triển bền vững.</w:t>
      </w:r>
      <w:r>
        <w:rPr>
          <w:iCs/>
        </w:rPr>
      </w:r>
      <w:r>
        <w:rPr>
          <w:iCs/>
        </w:rPr>
      </w:r>
    </w:p>
    <w:p>
      <w:pPr>
        <w:pBdr/>
        <w:tabs>
          <w:tab w:val="left" w:leader="none" w:pos="426"/>
        </w:tabs>
        <w:spacing w:after="120" w:before="120" w:line="276" w:lineRule="auto"/>
        <w:ind/>
        <w:jc w:val="both"/>
        <w:rPr/>
      </w:pPr>
      <w:r>
        <w:rPr>
          <w:shd w:val="clear" w:color="auto" w:fill="ffffff"/>
        </w:rPr>
        <w:t xml:space="preserve">Trong nhiều năm qua, hạ tầng giao thông luôn là yếu tố then chốt định hình không gian phát triển đô thị Hà Nội. Đến năm 2026, vai trò này càng trở nên rõ rệt khi hàng loạt dự án trọng điểm được triển k</w:t>
      </w:r>
      <w:r>
        <w:rPr>
          <w:shd w:val="clear" w:color="auto" w:fill="ffffff"/>
        </w:rPr>
        <w:t xml:space="preserve">hai đồng bộ, tạo lực đẩy dài hạn cho thị trường bất động sản.</w:t>
      </w:r>
      <w:r>
        <w:rPr>
          <w:bCs/>
          <w:i/>
          <w:lang w:val="pt-BR"/>
        </w:rPr>
      </w:r>
      <w:r/>
    </w:p>
    <w:p>
      <w:pPr>
        <w:pBdr/>
        <w:tabs>
          <w:tab w:val="left" w:leader="none" w:pos="426"/>
        </w:tabs>
        <w:spacing w:after="120" w:before="120" w:line="276" w:lineRule="auto"/>
        <w:ind/>
        <w:jc w:val="both"/>
        <w:rPr/>
      </w:pPr>
      <w:r>
        <w:rPr>
          <w:shd w:val="clear" w:color="auto" w:fill="ffffff"/>
        </w:rPr>
        <w:t xml:space="preserve">Dự án đường Vành đai 4 – Vùng Thủ đô, với quy mô hơn 85.000 tỷ đồng, được coi là "đòn bẩy chiến lược" mở rộng không gian phát triển về các hướng Bắc, Tây và Nam. Khi tuyến đường này từng bước th</w:t>
      </w:r>
      <w:r>
        <w:rPr>
          <w:shd w:val="clear" w:color="auto" w:fill="ffffff"/>
        </w:rPr>
        <w:t xml:space="preserve">ành hình, các khu vực vốn nằm ngoài trung tâm truyền thống sẽ có điều kiện kết nối thuận lợi hơn, qua đó gia tăng sức hấp dẫn với các dự án đô thị, khu nhà ở và dịch vụ.</w:t>
      </w:r>
      <w:r>
        <w:rPr>
          <w:bCs/>
          <w:i/>
          <w:lang w:val="pt-BR"/>
        </w:rPr>
      </w:r>
      <w:r/>
    </w:p>
    <w:p>
      <w:pPr>
        <w:pBdr/>
        <w:tabs>
          <w:tab w:val="left" w:leader="none" w:pos="426"/>
        </w:tabs>
        <w:spacing w:after="120" w:before="120" w:line="276" w:lineRule="auto"/>
        <w:ind/>
        <w:jc w:val="both"/>
        <w:rPr/>
      </w:pPr>
      <w:r>
        <w:rPr>
          <w:shd w:val="clear" w:color="auto" w:fill="ffffff"/>
        </w:rPr>
        <w:t xml:space="preserve">Nếu như giai đoạn trước, thị trường bất động sản Hà Nội từng chứng kiến những đợt tăng</w:t>
      </w:r>
      <w:r>
        <w:rPr>
          <w:shd w:val="clear" w:color="auto" w:fill="ffffff"/>
        </w:rPr>
        <w:t xml:space="preserve"> giá nhanh ở một số phân khúc, thì bước sang năm 2026, xu hướng chủ đạo là tăng trưởng có chọn lọc. Dòng tiền không còn chạy theo "sóng ngắn" mà ưu tiên những khu vực có quy hoạch rõ ràng, hạ tầng đồng bộ và nhu cầu ở thực ổn định.</w:t>
      </w:r>
      <w:r>
        <w:rPr>
          <w:bCs/>
          <w:i/>
          <w:lang w:val="pt-BR"/>
        </w:rPr>
      </w:r>
      <w:r/>
    </w:p>
    <w:p>
      <w:pPr>
        <w:pBdr/>
        <w:tabs>
          <w:tab w:val="left" w:leader="none" w:pos="426"/>
        </w:tabs>
        <w:spacing w:after="120" w:before="120" w:line="276" w:lineRule="auto"/>
        <w:ind/>
        <w:jc w:val="both"/>
        <w:rPr/>
      </w:pPr>
      <w:r>
        <w:rPr>
          <w:shd w:val="clear" w:color="auto" w:fill="ffffff"/>
        </w:rPr>
        <w:t xml:space="preserve">Huyện Thường Tín nằm ở c</w:t>
      </w:r>
      <w:r>
        <w:rPr>
          <w:shd w:val="clear" w:color="auto" w:fill="ffffff"/>
        </w:rPr>
        <w:t xml:space="preserve">ửa ngõ phía Nam Hà Nội, là điểm giao thoa của nhiều tuyến giao thông huyết mạch như cao tốc Pháp Vân – Cầu Giẽ, quốc lộ 1A và đường sắt Bắc – Nam. Đặc biệt, tuyến đường Vành đai 4 – Vùng Thủ đô đi qua địa bàn huyện với chiều dài khoảng 9,2 km, kết nối Thườ</w:t>
      </w:r>
      <w:r>
        <w:rPr>
          <w:shd w:val="clear" w:color="auto" w:fill="ffffff"/>
        </w:rPr>
        <w:t xml:space="preserve">ng Tín với các tỉnh Hưng Yên, Bắc Ninh, Bắc Giang và Hải Dương. Dự án này dự kiến hoàn thành vào quý IV/2025, hứa hẹn thúc đẩy mạnh mẽ sự phát triển kinh tế và bất động sản khu vực.</w:t>
      </w:r>
      <w:r>
        <w:rPr>
          <w:bCs/>
          <w:i/>
          <w:lang w:val="pt-BR"/>
        </w:rPr>
      </w:r>
      <w:r/>
    </w:p>
    <w:p>
      <w:pPr>
        <w:pBdr/>
        <w:tabs>
          <w:tab w:val="left" w:leader="none" w:pos="426"/>
        </w:tabs>
        <w:spacing w:after="120" w:before="120" w:line="276" w:lineRule="auto"/>
        <w:ind/>
        <w:jc w:val="both"/>
        <w:rPr/>
      </w:pPr>
      <w:r>
        <w:rPr>
          <w:shd w:val="clear" w:color="auto" w:fill="ffffff"/>
        </w:rPr>
        <w:t xml:space="preserve">Tuyến đường Vành đai 4 – Vùng Thủ đô là dự án trọng điểm quốc gia, đi qua </w:t>
      </w:r>
      <w:r>
        <w:rPr>
          <w:shd w:val="clear" w:color="auto" w:fill="ffffff"/>
        </w:rPr>
        <w:t xml:space="preserve">địa bàn huyện Thường Tín với chiều dài khoảng 9,2 km. Dự án này không chỉ giúp kết nối Thường Tín với các tỉnh lân cận mà còn tạo điều kiện thuận lợi cho việc phát triển các khu công nghiệp, đô thị và dịch vụ.</w:t>
      </w:r>
      <w:r>
        <w:rPr>
          <w:bCs/>
          <w:i/>
          <w:lang w:val="pt-BR"/>
        </w:rPr>
      </w:r>
      <w:r/>
    </w:p>
    <w:p>
      <w:pPr>
        <w:pBdr/>
        <w:tabs>
          <w:tab w:val="left" w:leader="none" w:pos="426"/>
        </w:tabs>
        <w:spacing w:after="120" w:before="120" w:line="276" w:lineRule="auto"/>
        <w:ind/>
        <w:jc w:val="both"/>
        <w:rPr/>
      </w:pPr>
      <w:r>
        <w:rPr>
          <w:shd w:val="clear" w:color="auto" w:fill="ffffff"/>
        </w:rPr>
        <w:t xml:space="preserve">Cầu Mễ Sở là một phần của dự án Vành đai 4, nố</w:t>
      </w:r>
      <w:r>
        <w:rPr>
          <w:shd w:val="clear" w:color="auto" w:fill="ffffff"/>
        </w:rPr>
        <w:t xml:space="preserve">i huyện Thường Tín (Hà Nội) với huyện Văn Giang (Hưng Yên) qua sông Hồng. Dự kiến hoàn thành vào năm 2027, cầu Mễ Sở sẽ rút ngắn thời gian di chuyển giữa hai tỉnh, thúc đẩy giao thương và phát triển kinh tế khu vực.</w:t>
      </w:r>
      <w:r>
        <w:rPr>
          <w:bCs/>
          <w:i/>
          <w:lang w:val="pt-BR"/>
        </w:rPr>
      </w:r>
      <w:r/>
    </w:p>
    <w:p>
      <w:pPr>
        <w:pBdr/>
        <w:tabs>
          <w:tab w:val="left" w:leader="none" w:pos="426"/>
        </w:tabs>
        <w:spacing w:after="120" w:before="120" w:line="276" w:lineRule="auto"/>
        <w:ind/>
        <w:jc w:val="both"/>
        <w:rPr/>
      </w:pPr>
      <w:r>
        <w:rPr>
          <w:shd w:val="clear" w:color="auto" w:fill="ffffff"/>
        </w:rPr>
        <w:t xml:space="preserve">Giá đất nền tại huyện Thường Tín đang có</w:t>
      </w:r>
      <w:r>
        <w:rPr>
          <w:shd w:val="clear" w:color="auto" w:fill="ffffff"/>
        </w:rPr>
        <w:t xml:space="preserve"> xu hướng tăng, đặc biệt là tại các khu vực gần tuyến đường Vành đai 4 và cầu Mễ Sở. Cụ thể, giá đất tại các xã như Nhị Khê, Ninh Sở dao động từ 90 đến 95 triệu đồng/m², tăng khoảng 20% so với đầu năm. Tại các khu vực khác như Hồng Vân, Chương Dương, Vân T</w:t>
      </w:r>
      <w:r>
        <w:rPr>
          <w:shd w:val="clear" w:color="auto" w:fill="ffffff"/>
        </w:rPr>
        <w:t xml:space="preserve">ảo, Duyên Thái và Ninh Sở, giá đất dao động từ 23 đến 189 triệu đồng/m², tùy thuộc vào vị trí và diện tích.</w:t>
      </w:r>
      <w:r>
        <w:rPr>
          <w:bCs/>
          <w:i/>
          <w:lang w:val="pt-BR"/>
        </w:rPr>
      </w:r>
      <w:r/>
    </w:p>
    <w:p>
      <w:pPr>
        <w:pBdr/>
        <w:tabs>
          <w:tab w:val="left" w:leader="none" w:pos="426"/>
        </w:tabs>
        <w:spacing w:after="120" w:before="120" w:line="276" w:lineRule="auto"/>
        <w:ind/>
        <w:jc w:val="both"/>
        <w:rPr/>
      </w:pPr>
      <w:r>
        <w:rPr>
          <w:shd w:val="clear" w:color="auto" w:fill="ffffff"/>
        </w:rPr>
        <w:t xml:space="preserve">Nhu cầu mua đất nền tại Thường Tín tăng cao nhờ vào tiềm năng phát triển hạ tầng và giá cả còn hợp lý so với các khu vực khác của Hà Nội. Tuy nhiên,</w:t>
      </w:r>
      <w:r>
        <w:rPr>
          <w:shd w:val="clear" w:color="auto" w:fill="ffffff"/>
        </w:rPr>
        <w:t xml:space="preserve"> chuyên gia bất động sản Lê Đình Chung cảnh báo rằng việc đầu tư đất nền cần thận trọng, tránh chạy theo “sóng” giá ảo do đầu cơ, và nên xác định đầu tư dài hạn để đảm bảo hiệu quả.</w:t>
      </w:r>
      <w:r>
        <w:rPr>
          <w:bCs/>
          <w:i/>
          <w:lang w:val="pt-BR"/>
        </w:rPr>
      </w:r>
      <w:r/>
    </w:p>
    <w:p>
      <w:pPr>
        <w:pBdr/>
        <w:tabs>
          <w:tab w:val="left" w:leader="none" w:pos="426"/>
        </w:tabs>
        <w:spacing w:after="120" w:before="120" w:line="276" w:lineRule="auto"/>
        <w:ind/>
        <w:jc w:val="center"/>
        <w:rPr>
          <w:bCs/>
          <w:i/>
          <w:lang w:val="pt-BR"/>
        </w:rPr>
      </w:pPr>
      <w:r>
        <w:rPr>
          <w:shd w:val="clear" w:color="auto" w:fill="ffffff"/>
        </w:rPr>
        <w:t xml:space="preserve">(https://alanduc.pro/tong-quan-thi-truong-bat-dong-san-thuong-tin-ha-noi/)</w:t>
      </w:r>
      <w:r>
        <w:rPr>
          <w:bCs/>
          <w:i/>
          <w:lang w:val="pt-BR"/>
        </w:rPr>
      </w:r>
      <w:r>
        <w:rPr>
          <w:bCs/>
          <w:i/>
          <w:lang w:val="pt-BR"/>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rFonts w:ascii="Times New Roman" w:hAnsi="Times New Roman" w:eastAsia="Times New Roman" w:cs="Times New Roman"/>
                <w:b/>
                <w:color w:val="000000"/>
                <w:sz w:val="24"/>
              </w:rPr>
              <w:t xml:space="preserve">Quyền sử dụng đất tại thửa đất số: 75, tờ bản đồ số 15 có địa chỉ: Khu xí  nghiệp 4, xã Duyên Thái, huyện Thường Tín, Thành phố Hà Nội (nay là xã Ngọc Hồi, thành phố Hà Nội)  theo Giấy chứng nhận quyền sử dụng đất, quyền sở hữu nhà ở và tài sản khác gắn li</w:t>
            </w:r>
            <w:r>
              <w:rPr>
                <w:rFonts w:ascii="Times New Roman" w:hAnsi="Times New Roman" w:eastAsia="Times New Roman" w:cs="Times New Roman"/>
                <w:b/>
                <w:color w:val="000000"/>
                <w:sz w:val="24"/>
              </w:rPr>
              <w:t xml:space="preserve">ền với đất số: DD 294557, số vào sổ cấp GCN: CS-TTI 22013 do Sở tài nguyên và môi trường thành phố Hà Nội cấp ngày 05/10/2021; Chủ sử dụng đất là Ông Nguyễn Đình Quyết và Bà Đặng Thị Tuyết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15</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Địa chỉ:</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Khu xí  nghiệp 4, xã Duyên Thái, huyện Thường Tín, Thành phố Hà Nội (nay là xã Ngọc Hồi, thành phố Hà Nội)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Diện tích (m²):</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30,0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Hình thức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Mục đích sử dụng:</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nông thôn</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Thời hạn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Nhận chuyển nhượng đất được Nhà nước giao đất có thu tiền sử dụng đất</w:t>
            </w: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Ghi chú:</w:t>
            </w:r>
            <w:r/>
          </w:p>
        </w:tc>
        <w:tc>
          <w:tcPr>
            <w:gridSpan w:val="3"/>
            <w:tcBorders/>
            <w:tcW w:w="625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-Số tờ, Số thửa được xác định theo Bản đồ dự án tổng thể      -Giấy chứng nhận này được cấp đổi từ giấy chứng nhận số vào sổ 3109/DT (số sêri AN 947032) đã được UBND huyện Thường Tín cấp ngày 02/01/2009 cho thửa đất số 58, tờ bản đồ số 07.</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Đường tiếp giáp chính: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Đường bê tông</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Số mặt tiền:</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2 mặt tiền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3,5</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3,5</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Cách trục chính phố Bắc Cầu Quán Gánh khoảng 250m, cách QL1A khoảng 350m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Đông : Tiếp giáp với đường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op w:val="none" w:color="000000" w:sz="4" w:space="0"/>
                <w:left w:val="none" w:color="000000" w:sz="4" w:space="0"/>
                <w:bottom w:val="none" w:color="000000" w:sz="4" w:space="0"/>
                <w:right w:val="none" w:color="000000" w:sz="4" w:space="0"/>
              </w:pBdr>
              <w:spacing w:after="0"/>
              <w:ind w:right="0"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Tây : Tiếp giáp với đường</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op w:val="none" w:color="000000" w:sz="4" w:space="0"/>
                <w:left w:val="none" w:color="000000" w:sz="4" w:space="0"/>
                <w:bottom w:val="none" w:color="000000" w:sz="4" w:space="0"/>
                <w:right w:val="none" w:color="000000" w:sz="4" w:space="0"/>
              </w:pBdr>
              <w:spacing w:after="0"/>
              <w:ind w:right="0" w:firstLine="0" w:left="0"/>
              <w:jc w:val="both"/>
              <w:rPr>
                <w:sz w:val="22"/>
                <w:szCs w:val="22"/>
              </w:rPr>
            </w:pPr>
            <w:r>
              <w:rPr>
                <w:rFonts w:ascii="Times New Roman" w:hAnsi="Times New Roman" w:eastAsia="Times New Roman" w:cs="Times New Roman"/>
                <w:color w:val="000000"/>
                <w:sz w:val="24"/>
              </w:rPr>
              <w:t xml:space="preserve">Các hướng khác: Tiếp giáp các thửa đất khác.</w:t>
            </w:r>
            <w:r>
              <w:rPr>
                <w:sz w:val="22"/>
                <w:szCs w:val="22"/>
              </w:rPr>
            </w:r>
            <w:r>
              <w:rPr>
                <w:sz w:val="22"/>
                <w:szCs w:val="22"/>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20.898634163167145, 105.85502506828118</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w:r>
            <w:r>
              <mc:AlternateContent>
                <mc:Choice Requires="wpg">
                  <w:drawing>
                    <wp:inline xmlns:wp="http://schemas.openxmlformats.org/drawingml/2006/wordprocessingDrawing" distT="0" distB="0" distL="0" distR="0">
                      <wp:extent cx="5428320" cy="2890404"/>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298401" name=""/>
                              <pic:cNvPicPr>
                                <a:picLocks noChangeAspect="1"/>
                              </pic:cNvPicPr>
                              <pic:nvPr/>
                            </pic:nvPicPr>
                            <pic:blipFill rotWithShape="1">
                              <a:blip r:embed="rId17"/>
                              <a:stretch/>
                            </pic:blipFill>
                            <pic:spPr bwMode="auto">
                              <a:xfrm flipH="0" flipV="0">
                                <a:off x="0" y="0"/>
                                <a:ext cx="5428319" cy="28904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7.43pt;height:227.59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4,25</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7,2</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nội bộ:</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xung quanh: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Mật độ dân cư:</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Lợi thế kinh doanh: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Thích hợp để ở</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rPr/>
            </w:pPr>
            <w:r>
              <w:rPr>
                <w:rFonts w:ascii="Times New Roman" w:hAnsi="Times New Roman" w:eastAsia="Times New Roman" w:cs="Times New Roman"/>
                <w:color w:val="000000"/>
                <w:sz w:val="24"/>
              </w:rPr>
              <w:t xml:space="preserve">Tại thời điểm khảo sát, CTXD gắn liền với đất là một nhà cấp 4 xây dựng đã lâu, hiện tại không sử dụng. CTXD tại thời điểm khảo sát chưa  được chứng nhận trên Giấy chứng nhận quyền sử dụng đất quyền sở hữu nhà ở và tài sản khác gắn liền với đất số: DD 29455</w:t>
            </w:r>
            <w:r>
              <w:rPr>
                <w:rFonts w:ascii="Times New Roman" w:hAnsi="Times New Roman" w:eastAsia="Times New Roman" w:cs="Times New Roman"/>
                <w:color w:val="000000"/>
                <w:sz w:val="24"/>
              </w:rPr>
              <w:t xml:space="preserve">7.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
              <w:rPr>
                <w:color w:val="000000"/>
              </w:rPr>
            </w:r>
            <w:r>
              <w:rPr>
                <w:color w:val="000000"/>
              </w:rPr>
            </w:r>
            <w:r>
              <w:rPr>
                <w:sz w:val="22"/>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18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Duyên Thái, Huyện Thường Tín, Thành phố Hà Nội</w:t>
            </w:r>
            <w:r>
              <w:rPr>
                <w:color w:val="000000" w:themeColor="text1"/>
                <w:sz w:val="22"/>
                <w:szCs w:val="22"/>
              </w:rPr>
              <w:t xml:space="preserve"> (nay là xã Ngọc Hồi,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Duyên Thái, Huyện Thường Tín, Thành phố Hà Nội</w:t>
            </w:r>
            <w:r>
              <w:rPr>
                <w:color w:val="000000" w:themeColor="text1"/>
                <w:sz w:val="22"/>
                <w:szCs w:val="22"/>
              </w:rPr>
              <w:t xml:space="preserve"> (nay là xã Ngọc Hồi,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Duyên Thái, Huyện Thường Tín, Thành phố Hà Nội</w:t>
            </w:r>
            <w:r>
              <w:rPr>
                <w:color w:val="000000" w:themeColor="text1"/>
                <w:sz w:val="22"/>
                <w:szCs w:val="22"/>
              </w:rPr>
              <w:t xml:space="preserve"> (nay là xã Ngọc Hồi,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Duyên Thái, Huyện Thường Tín, Thành phố Hà Nội</w:t>
            </w:r>
            <w:r>
              <w:rPr>
                <w:color w:val="000000" w:themeColor="text1"/>
                <w:sz w:val="22"/>
                <w:szCs w:val="22"/>
              </w:rPr>
              <w:t xml:space="preserve"> (nay là xã Ngọc Hồi,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trục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https://alonhadat.com.vn/ban-80m-mt5m-dat-dau-trung-gia-xa-duyen-thai-ngoc-hoi-phan-lo-oto-chi-6-5-ty-16488760.html</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0886221285</w:t>
            </w:r>
            <w:r>
              <w:rPr>
                <w:sz w:val="22"/>
                <w:szCs w:val="22"/>
              </w:rPr>
              <w:t xml:space="preserve"> </w:t>
            </w:r>
            <w:r>
              <w:rPr>
                <w:sz w:val="22"/>
                <w:szCs w:val="22"/>
              </w:rPr>
              <w:br/>
              <w:t xml:space="preserve">(</w:t>
            </w:r>
            <w:r>
              <w:rPr>
                <w:sz w:val="22"/>
                <w:szCs w:val="22"/>
              </w:rPr>
              <w:t xml:space="preserve">chị Ly</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0367236120</w:t>
            </w:r>
            <w:r>
              <w:rPr>
                <w:sz w:val="22"/>
                <w:szCs w:val="22"/>
              </w:rPr>
              <w:br/>
            </w:r>
            <w:r>
              <w:rPr>
                <w:sz w:val="22"/>
                <w:szCs w:val="22"/>
              </w:rPr>
              <w:t xml:space="preserve">(</w:t>
            </w:r>
            <w:r>
              <w:rPr>
                <w:sz w:val="22"/>
                <w:szCs w:val="22"/>
              </w:rPr>
              <w:t xml:space="preserve">anh Vượng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0989842390</w:t>
            </w:r>
            <w:r>
              <w:rPr>
                <w:sz w:val="22"/>
                <w:szCs w:val="22"/>
              </w:rPr>
              <w:br/>
            </w:r>
            <w:r>
              <w:rPr>
                <w:sz w:val="22"/>
                <w:szCs w:val="22"/>
              </w:rPr>
              <w:t xml:space="preserve">(</w:t>
            </w:r>
            <w:r>
              <w:rPr>
                <w:sz w:val="22"/>
                <w:szCs w:val="22"/>
              </w:rPr>
              <w:t xml:space="preserve">anh Thắng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Duyên Thái, Huyện Thường Tín, Thành phố Hà Nội (nay là xã Ngọc Hồi, thành phố Hà Nội),</w:t>
            </w:r>
            <w:r>
              <w:rPr>
                <w:rFonts w:ascii="Times New Roman" w:hAnsi="Times New Roman" w:eastAsia="Times New Roman" w:cs="Times New Roman"/>
                <w:color w:val="000000"/>
                <w:sz w:val="24"/>
              </w:rPr>
              <w:t xml:space="preserve">Cách trục chính phố Bắc Cầu Quán Gánh khoảng 250m, cách QL1A khoảng 350m.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Duyên Thái, Huyện Thường Tín, Thành ph</w:t>
            </w:r>
            <w:r>
              <w:rPr>
                <w:color w:val="000000" w:themeColor="text1"/>
                <w:sz w:val="22"/>
                <w:szCs w:val="22"/>
              </w:rPr>
              <w:t xml:space="preserve">ố Hà Nội </w:t>
            </w:r>
            <w:r>
              <w:rPr>
                <w:color w:val="000000" w:themeColor="text1"/>
                <w:sz w:val="22"/>
                <w:szCs w:val="22"/>
              </w:rPr>
              <w:t xml:space="preserve">(nay là xã Ngọc Hồi, thành phố Hà Nội)</w:t>
            </w:r>
            <w:r>
              <w:rPr>
                <w:color w:val="000000" w:themeColor="text1"/>
                <w:sz w:val="22"/>
                <w:szCs w:val="22"/>
              </w:rPr>
              <w:t xml:space="preserve">, Cách 30m ra trục chính , cách 70m ra chợ Que Hàn. Cách 40-50m ra nhà văn hóa, sân bóng, cách 300m ra quốc lộ 1A.</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w:t>
            </w:r>
            <w:r>
              <w:rPr>
                <w:color w:val="000000" w:themeColor="text1"/>
                <w:sz w:val="22"/>
                <w:szCs w:val="22"/>
              </w:rPr>
              <w:t xml:space="preserve">sản tại: Xã Duyên Thái, Huyện Thường Tín, Thành phố Hà Nội </w:t>
            </w:r>
            <w:r>
              <w:rPr>
                <w:color w:val="000000" w:themeColor="text1"/>
                <w:sz w:val="22"/>
                <w:szCs w:val="22"/>
              </w:rPr>
              <w:t xml:space="preserve">(nay là xã Ngọc Hồi, thành phố Hà Nội)</w:t>
            </w:r>
            <w:r>
              <w:rPr>
                <w:color w:val="000000" w:themeColor="text1"/>
                <w:sz w:val="22"/>
                <w:szCs w:val="22"/>
              </w:rPr>
              <w:t xml:space="preserve">,  cách cao tốc Pháp Vân Cầu Giẽ khoảng 200m, cách QL1A khoảng 800m.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Duyên Thái, Huyện Thường Tín, Thành phố Hà Nội </w:t>
            </w:r>
            <w:r>
              <w:rPr>
                <w:color w:val="000000" w:themeColor="text1"/>
                <w:sz w:val="22"/>
                <w:szCs w:val="22"/>
              </w:rPr>
              <w:t xml:space="preserve">(nay là xã Ngọc Hồi, thành phố Hà Nội)</w:t>
            </w:r>
            <w:r>
              <w:rPr>
                <w:color w:val="000000" w:themeColor="text1"/>
                <w:sz w:val="22"/>
                <w:szCs w:val="22"/>
              </w:rPr>
              <w:t xml:space="preserve">, </w:t>
            </w:r>
            <w:r>
              <w:rPr>
                <w:rFonts w:ascii="Times New Roman" w:hAnsi="Times New Roman" w:eastAsia="Times New Roman" w:cs="Times New Roman"/>
                <w:color w:val="000000"/>
                <w:sz w:val="24"/>
              </w:rPr>
              <w:t xml:space="preserve">Cách trục chính phố Bắc Cầu Quán Gánh khoảng 150m,</w:t>
            </w:r>
            <w:r>
              <w:rPr>
                <w:color w:val="000000" w:themeColor="text1"/>
                <w:sz w:val="22"/>
                <w:szCs w:val="22"/>
              </w:rPr>
              <w:t xml:space="preserve"> cách QL1A khoảng 250m.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82,1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5,64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trước sau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Nở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Thóp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trống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trống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9.547.000.000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8.592.300.000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3.375.000.000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8.550.000.000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8.592.300.000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3.375.000.000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105.297.794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77.586.207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104.141.291</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8.592.300.000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3.375.000.000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8.550.000.000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105.297.794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77.586.207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104.141.291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105.297.794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77.586.207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104.141.291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nông thôn</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nông thôn</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nông thôn</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nông thôn</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105.297.794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77.586.207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104.141.291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105.297.794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77.586.207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104.141.291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Xã Duyên Thái, Huyện Thường Tín, Thành phố Hà Nội,</w:t>
            </w:r>
            <w:r>
              <w:rPr>
                <w:rFonts w:ascii="Times New Roman" w:hAnsi="Times New Roman" w:eastAsia="Times New Roman" w:cs="Times New Roman"/>
                <w:color w:val="000000"/>
                <w:sz w:val="24"/>
              </w:rPr>
              <w:t xml:space="preserve">Cách trục chính phố Bắc Cầu Quán Gánh khoảng 250m, cách QL1A khoảng 350m.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Xã Duyên Thái, Huyện Thường Tín, Thành phố Hà Nội, Cách 30m ra trục chính , cách 70m ra chợ Que Hàn. Cách 40-50m ra nhà văn hóa, sân bóng, cách 300m ra quốc lộ 1A.</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Xã Duyên Thái, Huyện Thường Tín, Thành phố Hà Nội,  cách cao tốc Pháp Vân Cầu Giẽ khoảng 200m, cách QL1A khoảng 800m.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Xã Duyên Thái, Huyện Thường Tín, Thành phố Hà Nội, </w:t>
            </w:r>
            <w:r>
              <w:rPr>
                <w:rFonts w:ascii="Times New Roman" w:hAnsi="Times New Roman" w:eastAsia="Times New Roman" w:cs="Times New Roman"/>
                <w:color w:val="000000"/>
                <w:sz w:val="24"/>
              </w:rPr>
              <w:t xml:space="preserve">Cách trục chính phố Bắc Cầu Quán Gánh khoảng 150m,</w:t>
            </w:r>
            <w:r>
              <w:rPr>
                <w:rFonts w:ascii="Times New Roman" w:hAnsi="Times New Roman" w:eastAsia="Times New Roman" w:cs="Times New Roman"/>
                <w:color w:val="000000"/>
                <w:sz w:val="22"/>
              </w:rPr>
              <w:t xml:space="preserve"> cách QL1A khoảng 250m.</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-5.264.890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2.327.586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-3.124.239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100.032.904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79.913.793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101.017.052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-8.423.824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2.327.586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-8.331.303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91.609.080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82.241.379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92.685.749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30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81,6</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43,5</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82,1</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5.264.890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5.207.065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96.873.970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82.241.379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97.892.814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4,25</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5,64</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3,86</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-8.423.824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-5.207.065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88.450.146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82.241.379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92.685.749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đường trước sau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5.264.890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3.879.310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5.207.065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93.715.036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86.120.689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97.892.814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Nở hậu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Thóp hậu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-8.423.824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1.551.724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85.291.212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87.672.413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97.892.814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85.291.212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87.672.413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97.892.814</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90.285.480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-5,53%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-2,89%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8,43%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41.066.142</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10.086.206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27.076.737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- 8%</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20.006.582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10.086.206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6.248.477</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2,89</w:t>
      </w:r>
      <w:r>
        <w:t xml:space="preserve">% </w:t>
      </w:r>
      <w:r>
        <w:t xml:space="preserve">đến</w:t>
      </w:r>
      <w:r>
        <w:t xml:space="preserve"> </w:t>
      </w:r>
      <w:r>
        <w:t xml:space="preserve"> </w:t>
      </w:r>
      <w:r>
        <w:t xml:space="preserve">8,43</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85.291.212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28.436.090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87.672.413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29.221.215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97.892.814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32.627.675</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90.284.980</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90.000.000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90.000.000</w:t>
      </w:r>
      <w:r>
        <w:rPr>
          <w:b/>
          <w:bCs/>
          <w:color w:val="000000" w:themeColor="text1"/>
        </w:rPr>
        <w:t xml:space="preserve"> </w:t>
      </w:r>
      <w:r>
        <w:rPr>
          <w:b/>
          <w:bCs/>
        </w:rPr>
        <w:t xml:space="preserve">đồng</w:t>
      </w:r>
      <w:r>
        <w:rPr>
          <w:b/>
          <w:bCs/>
        </w:rPr>
        <w:t xml:space="preserve">/m².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02/2026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92"/>
        <w:gridCol w:w="2090"/>
        <w:gridCol w:w="1869"/>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90"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69"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646"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jc w:val="both"/>
              <w:rPr/>
            </w:pPr>
            <w:r>
              <w:rPr>
                <w:rFonts w:ascii="Times New Roman" w:hAnsi="Times New Roman" w:eastAsia="Times New Roman" w:cs="Times New Roman"/>
                <w:color w:val="000000"/>
                <w:sz w:val="24"/>
              </w:rPr>
              <w:t xml:space="preserve">Quyền sử dụng đất tại thửa đất số: 75, tờ bản đồ số 15 có địa chỉ: Khu xí  nghiệp 4, xã Duyên Thái, huyện Thường Tín, Thành phố Hà Nội (nay là xã Ngọc Hồi, thành phố Hà Nội)  theo Giấy chứng nhận quyền sử dụng đất, quyền sở hữu nhà ở và tài sản khác gắn li</w:t>
            </w:r>
            <w:r>
              <w:rPr>
                <w:rFonts w:ascii="Times New Roman" w:hAnsi="Times New Roman" w:eastAsia="Times New Roman" w:cs="Times New Roman"/>
                <w:color w:val="000000"/>
                <w:sz w:val="24"/>
              </w:rPr>
              <w:t xml:space="preserve">ền với đất số: DD 294557, số vào sổ cấp GCN: CS-TTI 22013 do Sở tài nguyên và môi trường thành phố Hà Nội cấp ngày 05/10/2021; Chủ sử dụng đất là Ông Nguyễn Đình Quyết và Bà Đặng Thị Tuyết.</w:t>
            </w:r>
            <w:r>
              <w:rPr>
                <w:sz w:val="22"/>
              </w:rPr>
            </w: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090" w:type="dxa"/>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1869" w:type="dxa"/>
            <w:vAlign w:val="center"/>
            <w:textDirection w:val="lrTb"/>
            <w:noWrap/>
          </w:tcPr>
          <w:p>
            <w:pPr>
              <w:pBdr/>
              <w:spacing w:after="40" w:before="40" w:line="288" w:lineRule="auto"/>
              <w:ind/>
              <w:jc w:val="center"/>
              <w:rPr>
                <w:color w:val="000000"/>
              </w:rPr>
            </w:pPr>
            <w:r>
              <w:rPr>
                <w:color w:val="000000" w:themeColor="text1"/>
              </w:rPr>
              <w:t xml:space="preserve">30,0</w:t>
            </w:r>
            <w:r>
              <w:rPr>
                <w:color w:val="000000"/>
              </w:rPr>
            </w:r>
            <w:r>
              <w:rPr>
                <w:color w:val="000000"/>
              </w:rPr>
            </w:r>
          </w:p>
        </w:tc>
        <w:tc>
          <w:tcPr>
            <w:shd w:val="clear" w:color="000000" w:fill="ffffff"/>
            <w:tcBorders/>
            <w:tcW w:w="2646" w:type="dxa"/>
            <w:vAlign w:val="center"/>
            <w:textDirection w:val="lrTb"/>
            <w:noWrap w:val="false"/>
          </w:tcPr>
          <w:p>
            <w:pPr>
              <w:pBdr/>
              <w:spacing w:after="40" w:before="40" w:line="288" w:lineRule="auto"/>
              <w:ind/>
              <w:jc w:val="center"/>
              <w:rPr/>
            </w:pPr>
            <w:r>
              <w:rPr>
                <w:color w:val="000000" w:themeColor="text1"/>
              </w:rPr>
              <w:t xml:space="preserve">90.000.000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2.700.000.000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2.700.000.000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Hai tỷ bảy trăm triệu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5"/>
        </w:numPr>
        <w:pBdr/>
        <w:spacing w:after="120" w:before="120" w:line="288" w:lineRule="auto"/>
        <w:ind/>
        <w:jc w:val="both"/>
        <w:rPr>
          <w:lang w:val="vi-VN"/>
        </w:rPr>
      </w:pPr>
      <w:r>
        <w:rPr>
          <w:highlight w:val="none"/>
          <w:lang w:val="vi-VN" w:bidi="vi-VN"/>
        </w:rPr>
      </w:r>
      <w:r>
        <w:rPr>
          <w:rFonts w:ascii="Times New Roman" w:hAnsi="Times New Roman" w:eastAsia="Times New Roman" w:cs="Times New Roman"/>
          <w:color w:val="000000"/>
          <w:sz w:val="24"/>
        </w:rPr>
        <w:t xml:space="preserve">Tại thời điểm khảo sát, CTXD gắn liền với đất là một nhà cấp 4 xây dựng đã lâu hiện tại không sử dụng. CTXD tại thời điểm khảo sát chưa  được chứng nhận trên Giấy chứng nhận quyền sử dụng đất quyền sở hữu nhà ở và tài sản khác gắn liền với đất số: DD 29455</w:t>
      </w:r>
      <w:r>
        <w:rPr>
          <w:rFonts w:ascii="Times New Roman" w:hAnsi="Times New Roman" w:eastAsia="Times New Roman" w:cs="Times New Roman"/>
          <w:color w:val="000000"/>
          <w:sz w:val="24"/>
        </w:rPr>
        <w:t xml:space="preserve">7.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highlight w:val="none"/>
          <w:lang w:val="vi-VN" w:bidi="vi-VN"/>
        </w:rPr>
      </w:r>
      <w:r>
        <w:rPr>
          <w:highlight w:val="none"/>
          <w:lang w:val="vi-VN" w:bidi="vi-VN"/>
        </w:rPr>
      </w:r>
      <w:r>
        <w:rPr>
          <w:highlight w:val="none"/>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275/2026/0271/VFI-CT.65.A</w:t>
      </w:r>
      <w:r>
        <w:rPr>
          <w:color w:val="ff0000"/>
          <w:lang w:val="vi-VN"/>
        </w:rPr>
        <w:t xml:space="preserve"> </w:t>
      </w:r>
      <w:r>
        <w:rPr>
          <w:color w:val="000000" w:themeColor="text1"/>
        </w:rPr>
        <w:t xml:space="preserve">ngày 4 tháng 2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275/2026/0271/VFI-BC.65.A ngày</w:t>
      </w:r>
      <w:r>
        <w:rPr>
          <w:i/>
          <w:lang w:val="pt-BR"/>
        </w:rPr>
        <w:t xml:space="preserve"> </w:t>
      </w:r>
      <w:r>
        <w:rPr>
          <w:i/>
          <w:lang w:val="pt-BR"/>
        </w:rPr>
        <w:t xml:space="preserve">4 tháng 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93733" cy="234007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375330" name=""/>
                              <pic:cNvPicPr>
                                <a:picLocks noChangeAspect="1"/>
                              </pic:cNvPicPr>
                              <pic:nvPr/>
                            </pic:nvPicPr>
                            <pic:blipFill rotWithShape="1">
                              <a:blip r:embed="rId18"/>
                              <a:stretch/>
                            </pic:blipFill>
                            <pic:spPr bwMode="auto">
                              <a:xfrm flipH="0" flipV="0">
                                <a:off x="0" y="0"/>
                                <a:ext cx="1693733" cy="23400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33.36pt;height:184.26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40987" cy="235574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643666" name=""/>
                              <pic:cNvPicPr>
                                <a:picLocks noChangeAspect="1"/>
                              </pic:cNvPicPr>
                              <pic:nvPr/>
                            </pic:nvPicPr>
                            <pic:blipFill rotWithShape="1">
                              <a:blip r:embed="rId19"/>
                              <a:stretch/>
                            </pic:blipFill>
                            <pic:spPr bwMode="auto">
                              <a:xfrm flipH="0" flipV="0">
                                <a:off x="0" y="0"/>
                                <a:ext cx="3140986" cy="23557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47.32pt;height:185.49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62674" cy="214700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269372" name=""/>
                              <pic:cNvPicPr>
                                <a:picLocks noChangeAspect="1"/>
                              </pic:cNvPicPr>
                              <pic:nvPr/>
                            </pic:nvPicPr>
                            <pic:blipFill rotWithShape="1">
                              <a:blip r:embed="rId20"/>
                              <a:stretch/>
                            </pic:blipFill>
                            <pic:spPr bwMode="auto">
                              <a:xfrm flipH="0" flipV="0">
                                <a:off x="0" y="0"/>
                                <a:ext cx="2862674" cy="214700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5.41pt;height:169.06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6205" cy="2164654"/>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369584" name=""/>
                              <pic:cNvPicPr>
                                <a:picLocks noChangeAspect="1"/>
                              </pic:cNvPicPr>
                              <pic:nvPr/>
                            </pic:nvPicPr>
                            <pic:blipFill rotWithShape="1">
                              <a:blip r:embed="rId21"/>
                              <a:stretch/>
                            </pic:blipFill>
                            <pic:spPr bwMode="auto">
                              <a:xfrm flipH="0" flipV="0">
                                <a:off x="0" y="0"/>
                                <a:ext cx="2886205" cy="21646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7.26pt;height:170.45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08310" cy="210623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80814" name=""/>
                              <pic:cNvPicPr>
                                <a:picLocks noChangeAspect="1"/>
                              </pic:cNvPicPr>
                              <pic:nvPr/>
                            </pic:nvPicPr>
                            <pic:blipFill rotWithShape="1">
                              <a:blip r:embed="rId22"/>
                              <a:stretch/>
                            </pic:blipFill>
                            <pic:spPr bwMode="auto">
                              <a:xfrm flipH="0" flipV="0">
                                <a:off x="0" y="0"/>
                                <a:ext cx="2808309" cy="21062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1.13pt;height:165.85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40602" cy="213045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739197" name=""/>
                              <pic:cNvPicPr>
                                <a:picLocks noChangeAspect="1"/>
                              </pic:cNvPicPr>
                              <pic:nvPr/>
                            </pic:nvPicPr>
                            <pic:blipFill rotWithShape="1">
                              <a:blip r:embed="rId23"/>
                              <a:stretch/>
                            </pic:blipFill>
                            <pic:spPr bwMode="auto">
                              <a:xfrm flipH="0" flipV="0">
                                <a:off x="0" y="0"/>
                                <a:ext cx="2840601" cy="21304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3.67pt;height:167.75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275/2026/0271/VFI-BC.65.A ngày</w:t>
      </w:r>
      <w:r>
        <w:rPr>
          <w:i/>
          <w:lang w:val="pt-BR"/>
        </w:rPr>
        <w:t xml:space="preserve"> </w:t>
      </w:r>
      <w:r>
        <w:rPr>
          <w:i/>
          <w:lang w:val="pt-BR"/>
        </w:rPr>
        <w:t xml:space="preserve">4 tháng 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0886221285</w:t>
            </w:r>
            <w:r>
              <w:rPr>
                <w:sz w:val="22"/>
                <w:szCs w:val="22"/>
              </w:rPr>
              <w:t xml:space="preserve"> </w:t>
            </w:r>
            <w:r>
              <w:rPr>
                <w:sz w:val="22"/>
                <w:szCs w:val="22"/>
              </w:rPr>
              <w:br/>
              <w:t xml:space="preserve">(chị Ly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9.547.000.000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8.592.300.000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Tài sản tại: Xã Duyên Thái, Huyện Thường Tín, Thành phố Hà Nội </w:t>
            </w:r>
            <w:r>
              <w:rPr>
                <w:rFonts w:ascii="Times New Roman" w:hAnsi="Times New Roman" w:eastAsia="Times New Roman" w:cs="Times New Roman"/>
                <w:color w:val="000000"/>
                <w:sz w:val="22"/>
              </w:rPr>
              <w:t xml:space="preserve">(nay là xã Ngọc Hồi, thành phố Hà Nội)</w:t>
            </w:r>
            <w:r>
              <w:rPr>
                <w:rFonts w:ascii="Times New Roman" w:hAnsi="Times New Roman" w:eastAsia="Times New Roman" w:cs="Times New Roman"/>
                <w:color w:val="000000"/>
                <w:sz w:val="22"/>
              </w:rPr>
              <w:t xml:space="preserve">, Cách 30m ra trục chính , cách 70m ra chợ Que Hàn. Cách 40-50m ra nhà văn hóa, sân bóng, cách 300m ra quốc lộ 1A.</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81,6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5,64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Nở hậu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07390" cy="3069685"/>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flipH="0" flipV="0">
                                <a:off x="0" y="0"/>
                                <a:ext cx="5607389" cy="30696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41.53pt;height:241.71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
                <w:szCs w:val="2"/>
              </w:rPr>
            </w:pPr>
            <w:r>
              <w:rPr>
                <w:color w:val="000000"/>
                <w:sz w:val="22"/>
                <w:szCs w:val="22"/>
              </w:rPr>
            </w:r>
            <w:r>
              <w:rPr>
                <w:color w:val="000000"/>
                <w:sz w:val="22"/>
                <w:szCs w:val="22"/>
              </w:rPr>
              <w:t xml:space="preserve"> </w:t>
            </w:r>
            <w:r>
              <w:rPr>
                <w:color w:val="000000"/>
                <w:sz w:val="2"/>
                <w:szCs w:val="2"/>
              </w:rPr>
            </w:r>
            <w:r>
              <w:rPr>
                <w:color w:val="000000"/>
                <w:sz w:val="2"/>
                <w:szCs w:val="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69290" cy="334791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5569289" cy="33479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38.53pt;height:263.61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Thị Hồng Phúc</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trục tiếp</w:t>
            </w:r>
            <w:r>
              <w:rPr>
                <w:color w:val="000000" w:themeColor="text1"/>
                <w:sz w:val="22"/>
                <w:szCs w:val="22"/>
              </w:rPr>
              <w:br/>
              <w:t xml:space="preserve">0367236120</w:t>
            </w:r>
            <w:r>
              <w:rPr>
                <w:sz w:val="22"/>
                <w:szCs w:val="22"/>
              </w:rPr>
              <w:t xml:space="preserve"> </w:t>
            </w:r>
            <w:r>
              <w:rPr>
                <w:sz w:val="22"/>
                <w:szCs w:val="22"/>
              </w:rPr>
              <w:br/>
              <w:t xml:space="preserve">(anh Vượng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3.750.000.000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3.375.000.000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Tài sản tại: Xã Duyên Thái, Huyện Thường Tín, Thành phố Hà Nội </w:t>
            </w:r>
            <w:r>
              <w:rPr>
                <w:rFonts w:ascii="Times New Roman" w:hAnsi="Times New Roman" w:eastAsia="Times New Roman" w:cs="Times New Roman"/>
                <w:color w:val="000000"/>
                <w:sz w:val="22"/>
              </w:rPr>
              <w:t xml:space="preserve">(nay là xã Ngọc Hồi, thành phố Hà Nội)</w:t>
            </w:r>
            <w:r>
              <w:rPr>
                <w:rFonts w:ascii="Times New Roman" w:hAnsi="Times New Roman" w:eastAsia="Times New Roman" w:cs="Times New Roman"/>
                <w:color w:val="000000"/>
                <w:sz w:val="22"/>
              </w:rPr>
              <w:t xml:space="preserve">,  cách cao tốc Pháp Vân Cầu Giẽ khoảng 200m, cách QL1A khoảng 800m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3,86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Thóp hậu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78815" cy="374596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5578814" cy="37459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39.28pt;height:294.96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45140" cy="3469735"/>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2845139" cy="34697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4.03pt;height:273.21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35590" cy="3384550"/>
                      <wp:effectExtent l="0" t="0" r="0" b="0"/>
                      <wp:docPr id="16" name=""/>
                      <wp:cNvGraphicFramePr/>
                      <a:graphic xmlns:a="http://schemas.openxmlformats.org/drawingml/2006/main">
                        <a:graphicData uri="http://schemas.openxmlformats.org/drawingml/2006/picture">
                          <pic:pic xmlns:pic="http://schemas.openxmlformats.org/drawingml/2006/picture">
                            <pic:nvPicPr>
                              <pic:cNvPr id="1319259471" name="" descr=""/>
                              <pic:cNvPicPr/>
                              <pic:nvPr/>
                            </pic:nvPicPr>
                            <pic:blipFill rotWithShape="1">
                              <a:blip r:embed="rId28"/>
                              <a:stretch/>
                            </pic:blipFill>
                            <pic:spPr bwMode="auto">
                              <a:xfrm rot="0" flipH="0" flipV="0">
                                <a:off x="0" y="0"/>
                                <a:ext cx="2635589" cy="338454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07.53pt;height:266.50pt;mso-wrap-distance-left:0.00pt;mso-wrap-distance-top:0.00pt;mso-wrap-distance-right:0.00pt;mso-wrap-distance-bottom:0.00pt;rotation:0;z-index:1;" stroked="false">
                      <v:imagedata r:id="rId28"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https://alonhadat.com.vn/ban-80m-mt5m-dat-dau-trung-gia-xa-duyen-thai-ngoc-hoi-phan-lo-oto-chi-6-5-ty-16488760.html</w:t>
            </w:r>
            <w:r>
              <w:rPr>
                <w:color w:val="000000" w:themeColor="text1"/>
                <w:sz w:val="22"/>
                <w:szCs w:val="22"/>
              </w:rPr>
              <w:br/>
            </w:r>
            <w:r>
              <w:rPr>
                <w:sz w:val="22"/>
                <w:szCs w:val="22"/>
              </w:rPr>
              <w:t xml:space="preserve">SĐT: </w:t>
            </w:r>
            <w:r>
              <w:rPr>
                <w:color w:val="000000" w:themeColor="text1"/>
                <w:sz w:val="22"/>
                <w:szCs w:val="22"/>
              </w:rPr>
              <w:t xml:space="preserve">0989842390</w:t>
            </w:r>
            <w:r>
              <w:rPr>
                <w:sz w:val="22"/>
                <w:szCs w:val="22"/>
              </w:rPr>
              <w:t xml:space="preserve"> </w:t>
            </w:r>
            <w:r>
              <w:rPr>
                <w:sz w:val="22"/>
                <w:szCs w:val="22"/>
              </w:rPr>
              <w:br/>
              <w:t xml:space="preserve">(anh Thắng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Tài sản tại: Xã Duyên Thái, Huyện Thường Tín, Thành phố Hà Nội (nay là xã Ngọc Hồi, thành phố Hà Nội), </w:t>
            </w:r>
            <w:r>
              <w:rPr>
                <w:rFonts w:ascii="Times New Roman" w:hAnsi="Times New Roman" w:eastAsia="Times New Roman" w:cs="Times New Roman"/>
                <w:color w:val="000000"/>
                <w:sz w:val="24"/>
              </w:rPr>
              <w:t xml:space="preserve">Cách trục chính phố Bắc Cầu Quán Gánh khoảng 150m,</w:t>
            </w:r>
            <w:r>
              <w:rPr>
                <w:rFonts w:ascii="Times New Roman" w:hAnsi="Times New Roman" w:eastAsia="Times New Roman" w:cs="Times New Roman"/>
                <w:color w:val="000000"/>
                <w:sz w:val="22"/>
              </w:rPr>
              <w:t xml:space="preserve"> cách QL1A khoảng 250m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82,1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97815" cy="3147689"/>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5197815" cy="314768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09.28pt;height:247.85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5512140" cy="3147885"/>
                      <wp:effectExtent l="0" t="0" r="0" b="0"/>
                      <wp:docPr id="18" name=""/>
                      <wp:cNvGraphicFramePr/>
                      <a:graphic xmlns:a="http://schemas.openxmlformats.org/drawingml/2006/main">
                        <a:graphicData uri="http://schemas.openxmlformats.org/drawingml/2006/picture">
                          <pic:pic xmlns:pic="http://schemas.openxmlformats.org/drawingml/2006/picture">
                            <pic:nvPicPr>
                              <pic:cNvPr id="1857062656" name="" descr=""/>
                              <pic:cNvPicPr/>
                              <pic:nvPr/>
                            </pic:nvPicPr>
                            <pic:blipFill rotWithShape="1">
                              <a:blip r:embed="rId30"/>
                              <a:stretch/>
                            </pic:blipFill>
                            <pic:spPr bwMode="auto">
                              <a:xfrm flipH="0" flipV="0">
                                <a:off x="0" y="0"/>
                                <a:ext cx="5512139" cy="31478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34.03pt;height:247.86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rPr>
          <w:iCs/>
          <w:highlight w:val="none"/>
          <w:lang w:val="pt-BR"/>
        </w:rPr>
      </w:pPr>
      <w:r>
        <w:rPr>
          <w:iCs/>
          <w:lang w:val="pt-BR"/>
        </w:rPr>
      </w:r>
      <w:r>
        <mc:AlternateContent>
          <mc:Choice Requires="wpg">
            <w:drawing>
              <wp:inline xmlns:wp="http://schemas.openxmlformats.org/drawingml/2006/wordprocessingDrawing" distT="0" distB="0" distL="0" distR="0">
                <wp:extent cx="8924385" cy="623530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961525" name=""/>
                        <pic:cNvPicPr>
                          <a:picLocks noChangeAspect="1"/>
                        </pic:cNvPicPr>
                        <pic:nvPr/>
                      </pic:nvPicPr>
                      <pic:blipFill rotWithShape="1">
                        <a:blip r:embed="rId31"/>
                        <a:stretch/>
                      </pic:blipFill>
                      <pic:spPr bwMode="auto">
                        <a:xfrm rot="5399976" flipH="0" flipV="0">
                          <a:off x="0" y="0"/>
                          <a:ext cx="8924384" cy="62353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702.71pt;height:490.97pt;mso-wrap-distance-left:0.00pt;mso-wrap-distance-top:0.00pt;mso-wrap-distance-right:0.00pt;mso-wrap-distance-bottom:0.00pt;rotation:89;z-index:1;" stroked="false">
                <v:imagedata r:id="rId31" o:title=""/>
                <o:lock v:ext="edit" rotation="t"/>
              </v:shape>
            </w:pict>
          </mc:Fallback>
        </mc:AlternateContent>
      </w:r>
      <w:r>
        <w:rPr>
          <w:iCs/>
          <w:highlight w:val="none"/>
          <w:lang w:val="pt-BR"/>
        </w:rPr>
      </w:r>
      <w:r>
        <w:rPr>
          <w:iCs/>
          <w:highlight w:val="none"/>
          <w:lang w:val="pt-BR"/>
        </w:rPr>
      </w:r>
    </w:p>
    <w:p>
      <w:pPr>
        <w:pBdr/>
        <w:spacing w:after="200" w:line="276" w:lineRule="auto"/>
        <w:ind/>
        <w:rPr>
          <w:highlight w:val="none"/>
        </w:rPr>
      </w:pPr>
      <w:r>
        <w:rPr>
          <w:iCs/>
          <w:highlight w:val="none"/>
          <w:lang w:val="pt-BR" w:bidi="pt-BR"/>
        </w:rPr>
      </w:r>
      <w:r>
        <mc:AlternateContent>
          <mc:Choice Requires="wpg">
            <w:drawing>
              <wp:inline xmlns:wp="http://schemas.openxmlformats.org/drawingml/2006/wordprocessingDrawing" distT="0" distB="0" distL="0" distR="0">
                <wp:extent cx="8761838" cy="607729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428470" name=""/>
                        <pic:cNvPicPr>
                          <a:picLocks noChangeAspect="1"/>
                        </pic:cNvPicPr>
                        <pic:nvPr/>
                      </pic:nvPicPr>
                      <pic:blipFill rotWithShape="1">
                        <a:blip r:embed="rId32"/>
                        <a:stretch/>
                      </pic:blipFill>
                      <pic:spPr bwMode="auto">
                        <a:xfrm rot="5399976" flipH="0" flipV="0">
                          <a:off x="0" y="0"/>
                          <a:ext cx="8761838" cy="60772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689.91pt;height:478.53pt;mso-wrap-distance-left:0.00pt;mso-wrap-distance-top:0.00pt;mso-wrap-distance-right:0.00pt;mso-wrap-distance-bottom:0.00pt;rotation:89;z-index:1;" stroked="false">
                <v:imagedata r:id="rId32" o:title=""/>
                <o:lock v:ext="edit" rotation="t"/>
              </v:shape>
            </w:pict>
          </mc:Fallback>
        </mc:AlternateContent>
      </w:r>
      <w:r>
        <w:rPr>
          <w:highlight w:val="none"/>
        </w:rPr>
      </w:r>
      <w:r>
        <w:rPr>
          <w:highlight w:val="none"/>
        </w:rPr>
      </w:r>
    </w:p>
    <w:p>
      <w:pPr>
        <w:pBdr/>
        <w:spacing w:after="200" w:line="276" w:lineRule="auto"/>
        <w:ind/>
        <w:rPr>
          <w:highlight w:val="none"/>
        </w:rPr>
      </w:pPr>
      <w:r>
        <w:rPr>
          <w:highlight w:val="none"/>
          <w:lang w:val="pt-BR" w:bidi="pt-BR"/>
        </w:rPr>
      </w:r>
      <w:r>
        <mc:AlternateContent>
          <mc:Choice Requires="wpg">
            <w:drawing>
              <wp:inline xmlns:wp="http://schemas.openxmlformats.org/drawingml/2006/wordprocessingDrawing" distT="0" distB="0" distL="0" distR="0">
                <wp:extent cx="6143965" cy="8763844"/>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961030" name=""/>
                        <pic:cNvPicPr>
                          <a:picLocks noChangeAspect="1"/>
                        </pic:cNvPicPr>
                        <pic:nvPr/>
                      </pic:nvPicPr>
                      <pic:blipFill rotWithShape="1">
                        <a:blip r:embed="rId33"/>
                        <a:stretch/>
                      </pic:blipFill>
                      <pic:spPr bwMode="auto">
                        <a:xfrm flipH="0" flipV="0">
                          <a:off x="0" y="0"/>
                          <a:ext cx="6143964" cy="87638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83.78pt;height:690.07pt;mso-wrap-distance-left:0.00pt;mso-wrap-distance-top:0.00pt;mso-wrap-distance-right:0.00pt;mso-wrap-distance-bottom:0.00pt;z-index:1;" stroked="false">
                <v:imagedata r:id="rId33" o:title=""/>
                <o:lock v:ext="edit" rotation="t"/>
              </v:shape>
            </w:pict>
          </mc:Fallback>
        </mc:AlternateContent>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r>
      <w:r>
        <mc:AlternateContent>
          <mc:Choice Requires="wpg">
            <w:drawing>
              <wp:inline xmlns:wp="http://schemas.openxmlformats.org/drawingml/2006/wordprocessingDrawing" distT="0" distB="0" distL="0" distR="0">
                <wp:extent cx="6260911" cy="9057735"/>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953681" name=""/>
                        <pic:cNvPicPr>
                          <a:picLocks noChangeAspect="1"/>
                        </pic:cNvPicPr>
                        <pic:nvPr/>
                      </pic:nvPicPr>
                      <pic:blipFill rotWithShape="1">
                        <a:blip r:embed="rId34"/>
                        <a:stretch/>
                      </pic:blipFill>
                      <pic:spPr bwMode="auto">
                        <a:xfrm flipH="0" flipV="0">
                          <a:off x="0" y="0"/>
                          <a:ext cx="6260910" cy="90577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92.99pt;height:713.21pt;mso-wrap-distance-left:0.00pt;mso-wrap-distance-top:0.00pt;mso-wrap-distance-right:0.00pt;mso-wrap-distance-bottom:0.00pt;z-index:1;" stroked="false">
                <v:imagedata r:id="rId34" o:title=""/>
                <o:lock v:ext="edit" rotation="t"/>
              </v:shape>
            </w:pict>
          </mc:Fallback>
        </mc:AlternateContent>
      </w:r>
      <w:r>
        <w:rPr>
          <w:highlight w:val="none"/>
        </w:rPr>
      </w:r>
      <w:r>
        <w:rPr>
          <w:highlight w:val="non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274</cp:revision>
  <dcterms:created xsi:type="dcterms:W3CDTF">2025-09-15T09:58:00Z</dcterms:created>
  <dcterms:modified xsi:type="dcterms:W3CDTF">2026-02-06T03:39:15Z</dcterms:modified>
</cp:coreProperties>
</file>