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132760</wp:posOffset>
                </wp:positionH>
                <wp:positionV relativeFrom="paragraph">
                  <wp:posOffset>46530</wp:posOffset>
                </wp:positionV>
                <wp:extent cx="5467350" cy="3201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1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Mạnh Thái</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CY 912794, số vào sổ cấp GCN: CH 04605 do Ủy ban nhân dân thị xã Đông Triều cấp ngày 14/04/2021; Chủ sử dụng đất là Ông Nguyễn Mạnh Thái và Bà Hoàng Thị Hoa</w:t>
                            </w:r>
                            <w:r>
                              <w:rPr>
                                <w:bCs/>
                                <w:i/>
                                <w:iCs/>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0.45pt;mso-position-horizontal:absolute;mso-position-vertical-relative:text;margin-top:3.66pt;mso-position-vertical:absolute;width:430.50pt;height:25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Mạnh Thái</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CY 912794, số vào sổ cấp GCN: CH 04605 do Ủy ban nhân dân thị xã Đông Triều cấp ngày 14/04/2021; Chủ sử dụng đất là Ông Nguyễn Mạnh Thái và Bà Hoàng Thị Hoa</w:t>
                      </w:r>
                      <w:r>
                        <w:rPr>
                          <w:bCs/>
                          <w:i/>
                          <w:iCs/>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83" w:type="dxa"/>
        <w:tblBorders/>
        <w:tblLayout w:type="fixed"/>
        <w:tblLook w:val="04A0" w:firstRow="1" w:lastRow="0" w:firstColumn="1" w:lastColumn="0" w:noHBand="0" w:noVBand="1"/>
      </w:tblPr>
      <w:tblGrid>
        <w:gridCol w:w="170"/>
        <w:gridCol w:w="1417"/>
        <w:gridCol w:w="3827"/>
        <w:gridCol w:w="4469"/>
      </w:tblGrid>
      <w:tr>
        <w:trPr>
          <w:trHeight w:val="1417"/>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9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auto" w:fill="auto"/>
            <w:tcBorders/>
            <w:tcMar>
              <w:left w:w="108" w:type="dxa"/>
              <w:top w:w="0" w:type="dxa"/>
              <w:right w:w="108" w:type="dxa"/>
              <w:bottom w:w="0" w:type="dxa"/>
            </w:tcMar>
            <w:tcW w:w="5244" w:type="dxa"/>
            <w:textDirection w:val="lrTb"/>
            <w:noWrap w:val="false"/>
          </w:tcPr>
          <w:p>
            <w:pPr>
              <w:pStyle w:val="1046"/>
              <w:pBdr/>
              <w:spacing w:after="60"/>
              <w:ind/>
              <w:rPr>
                <w:color w:val="000000" w:themeColor="text1"/>
                <w:sz w:val="24"/>
                <w:szCs w:val="24"/>
              </w:rPr>
            </w:pPr>
            <w:r>
              <w:rPr>
                <w:rStyle w:val="1045"/>
                <w:rFonts w:ascii="Times New Roman" w:hAnsi="Times New Roman"/>
                <w:color w:val="000000" w:themeColor="text1"/>
                <w:lang w:val="pt-BR"/>
              </w:rPr>
              <w:t xml:space="preserve">Số</w:t>
            </w:r>
            <w:r>
              <w:rPr>
                <w:rStyle w:val="1045"/>
                <w:rFonts w:ascii="Times New Roman" w:hAnsi="Times New Roman"/>
                <w:color w:val="000000" w:themeColor="text1"/>
                <w:lang w:val="pt-BR"/>
              </w:rPr>
              <w:t xml:space="preserve">: </w:t>
            </w:r>
            <w:r>
              <w:rPr>
                <w:rStyle w:val="1045"/>
                <w:rFonts w:ascii="Times New Roman" w:hAnsi="Times New Roman"/>
                <w:color w:val="000000" w:themeColor="text1"/>
                <w:lang w:val="pt-BR"/>
              </w:rPr>
              <w:t xml:space="preserve">275/2026/0189/VFI-CT.65.A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69" w:type="dxa"/>
            <w:textDirection w:val="lrTb"/>
            <w:noWrap w:val="false"/>
          </w:tcPr>
          <w:p>
            <w:pPr>
              <w:pStyle w:val="1046"/>
              <w:pBdr/>
              <w:spacing w:after="60"/>
              <w:ind w:right="-56"/>
              <w:jc w:val="right"/>
              <w:rPr>
                <w:color w:val="000000" w:themeColor="text1"/>
                <w:sz w:val="24"/>
                <w:szCs w:val="24"/>
                <w:lang w:val="vi-VN"/>
              </w:rPr>
            </w:pPr>
            <w:r>
              <w:rPr>
                <w:rStyle w:val="1045"/>
                <w:rFonts w:ascii="Times New Roman" w:hAnsi="Times New Roman"/>
                <w:i/>
                <w:color w:val="auto"/>
              </w:rPr>
              <w:t xml:space="preserve">TP. </w:t>
            </w:r>
            <w:r>
              <w:rPr>
                <w:rStyle w:val="1045"/>
                <w:rFonts w:ascii="Times New Roman" w:hAnsi="Times New Roman"/>
                <w:i/>
                <w:color w:val="auto"/>
              </w:rPr>
              <w:t xml:space="preserve">Hà</w:t>
            </w:r>
            <w:r>
              <w:rPr>
                <w:rStyle w:val="1045"/>
                <w:rFonts w:ascii="Times New Roman" w:hAnsi="Times New Roman"/>
                <w:i/>
                <w:color w:val="auto"/>
              </w:rPr>
              <w:t xml:space="preserve"> </w:t>
            </w:r>
            <w:r>
              <w:rPr>
                <w:rStyle w:val="1045"/>
                <w:rFonts w:ascii="Times New Roman" w:hAnsi="Times New Roman"/>
                <w:i/>
                <w:color w:val="auto"/>
              </w:rPr>
              <w:t xml:space="preserve">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46"/>
        <w:pBdr/>
        <w:spacing w:after="120" w:before="200" w:line="288" w:lineRule="auto"/>
        <w:ind/>
        <w:jc w:val="center"/>
        <w:rPr>
          <w:rStyle w:val="1045"/>
          <w:rFonts w:ascii="Times New Roman" w:hAnsi="Times New Roman"/>
          <w:b/>
          <w:bCs/>
          <w:color w:val="auto"/>
          <w:sz w:val="30"/>
          <w:szCs w:val="30"/>
          <w:lang w:val="vi-VN"/>
        </w:rPr>
      </w:pPr>
      <w:r>
        <w:rPr>
          <w:rStyle w:val="1045"/>
          <w:rFonts w:ascii="Times New Roman" w:hAnsi="Times New Roman"/>
          <w:b/>
          <w:bCs/>
          <w:color w:val="auto"/>
          <w:sz w:val="30"/>
          <w:szCs w:val="30"/>
          <w:lang w:val="vi-VN"/>
        </w:rPr>
        <w:t xml:space="preserve">CHỨNG THƯ THẨM ĐỊNH GIÁ</w:t>
      </w:r>
      <w:r>
        <w:rPr>
          <w:rStyle w:val="1045"/>
          <w:rFonts w:ascii="Times New Roman" w:hAnsi="Times New Roman"/>
          <w:b/>
          <w:bCs/>
          <w:color w:val="auto"/>
          <w:sz w:val="30"/>
          <w:szCs w:val="30"/>
          <w:lang w:val="vi-VN"/>
        </w:rPr>
      </w:r>
      <w:r>
        <w:rPr>
          <w:rStyle w:val="104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Mạnh Thái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275/2026/0189/VFI-HĐTĐ.65.A</w:t>
      </w:r>
      <w:r>
        <w:rPr>
          <w:spacing w:val="-4"/>
          <w:highlight w:val="white"/>
          <w:lang w:val="vi-VN"/>
        </w:rPr>
        <w:t xml:space="preserve"> ký </w:t>
      </w:r>
      <w:r>
        <w:rPr>
          <w:spacing w:val="-4"/>
          <w:highlight w:val="white"/>
          <w:lang w:val="vi-VN"/>
        </w:rPr>
        <w:t xml:space="preserve">ngày </w:t>
      </w:r>
      <w:r>
        <w:rPr>
          <w:color w:val="000000" w:themeColor="text1"/>
          <w:spacing w:val="-4"/>
          <w:highlight w:val="white"/>
        </w:rPr>
        <w:t xml:space="preserve">23 tháng </w:t>
      </w:r>
      <w:r>
        <w:rPr>
          <w:color w:val="000000" w:themeColor="text1"/>
          <w:spacing w:val="-4"/>
          <w:highlight w:val="white"/>
        </w:rPr>
        <w:t xml:space="preserve">1 </w:t>
      </w:r>
      <w:r>
        <w:rPr>
          <w:color w:val="000000" w:themeColor="text1"/>
          <w:spacing w:val="-4"/>
        </w:rPr>
        <w:t xml:space="preserve">năm 2026</w:t>
      </w:r>
      <w:r>
        <w:rPr>
          <w:spacing w:val="-4"/>
          <w:lang w:val="vi-VN"/>
        </w:rPr>
        <w:t xml:space="preserve"> </w:t>
      </w:r>
      <w:r>
        <w:rPr>
          <w:spacing w:val="-4"/>
          <w:lang w:val="vi-VN"/>
        </w:rPr>
        <w:t xml:space="preserve">giữa </w:t>
      </w:r>
      <w:r>
        <w:rPr>
          <w:color w:val="000000" w:themeColor="text1"/>
          <w:spacing w:val="-4"/>
        </w:rPr>
        <w:t xml:space="preserve">Ông Nguyễn Mạnh Thái</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275/2026/0189/VFI-BC.65.A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Mạnh Thái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022082001924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Yên Lâm 3, Đức Chính, Thị xã Đông Triều, Quảng Ninh (nay là phường Đông Triều,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highlight w:val="yellow"/>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rFonts w:ascii="Times New Roman" w:hAnsi="Times New Roman" w:eastAsia="Times New Roman" w:cs="Times New Roman"/>
          <w:color w:val="000000"/>
          <w:sz w:val="24"/>
        </w:rPr>
        <w:t xml:space="preserve">Quyền sử dụng đất và tài sản gắn liền với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CY 912794, số vào sổ cấp GCN: CH 04605 do Ủy ban nhân dân thị xã Đông Triều cấp ngày 14/04/2021; Chủ sử dụng đất là Ông Nguyễn Mạnh Thái và Bà Hoàng Thị Hoa</w:t>
      </w:r>
      <w:r>
        <w:rPr>
          <w:bCs/>
          <w:i/>
          <w:iCs/>
        </w:rPr>
        <w:t xml:space="preserve">.</w:t>
      </w:r>
      <w:r>
        <w:rPr>
          <w:b/>
          <w:bCs/>
          <w:highlight w:val="yellow"/>
        </w:rPr>
      </w:r>
      <w:r>
        <w:rPr>
          <w:b/>
          <w:bCs/>
          <w:highlight w:val="yellow"/>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5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214"/>
        <w:gridCol w:w="1809"/>
        <w:gridCol w:w="1646"/>
        <w:gridCol w:w="992"/>
        <w:gridCol w:w="2127"/>
      </w:tblGrid>
      <w:tr>
        <w:trPr>
          <w:trHeight w:val="801"/>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TT</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Tài sản</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Diện tích (m²)</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Đơn giá (đồng/m²)</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Tỷ lệ CLCL (%)</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Thành tiền (đồng)</w:t>
            </w:r>
            <w:r>
              <w:rPr>
                <w:sz w:val="22"/>
              </w:rPr>
            </w:r>
            <w:r>
              <w:rPr>
                <w:sz w:val="22"/>
              </w:rPr>
            </w:r>
          </w:p>
        </w:tc>
      </w:tr>
      <w:tr>
        <w:trPr>
          <w:trHeight w:val="23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sz w:val="22"/>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Quyền sử dụng đất và tài sản gắn liền với đất t</w:t>
            </w:r>
            <w:r>
              <w:rPr>
                <w:rFonts w:ascii="Times New Roman" w:hAnsi="Times New Roman" w:eastAsia="Times New Roman" w:cs="Times New Roman"/>
                <w:b/>
                <w:color w:val="000000"/>
                <w:sz w:val="24"/>
              </w:rPr>
              <w:t xml:space="preserve">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CY 912794, số vào sổ cấp GCN: CH 04605 do Ủy ban nhân dân thị xã Đông Triều cấp ngày 14/04/2021; Chủ sử dụng đất là Ông Nguyễn Mạnh Thái và Bà Hoàng Thị Hoa.</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 </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 </w:t>
            </w:r>
            <w:r>
              <w:rPr>
                <w:sz w:val="22"/>
              </w:rPr>
            </w:r>
            <w:r>
              <w:rPr>
                <w:sz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ở tại đô thị</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150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9.077.110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1.361.566.566</w:t>
            </w:r>
            <w:r>
              <w:rPr>
                <w:sz w:val="22"/>
              </w:rPr>
            </w:r>
            <w:r>
              <w:rPr>
                <w:sz w:val="22"/>
              </w:rPr>
            </w:r>
          </w:p>
        </w:tc>
      </w:tr>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2</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trồng cây lâu năm</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576,2</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5.829.110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3.358.733.434</w:t>
            </w:r>
            <w:r>
              <w:rPr>
                <w:sz w:val="22"/>
              </w:rPr>
            </w:r>
            <w:r>
              <w:rPr>
                <w:sz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Nhà 2 tầng</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220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7.797.300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85%</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1.458.095.100</w:t>
            </w:r>
            <w:r>
              <w:rPr>
                <w:sz w:val="22"/>
              </w:rPr>
            </w:r>
            <w:r>
              <w:rPr>
                <w:sz w:val="22"/>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TỔNG CỘNG</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6.178.395.100</w:t>
            </w:r>
            <w:r>
              <w:rPr>
                <w:sz w:val="22"/>
              </w:rPr>
            </w:r>
            <w:r>
              <w:rPr>
                <w:sz w:val="22"/>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0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6.178.400.000</w:t>
            </w:r>
            <w:r>
              <w:rPr>
                <w:sz w:val="22"/>
              </w:rPr>
            </w:r>
            <w:r>
              <w:rPr>
                <w:sz w:val="22"/>
              </w:rPr>
            </w:r>
          </w:p>
        </w:tc>
      </w:tr>
      <w:tr>
        <w:trPr>
          <w:trHeight w:val="324"/>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i/>
                <w:color w:val="000000"/>
                <w:sz w:val="24"/>
              </w:rPr>
              <w:t xml:space="preserve">(Bằng chữ: Sáu tỷ một trăm bảy mươi tám triệu bốn trăm nghìn đồng./.)</w:t>
            </w:r>
            <w:r>
              <w:rPr>
                <w:sz w:val="22"/>
              </w:rPr>
            </w:r>
            <w:r>
              <w:rPr>
                <w:sz w:val="22"/>
              </w:rP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83" w:type="dxa"/>
        <w:tblBorders/>
        <w:tblLayout w:type="fixed"/>
        <w:tblLook w:val="04A0" w:firstRow="1" w:lastRow="0" w:firstColumn="1" w:lastColumn="0" w:noHBand="0" w:noVBand="1"/>
      </w:tblPr>
      <w:tblGrid>
        <w:gridCol w:w="170"/>
        <w:gridCol w:w="1417"/>
        <w:gridCol w:w="3827"/>
        <w:gridCol w:w="4469"/>
      </w:tblGrid>
      <w:tr>
        <w:trPr>
          <w:trHeight w:val="1417"/>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436894" name="Picture 3" descr="Logo, company name&#10;&#10;Description automatically generated"/>
                              <pic:cNvPicPr>
                                <a:picLocks noChangeAspect="1"/>
                              </pic:cNvPicPr>
                              <pic:nvPr/>
                            </pic:nvPicPr>
                            <pic:blipFill rotWithShape="1">
                              <a:blip r:embed="rId15"/>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9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ffffff" w:fill="ffffff"/>
            <w:tcBorders/>
            <w:tcMar>
              <w:left w:w="108" w:type="dxa"/>
              <w:top w:w="0" w:type="dxa"/>
              <w:right w:w="108" w:type="dxa"/>
              <w:bottom w:w="0" w:type="dxa"/>
            </w:tcMar>
            <w:tcW w:w="5244" w:type="dxa"/>
            <w:textDirection w:val="lrTb"/>
            <w:noWrap w:val="false"/>
          </w:tcPr>
          <w:p>
            <w:pPr>
              <w:pStyle w:val="1046"/>
              <w:pBdr/>
              <w:spacing w:after="60"/>
              <w:ind/>
              <w:rPr>
                <w:color w:val="000000" w:themeColor="text1"/>
                <w:sz w:val="24"/>
                <w:szCs w:val="24"/>
              </w:rPr>
            </w:pPr>
            <w:r>
              <w:rPr>
                <w:rStyle w:val="1045"/>
                <w:rFonts w:ascii="Times New Roman" w:hAnsi="Times New Roman"/>
                <w:color w:val="000000" w:themeColor="text1"/>
                <w:lang w:val="pt-BR"/>
              </w:rPr>
              <w:t xml:space="preserve">Số</w:t>
            </w:r>
            <w:r>
              <w:rPr>
                <w:rStyle w:val="1045"/>
                <w:rFonts w:ascii="Times New Roman" w:hAnsi="Times New Roman"/>
                <w:color w:val="000000" w:themeColor="text1"/>
                <w:lang w:val="pt-BR"/>
              </w:rPr>
              <w:t xml:space="preserve">: </w:t>
            </w:r>
            <w:r>
              <w:rPr>
                <w:rStyle w:val="1045"/>
                <w:rFonts w:ascii="Times New Roman" w:hAnsi="Times New Roman"/>
                <w:color w:val="000000" w:themeColor="text1"/>
                <w:lang w:val="pt-BR"/>
              </w:rPr>
              <w:t xml:space="preserve">275/2026/0189/VFI-BC.65.A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4469" w:type="dxa"/>
            <w:textDirection w:val="lrTb"/>
            <w:noWrap w:val="false"/>
          </w:tcPr>
          <w:p>
            <w:pPr>
              <w:pStyle w:val="1046"/>
              <w:pBdr/>
              <w:spacing w:after="60"/>
              <w:ind w:right="-56"/>
              <w:jc w:val="right"/>
              <w:rPr>
                <w:color w:val="000000" w:themeColor="text1"/>
                <w:sz w:val="24"/>
                <w:szCs w:val="24"/>
                <w:lang w:val="vi-VN"/>
              </w:rPr>
            </w:pPr>
            <w:r>
              <w:rPr>
                <w:rStyle w:val="1045"/>
                <w:rFonts w:ascii="Times New Roman" w:hAnsi="Times New Roman"/>
                <w:i/>
                <w:color w:val="auto"/>
              </w:rPr>
              <w:t xml:space="preserve">TP. </w:t>
            </w:r>
            <w:r>
              <w:rPr>
                <w:rStyle w:val="1045"/>
                <w:rFonts w:ascii="Times New Roman" w:hAnsi="Times New Roman"/>
                <w:i/>
                <w:color w:val="auto"/>
              </w:rPr>
              <w:t xml:space="preserve">Hà</w:t>
            </w:r>
            <w:r>
              <w:rPr>
                <w:rStyle w:val="1045"/>
                <w:rFonts w:ascii="Times New Roman" w:hAnsi="Times New Roman"/>
                <w:i/>
                <w:color w:val="auto"/>
              </w:rPr>
              <w:t xml:space="preserve"> </w:t>
            </w:r>
            <w:r>
              <w:rPr>
                <w:rStyle w:val="1045"/>
                <w:rFonts w:ascii="Times New Roman" w:hAnsi="Times New Roman"/>
                <w:i/>
                <w:color w:val="auto"/>
              </w:rPr>
              <w:t xml:space="preserve">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4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275/2026/0189/VFI-CT.65.A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4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Mạnh Thái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022082001924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Yên Lâm 3, Đức Chính, Thị xã Đông Triều, Quảng Ninh (nay là phường Đông Triều, tỉnh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CY 912794, số vào sổ cấp GCN: CH 04605 do Ủy ban nhân dân thị xã Đông Triều cấp ngày 14/04/2021; Chủ sử dụng đất là Ông Nguyễn Mạnh Thái và Bà Hoàng Thị Hoa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Khu Hạ 1, P.Tràng An, TX. Đông Triều, tỉnh Quảng Ninh (nay là phường Bình Khê,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(21.09586, 106.52936)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7"/>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CY 912794, số vào sổ cấp GCN: CH 04605 do Ủy ban nhân dân thị xã Đông Triều cấp ngày 14/04/2021; Chủ sử dụng đất là Ông Nguyễn Mạnh Thái và Bà Hoàng Thị Hoa</w:t>
      </w:r>
      <w:r>
        <w:rPr>
          <w:rFonts w:ascii="Times New Roman" w:hAnsi="Times New Roman" w:eastAsia="Times New Roman" w:cs="Times New Roman"/>
          <w:i/>
          <w:color w:val="000000"/>
          <w:sz w:val="24"/>
        </w:rPr>
        <w:t xml:space="preserve">.</w:t>
      </w:r>
      <w:r>
        <w:rPr>
          <w:i/>
          <w:iCs/>
          <w:highlight w:val="white"/>
        </w:rPr>
      </w:r>
      <w:r>
        <w:rPr>
          <w:i/>
          <w:iCs/>
          <w:highlight w:val="white"/>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275/2026/0189/VFI-HĐTĐ.65.A n</w:t>
      </w:r>
      <w:r>
        <w:rPr>
          <w:color w:val="000000" w:themeColor="text1"/>
          <w:highlight w:val="white"/>
          <w:lang w:val="pt-BR"/>
        </w:rPr>
        <w:t xml:space="preserve">gày</w:t>
      </w:r>
      <w:r>
        <w:rPr>
          <w:color w:val="000000" w:themeColor="text1"/>
          <w:highlight w:val="white"/>
          <w:lang w:val="pt-BR"/>
        </w:rPr>
        <w:t xml:space="preserve"> 23/01/2026 </w:t>
      </w:r>
      <w:r>
        <w:rPr>
          <w:color w:val="000000" w:themeColor="text1"/>
          <w:highlight w:val="white"/>
          <w:lang w:val="pt-BR"/>
        </w:rPr>
        <w:t xml:space="preserve">giữa</w:t>
      </w:r>
      <w:r>
        <w:rPr>
          <w:color w:val="000000" w:themeColor="text1"/>
          <w:lang w:val="pt-BR"/>
        </w:rPr>
        <w:t xml:space="preserve"> Ông Nguyễn Mạnh Thái với Công ty Cổ phần Thẩm định và Đầu tư Tài chính Hoa Sen.</w:t>
      </w:r>
      <w:r>
        <w:rPr>
          <w:b/>
          <w:lang w:val="pt-BR"/>
        </w:rPr>
      </w:r>
      <w:r>
        <w:rPr>
          <w:b/>
          <w:lang w:val="pt-BR"/>
        </w:rPr>
      </w:r>
    </w:p>
    <w:p>
      <w:pPr>
        <w:pStyle w:val="104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Thị trường bất động sản Quảng Ninh giai đoạn 2026 - 2030 được đặc trưng bởi một bức tranh tổng thể với sự dịch chuyển dòng tiền rõ rệt từ Hạ Long trung tâm sang các “vệ tinh” tiề</w:t>
      </w:r>
      <w:r>
        <w:rPr>
          <w:shd w:val="clear" w:color="auto" w:fill="ffffff"/>
        </w:rPr>
        <w:t xml:space="preserve">m năng, cùng ba phân khúc chính đang “hút” vốn mạnh mẽ: BĐS nghỉ dưỡng cao cấp, BĐS công nghiệp &amp; logistics và đất nền quy hoạch ven các tuyến huyết mạch mới.  Cụ thể, dòng vốn không còn tập trung cục bộ mà đang lan tỏa, tạo ra nhiều “cực” tăng trưởng mới.</w:t>
      </w:r>
      <w:r>
        <w:rPr>
          <w:i/>
          <w:iCs/>
          <w:lang w:val="pt-BR"/>
        </w:rPr>
      </w:r>
      <w:r>
        <w:rPr>
          <w:i/>
          <w:iCs/>
          <w:lang w:val="pt-BR"/>
        </w:rPr>
      </w:r>
    </w:p>
    <w:p>
      <w:pPr>
        <w:pStyle w:val="104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Bdr/>
        <w:shd w:val="nil" w:color="auto"/>
        <w:spacing/>
        <w:ind/>
        <w:rPr>
          <w:b/>
          <w:bCs/>
          <w:lang w:val="pt-BR"/>
        </w:rPr>
      </w:pPr>
      <w:r>
        <w:rPr>
          <w:b/>
          <w:bCs/>
          <w:lang w:val="pt-BR"/>
        </w:rPr>
        <w:br w:type="page" w:clear="all"/>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b/>
                <w:bCs/>
              </w:rPr>
            </w:pPr>
            <w:r>
              <w:rPr>
                <w:rFonts w:ascii="Times New Roman" w:hAnsi="Times New Roman" w:eastAsia="Times New Roman" w:cs="Times New Roman"/>
                <w:b/>
                <w:bCs/>
                <w:color w:val="000000"/>
                <w:sz w:val="24"/>
              </w:rPr>
              <w:t xml:space="preserve">Quyền sử dụng đất và tài sản gắn liền với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b/>
                <w:bCs/>
                <w:color w:val="000000"/>
                <w:sz w:val="24"/>
              </w:rPr>
              <w:t xml:space="preserve"> số: CY 912794, số vào sổ cấp GCN: CH 04605 do Ủy ban nhân dân thị xã Đông Triều cấp ngày 14/04/2021; Chủ sử dụng đất là Ông Nguyễn Mạnh Thái và Bà Hoàng Thị Hoa</w:t>
            </w:r>
            <w:r>
              <w:rPr>
                <w:b/>
                <w:bCs/>
                <w:color w:val="000000"/>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pPr>
            <w:r>
              <w:rPr>
                <w:rFonts w:ascii="Times New Roman" w:hAnsi="Times New Roman" w:eastAsia="Times New Roman" w:cs="Times New Roman"/>
                <w:color w:val="000000"/>
                <w:sz w:val="24"/>
              </w:rPr>
              <w:t xml:space="preserve">Khu Hạ 1, P.Tràng An, TX. Đông Triều, tỉnh Quảng Ninh (nay là phường Bình Khê, tỉnh Quảng Ninh)</w:t>
            </w:r>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726,2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left"/>
              <w:rPr>
                <w:rFonts w:ascii="Times New Roman" w:hAnsi="Times New Roman" w:eastAsia="Times New Roman" w:cs="Times New Roman"/>
                <w:color w:val="000000"/>
                <w:sz w:val="22"/>
                <w:szCs w:val="22"/>
              </w:rPr>
            </w:pPr>
            <w:r>
              <w:rPr>
                <w:color w:val="000000" w:themeColor="text1"/>
              </w:rPr>
              <w:t xml:space="preserve">-</w:t>
            </w:r>
            <w:r>
              <w:rPr>
                <w:rFonts w:ascii="Times New Roman" w:hAnsi="Times New Roman" w:eastAsia="Times New Roman" w:cs="Times New Roman"/>
                <w:color w:val="000000"/>
                <w:sz w:val="22"/>
              </w:rPr>
              <w:t xml:space="preserve">Đất ở tại đô thị (ODT): 150,0m²; </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ind/>
              <w:jc w:val="left"/>
              <w:rPr>
                <w:color w:val="000000"/>
              </w:rPr>
            </w:pPr>
            <w:r>
              <w:rPr>
                <w:rFonts w:ascii="Times New Roman" w:hAnsi="Times New Roman" w:eastAsia="Times New Roman" w:cs="Times New Roman"/>
                <w:color w:val="000000"/>
                <w:sz w:val="22"/>
              </w:rPr>
              <w:t xml:space="preserve">-Đất trồng cây lâu năm (CLN) 5</w:t>
            </w:r>
            <w:r>
              <w:rPr>
                <w:rFonts w:ascii="Times New Roman" w:hAnsi="Times New Roman" w:eastAsia="Times New Roman" w:cs="Times New Roman"/>
                <w:color w:val="000000"/>
                <w:sz w:val="22"/>
                <w:highlight w:val="white"/>
              </w:rPr>
              <w:t xml:space="preserve">7</w:t>
            </w:r>
            <w:r>
              <w:rPr>
                <w:rFonts w:ascii="Times New Roman" w:hAnsi="Times New Roman" w:eastAsia="Times New Roman" w:cs="Times New Roman"/>
                <w:color w:val="000000"/>
                <w:sz w:val="22"/>
                <w:highlight w:val="white"/>
              </w:rPr>
              <w:t xml:space="preserve">6,2m</w:t>
            </w:r>
            <w:r>
              <w:rPr>
                <w:rFonts w:ascii="Times New Roman" w:hAnsi="Times New Roman" w:eastAsia="Times New Roman" w:cs="Times New Roman"/>
                <w:color w:val="000000"/>
                <w:sz w:val="22"/>
                <w:highlight w:val="white"/>
              </w:rPr>
              <w:t xml:space="preserve">²</w:t>
            </w:r>
            <w:r>
              <w:rPr>
                <w:rFonts w:ascii="Times New Roman" w:hAnsi="Times New Roman" w:eastAsia="Times New Roman" w:cs="Times New Roman"/>
                <w:color w:val="000000"/>
                <w:sz w:val="22"/>
              </w:rPr>
              <w:t xml:space="preserve">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left"/>
              <w:rPr>
                <w:rFonts w:ascii="Times New Roman" w:hAnsi="Times New Roman" w:eastAsia="Times New Roman" w:cs="Times New Roman"/>
                <w:color w:val="000000"/>
                <w:sz w:val="22"/>
                <w:szCs w:val="22"/>
              </w:rPr>
            </w:pPr>
            <w:r>
              <w:rPr>
                <w:color w:val="000000" w:themeColor="text1"/>
              </w:rPr>
              <w:t xml:space="preserve">-</w:t>
            </w:r>
            <w:r>
              <w:rPr>
                <w:rFonts w:ascii="Times New Roman" w:hAnsi="Times New Roman" w:eastAsia="Times New Roman" w:cs="Times New Roman"/>
                <w:color w:val="000000"/>
                <w:sz w:val="22"/>
              </w:rPr>
              <w:t xml:space="preserve">Đất ở tại đô thị: Lâu dài; </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ind/>
              <w:jc w:val="left"/>
              <w:rPr>
                <w:color w:val="000000"/>
              </w:rPr>
            </w:pPr>
            <w:r>
              <w:rPr>
                <w:rFonts w:ascii="Times New Roman" w:hAnsi="Times New Roman" w:eastAsia="Times New Roman" w:cs="Times New Roman"/>
                <w:color w:val="000000"/>
                <w:sz w:val="22"/>
              </w:rPr>
              <w:t xml:space="preserve">-Đất trồng cây lâu năm: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Nhà nước giao có thu tiền sử dụng đất đối với đất ở tại đô thị; Công nhận QSDĐ như giao đất không thu tiền sử dụng đất đối với đất trồng cây lâu năm. </w:t>
            </w:r>
            <w:r>
              <w:rPr>
                <w:rFonts w:ascii="Times New Roman" w:hAnsi="Times New Roman" w:eastAsia="Times New Roman" w:cs="Times New Roman"/>
                <w:i/>
                <w:color w:val="000000"/>
                <w:sz w:val="24"/>
              </w:rPr>
              <w:t xml:space="preserve">(Nhận QSDĐ của bà Nguyễn Thị Hà Giang)</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rFonts w:ascii="Times New Roman" w:hAnsi="Times New Roman" w:eastAsia="Times New Roman" w:cs="Times New Roman"/>
                <w:color w:val="000000"/>
                <w:sz w:val="24"/>
                <w:szCs w:val="24"/>
              </w:rPr>
            </w:pPr>
            <w:r>
              <w:rPr>
                <w:color w:val="000000"/>
              </w:rPr>
            </w:r>
            <w:r>
              <w:rPr>
                <w:rFonts w:ascii="Times New Roman" w:hAnsi="Times New Roman" w:eastAsia="Times New Roman" w:cs="Times New Roman"/>
                <w:color w:val="000000"/>
                <w:sz w:val="24"/>
              </w:rPr>
              <w:t xml:space="preserve">+Số tờ, số thửa và sơ đồ điều chỉnh khi có bản đồ địa chính chính quy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jc w:val="both"/>
              <w:rPr>
                <w:color w:val="000000"/>
              </w:rPr>
            </w:pPr>
            <w:r>
              <w:rPr>
                <w:rFonts w:ascii="Times New Roman" w:hAnsi="Times New Roman" w:eastAsia="Times New Roman" w:cs="Times New Roman"/>
                <w:color w:val="000000"/>
                <w:sz w:val="24"/>
              </w:rPr>
              <w:t xml:space="preserve">+Cấp giấy chứng nhận theo đề nghị của phòng Tài nguyên và Môi trường huyện Thanh Oai tại tờ trình số 318/TTr-TNMT ngày 26/03/201/, theo hồ sơ số 28GCN.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phố Hà Lôi cách DT326 khoảng 190m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sz w:val="24"/>
              </w:rPr>
              <w:t xml:space="preserve">Hướng Tây Bắc: Tiếp giáp với đường </w:t>
              <w:b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(21.09586, 106.52936)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43a</w:t>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467994963" name="" descr=""/>
                              <pic:cNvPicPr/>
                              <pic:nvPr/>
                            </pic:nvPicPr>
                            <pic:blipFill rotWithShape="1">
                              <a:blip r:embed="rId18"/>
                              <a:stretch/>
                            </pic:blipFill>
                            <pic:spPr bwMode="auto">
                              <a:xfrm>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726,2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66,23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rFonts w:ascii="Times New Roman" w:hAnsi="Times New Roman" w:cs="Times New Roman"/>
                <w:color w:val="000000" w:themeColor="text1"/>
                <w:sz w:val="24"/>
                <w:szCs w:val="24"/>
              </w:rPr>
            </w:pPr>
            <w:r>
              <w:rPr>
                <w:color w:val="000000"/>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khảo sát, CTXD gắn liền với đất là một nhà hai tầng xây dựng năm 2021, diện tích sàn tầng 1 khoảng 100m², tầng 2 khoảng 120m² . CTXD tại thời điểm thẩm định chưa  được chứng nhận trên Giấy chứng nhận quyền sử dụng đất quyền sở hữu nhà ở v</w:t>
            </w:r>
            <w:r>
              <w:rPr>
                <w:rFonts w:ascii="Times New Roman" w:hAnsi="Times New Roman" w:eastAsia="Times New Roman" w:cs="Times New Roman"/>
                <w:color w:val="000000"/>
                <w:sz w:val="24"/>
              </w:rPr>
              <w:t xml:space="preserve">à tài sản khác gắn liền với đất số: CY 91279</w:t>
            </w:r>
            <w:r>
              <w:rPr>
                <w:rFonts w:ascii="Times New Roman" w:hAnsi="Times New Roman" w:eastAsia="Times New Roman" w:cs="Times New Roman"/>
                <w:color w:val="000000" w:themeColor="text1"/>
                <w:sz w:val="24"/>
                <w:szCs w:val="24"/>
              </w:rPr>
              <w:t xml:space="preserve">4</w:t>
            </w:r>
            <w:r>
              <w:rPr>
                <w:rFonts w:ascii="Times New Roman" w:hAnsi="Times New Roman" w:eastAsia="Times New Roman" w:cs="Times New Roman"/>
                <w:color w:val="000000" w:themeColor="text1"/>
                <w:spacing w:val="3"/>
                <w:sz w:val="24"/>
                <w:szCs w:val="24"/>
                <w:highlight w:val="none"/>
              </w:rPr>
              <w:t xml:space="preserve">. Tuy nhiên,</w:t>
            </w:r>
            <w:r>
              <w:rPr>
                <w:rFonts w:ascii="Times New Roman" w:hAnsi="Times New Roman" w:eastAsia="Times New Roman" w:cs="Times New Roman"/>
                <w:color w:val="000000" w:themeColor="text1"/>
                <w:spacing w:val="3"/>
                <w:sz w:val="24"/>
                <w:szCs w:val="24"/>
                <w:highlight w:val="white"/>
              </w:rPr>
              <w:t xml:space="preserve"> theo đề nghị của khách hàng/ ngân hàng, Tổ thẩm định có xác định giá trị công trình hiện có trên đất</w:t>
            </w:r>
            <w:r>
              <w:rPr>
                <w:rFonts w:ascii="Times New Roman" w:hAnsi="Times New Roman" w:eastAsia="Times New Roman" w:cs="Times New Roman"/>
                <w:color w:val="000000" w:themeColor="text1"/>
                <w:sz w:val="24"/>
                <w:szCs w:val="24"/>
              </w:rPr>
              <w:t xml:space="preserve">. Kính đề nghị đơn vị sử dụng kết quả lưu ý.</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r>
      <w:r>
        <w:rPr>
          <w:b/>
          <w:bCs/>
          <w:lang w:val="pt-BR"/>
        </w:rPr>
        <w:t xml:space="preserve">VII. CÁCH TIẾP CẬN, PHƯƠNG PHÁP THẨM ĐỊNH GIÁ</w:t>
      </w:r>
      <w:r>
        <w:rPr>
          <w:lang w:val="pt-BR"/>
        </w:rPr>
      </w:r>
      <w:r>
        <w:rPr>
          <w:lang w:val="pt-BR"/>
        </w:rPr>
      </w:r>
    </w:p>
    <w:p>
      <w:pPr>
        <w:pStyle w:val="104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7"/>
        <w:numPr>
          <w:ilvl w:val="0"/>
          <w:numId w:val="43"/>
        </w:numPr>
        <w:pBdr/>
        <w:spacing w:after="60" w:before="60" w:line="276" w:lineRule="auto"/>
        <w:ind/>
        <w:jc w:val="both"/>
        <w:rPr>
          <w:strike w:val="0"/>
          <w:highlight w:val="white"/>
        </w:rPr>
      </w:pPr>
      <w:r>
        <w:rPr>
          <w:i/>
          <w:iCs/>
          <w:strike w:val="0"/>
          <w:highlight w:val="white"/>
          <w:lang w:val="vi-VN"/>
        </w:rPr>
        <w:t xml:space="preserve">Cách tiếp cận từ chi phí</w:t>
      </w:r>
      <w:r>
        <w:rPr>
          <w:i/>
          <w:iCs/>
          <w:strike w:val="0"/>
          <w:highlight w:val="white"/>
        </w:rPr>
        <w:t xml:space="preserve">:</w:t>
      </w:r>
      <w:r>
        <w:rPr>
          <w:i/>
          <w:iCs/>
          <w:strike w:val="0"/>
          <w:highlight w:val="white"/>
          <w:lang w:val="vi-VN"/>
        </w:rPr>
        <w:t xml:space="preserve"> </w:t>
      </w:r>
      <w:r>
        <w:rPr>
          <w:strike w:val="0"/>
          <w:highlight w:val="white"/>
        </w:rPr>
        <w:t xml:space="preserve">L</w:t>
      </w:r>
      <w:r>
        <w:rPr>
          <w:strike w:val="0"/>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w:t>
      </w:r>
      <w:r>
        <w:rPr>
          <w:strike w:val="0"/>
          <w:highlight w:val="white"/>
          <w:lang w:val="vi-VN"/>
        </w:rPr>
        <w:t xml:space="preserve">và hao mòn của tài sản thẩm định giá</w:t>
      </w:r>
      <w:r>
        <w:rPr>
          <w:strike w:val="0"/>
          <w:highlight w:val="white"/>
          <w:lang w:val="pt-BR"/>
        </w:rPr>
        <w:t xml:space="preserve">.</w:t>
      </w:r>
      <w:r>
        <w:rPr>
          <w:strike w:val="0"/>
          <w:highlight w:val="white"/>
        </w:rPr>
      </w:r>
      <w:r>
        <w:rPr>
          <w:strike w:val="0"/>
          <w:highlight w:val="white"/>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r>
        <w:rPr>
          <w:strike w:val="0"/>
          <w:highlight w:val="white"/>
          <w:lang w:val="pt-BR"/>
        </w:rPr>
      </w:r>
      <w:r>
        <w:rPr>
          <w:strike w:val="0"/>
          <w:highlight w:val="white"/>
        </w:rPr>
      </w:r>
      <w:r>
        <w:rPr>
          <w:rFonts w:ascii="Times New Roman" w:hAnsi="Times New Roman" w:eastAsia="Times New Roman" w:cs="Times New Roman"/>
          <w:sz w:val="24"/>
        </w:rPr>
      </w:r>
    </w:p>
    <w:p>
      <w:pPr>
        <w:pStyle w:val="104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7"/>
        <w:numPr>
          <w:ilvl w:val="0"/>
          <w:numId w:val="47"/>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r>
        <w:rPr>
          <w:spacing w:val="-4"/>
          <w:highlight w:val="white"/>
          <w:lang w:val="pt-BR" w:bidi="pt-BR"/>
        </w:rPr>
      </w:r>
      <w:r>
        <w:rPr>
          <w:spacing w:val="-4"/>
          <w:highlight w:val="white"/>
        </w:rPr>
      </w:r>
      <w:r>
        <w:rPr>
          <w:lang w:val="de-DE"/>
        </w:rPr>
      </w:r>
    </w:p>
    <w:p>
      <w:pPr>
        <w:pStyle w:val="104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r>
        <w:rPr>
          <w:b/>
          <w:highlight w:val="none"/>
          <w:lang w:val="nl-NL" w:bidi="nl-NL"/>
        </w:rPr>
      </w:r>
      <w:r>
        <w:rPr>
          <w:b/>
          <w:bCs/>
          <w:lang w:val="nl-NL"/>
        </w:rPr>
      </w:r>
      <w:r>
        <w:rPr>
          <w:b/>
          <w:bCs/>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Tràng An, Huyện Đông Triều, Tỉnh Quảng Ninh </w:t>
            </w:r>
            <w:r>
              <w:rPr>
                <w:color w:val="000000" w:themeColor="text1"/>
                <w:sz w:val="22"/>
                <w:szCs w:val="22"/>
              </w:rPr>
              <w:t xml:space="preserve">(nay là phường Bình Khê,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Đức Chính, Huyện Đông Triều, Tỉnh Quảng Ninh (nay là phường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Đức Chính, Huyện Đông Triều, Tỉnh Quảng Ninh </w:t>
            </w:r>
            <w:r>
              <w:rPr>
                <w:color w:val="000000" w:themeColor="text1"/>
                <w:sz w:val="22"/>
                <w:szCs w:val="22"/>
              </w:rPr>
              <w:t xml:space="preserve">(nay là phường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Tràng An, Huyện Đông Triều, Tỉnh Quảng Ninh (nay là phường Bình Khê,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https://batdongsan.com.vn/ban-dat-duong-quoc-lo-18-phuong-duc-chinh/ban-dong-trieu-gia-tot-phan-vi-tri-dep-yen-lam-3-dong-trieu-quang-ninh-pr44469802?utm_source=chatgpt.com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0976934572</w:t>
            </w:r>
            <w:r>
              <w:rPr>
                <w:sz w:val="22"/>
                <w:szCs w:val="22"/>
              </w:rPr>
              <w:t xml:space="preserve"> </w:t>
            </w:r>
            <w:r>
              <w:rPr>
                <w:sz w:val="22"/>
                <w:szCs w:val="22"/>
              </w:rPr>
              <w:br/>
              <w:t xml:space="preserve">(</w:t>
            </w:r>
            <w:r>
              <w:rPr>
                <w:sz w:val="22"/>
                <w:szCs w:val="22"/>
              </w:rPr>
              <w:t xml:space="preserve">chị 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0964.093.868</w:t>
            </w:r>
            <w:r>
              <w:rPr>
                <w:sz w:val="22"/>
                <w:szCs w:val="22"/>
              </w:rPr>
              <w:br/>
            </w:r>
            <w:r>
              <w:rPr>
                <w:sz w:val="22"/>
                <w:szCs w:val="22"/>
              </w:rPr>
              <w:t xml:space="preserve">(</w:t>
            </w:r>
            <w:r>
              <w:rPr>
                <w:sz w:val="22"/>
                <w:szCs w:val="22"/>
              </w:rPr>
              <w:t xml:space="preserve">anh 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0964093868</w:t>
            </w:r>
            <w:r>
              <w:rPr>
                <w:sz w:val="22"/>
                <w:szCs w:val="22"/>
              </w:rPr>
              <w:br/>
            </w:r>
            <w:r>
              <w:rPr>
                <w:sz w:val="22"/>
                <w:szCs w:val="22"/>
              </w:rPr>
              <w:t xml:space="preserve">(</w:t>
            </w:r>
            <w:r>
              <w:rPr>
                <w:sz w:val="22"/>
                <w:szCs w:val="22"/>
              </w:rPr>
              <w:t xml:space="preserve">anh 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(150 m²), Đất trồng cây lâu năm (576,2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(97,4 </w:t>
            </w:r>
            <w:r>
              <w:rPr>
                <w:color w:val="000000" w:themeColor="text1"/>
                <w:sz w:val="22"/>
                <w:szCs w:val="22"/>
              </w:rPr>
              <w:t xml:space="preserve">m²</w:t>
            </w:r>
            <w:r>
              <w:rPr>
                <w:color w:val="000000" w:themeColor="text1"/>
                <w:sz w:val="22"/>
                <w:szCs w:val="22"/>
              </w:rPr>
              <w:t xml:space="preserve">),Đất trồng cây lâu năm (62,2 </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đô thị: Lâu dài; Đất trồng cây lâu năm: đến ngày 15/10/2043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đô thị: Lâu dài; Đất trồng cây lâu năm: đến ngày 14/10/2043</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Tràng An, Huyện Đông Triều, Tỉnh Quảng Ninh </w:t>
            </w:r>
            <w:r>
              <w:rPr>
                <w:color w:val="000000" w:themeColor="text1"/>
                <w:sz w:val="22"/>
                <w:szCs w:val="22"/>
              </w:rPr>
              <w:t xml:space="preserve">(nay là phường Bình Khê, tỉnh Quảng Ninh)</w:t>
            </w:r>
            <w:r>
              <w:rPr>
                <w:sz w:val="22"/>
                <w:szCs w:val="22"/>
              </w:rPr>
            </w:r>
            <w:r>
              <w:rPr>
                <w:sz w:val="22"/>
                <w:szCs w:val="22"/>
              </w:rPr>
            </w:r>
          </w:p>
          <w:p>
            <w:pPr>
              <w:pBdr/>
              <w:spacing/>
              <w:ind/>
              <w:jc w:val="center"/>
              <w:rPr>
                <w:color w:val="000000"/>
                <w:sz w:val="22"/>
                <w:szCs w:val="22"/>
              </w:rPr>
            </w:pPr>
            <w:r>
              <w:rPr>
                <w:color w:val="000000" w:themeColor="text1"/>
                <w:sz w:val="22"/>
                <w:szCs w:val="22"/>
              </w:rPr>
              <w:t xml:space="preserve">, </w:t>
            </w:r>
            <w:r>
              <w:rPr>
                <w:rFonts w:ascii="Times New Roman" w:hAnsi="Times New Roman" w:eastAsia="Times New Roman" w:cs="Times New Roman"/>
                <w:color w:val="000000"/>
                <w:sz w:val="24"/>
              </w:rPr>
              <w:t xml:space="preserve">cách DT326 khoảng 190m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Đức Chính, Huyện Đông Triều, Tỉnh Quảng Ninh (nay là phường Đông Triều, tỉnh Quảng Ninh)</w:t>
            </w:r>
            <w:r>
              <w:rPr>
                <w:sz w:val="22"/>
                <w:szCs w:val="22"/>
              </w:rPr>
            </w:r>
            <w:r>
              <w:rPr>
                <w:sz w:val="22"/>
                <w:szCs w:val="22"/>
              </w:rPr>
            </w:r>
          </w:p>
          <w:p>
            <w:pPr>
              <w:pBdr/>
              <w:spacing/>
              <w:ind/>
              <w:jc w:val="left"/>
              <w:rPr>
                <w:color w:val="000000" w:themeColor="text1"/>
                <w:sz w:val="22"/>
                <w:szCs w:val="22"/>
                <w:highlight w:val="none"/>
              </w:rPr>
            </w:pPr>
            <w:r>
              <w:rPr>
                <w:color w:val="000000" w:themeColor="text1"/>
                <w:sz w:val="22"/>
                <w:szCs w:val="22"/>
              </w:rPr>
              <w:t xml:space="preserve">, cách </w:t>
            </w:r>
            <w:r>
              <w:rPr>
                <w:rFonts w:ascii="Times New Roman" w:hAnsi="Times New Roman" w:eastAsia="Times New Roman" w:cs="Times New Roman"/>
                <w:color w:val="000000"/>
                <w:sz w:val="24"/>
              </w:rPr>
              <w:t xml:space="preserve">DT326 khoảng</w:t>
            </w:r>
            <w:r>
              <w:rPr>
                <w:color w:val="000000" w:themeColor="text1"/>
                <w:sz w:val="22"/>
                <w:szCs w:val="22"/>
              </w:rPr>
              <w:t xml:space="preserve"> 200m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Đức Chính, Huyện Đông Triều, Tỉnh Quảng Ninh </w:t>
            </w:r>
            <w:r>
              <w:rPr>
                <w:color w:val="000000" w:themeColor="text1"/>
                <w:sz w:val="22"/>
                <w:szCs w:val="22"/>
              </w:rPr>
              <w:t xml:space="preserve">(nay là phường Đông Triều, tỉnh Quảng Ninh)</w:t>
            </w:r>
            <w:r>
              <w:rPr>
                <w:color w:val="000000" w:themeColor="text1"/>
                <w:sz w:val="22"/>
                <w:szCs w:val="22"/>
              </w:rPr>
              <w:t xml:space="preserve">,  cách đường Trần Nhân Tông khoảng 200m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Tài sản tại:</w:t>
            </w:r>
            <w:r>
              <w:rPr>
                <w:color w:val="000000" w:themeColor="text1"/>
                <w:sz w:val="22"/>
                <w:szCs w:val="22"/>
              </w:rPr>
              <w:t xml:space="preserve">Xã Tràng An, Huyện Đông Triều, Tỉnh Quảng Ninh (nay là phường Bình Khê, tỉnh Quảng Ninh)</w:t>
            </w:r>
            <w:r>
              <w:rPr>
                <w:color w:val="000000" w:themeColor="text1"/>
                <w:sz w:val="22"/>
                <w:szCs w:val="22"/>
                <w:highlight w:val="none"/>
              </w:rPr>
            </w:r>
            <w:r>
              <w:rPr>
                <w:color w:val="000000" w:themeColor="text1"/>
                <w:sz w:val="22"/>
                <w:szCs w:val="22"/>
                <w:highlight w:val="none"/>
              </w:rPr>
            </w:r>
          </w:p>
          <w:p>
            <w:pPr>
              <w:pBdr/>
              <w:spacing/>
              <w:ind/>
              <w:jc w:val="center"/>
              <w:rPr>
                <w:sz w:val="22"/>
                <w:szCs w:val="22"/>
              </w:rPr>
            </w:pPr>
            <w:r>
              <w:rPr>
                <w:color w:val="000000" w:themeColor="text1"/>
                <w:sz w:val="22"/>
                <w:szCs w:val="22"/>
                <w:highlight w:val="none"/>
              </w:rPr>
              <w:t xml:space="preserve">tiếp giáp DT326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1.575.000.000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13.043.478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11.165.414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11.666.667</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Tỷ lệ đất ở/tổng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1.782.000.000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1.575.000.000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13.043.478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11.165.414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11.666.667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13.043.478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11.165.414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Tỷ lệ đất ở/tổng 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20,66%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61,03%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-2.333.333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10.434.782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9.333.334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14/10/2043, 17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14/10/2043, 17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10.434.782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9.333.334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Tràng An, Huyện Đông Triều, Tỉnh Quảng Ninh (nay là phường Bình Khê, tỉnh Quảng Ninh)</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4"/>
              </w:rPr>
              <w:t xml:space="preserve">cách DT326 khoảng 190m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Đức Chính, Huyện Đông Triều, Tỉnh Quảng Ninh (nay là phường Đông Triều, tỉnh Quảng Ninh)</w:t>
            </w:r>
            <w:r>
              <w:rPr>
                <w:rFonts w:ascii="Times New Roman" w:hAnsi="Times New Roman" w:eastAsia="Times New Roman" w:cs="Times New Roman"/>
                <w:color w:val="000000"/>
                <w:sz w:val="22"/>
              </w:rPr>
              <w:t xml:space="preserve">, cách </w:t>
            </w:r>
            <w:r>
              <w:rPr>
                <w:rFonts w:ascii="Times New Roman" w:hAnsi="Times New Roman" w:eastAsia="Times New Roman" w:cs="Times New Roman"/>
                <w:color w:val="000000"/>
                <w:sz w:val="24"/>
              </w:rPr>
              <w:t xml:space="preserve">DT326 khoảng</w:t>
            </w:r>
            <w:r>
              <w:rPr>
                <w:rFonts w:ascii="Times New Roman" w:hAnsi="Times New Roman" w:eastAsia="Times New Roman" w:cs="Times New Roman"/>
                <w:color w:val="000000"/>
                <w:sz w:val="22"/>
              </w:rPr>
              <w:t xml:space="preserve"> 200m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Đức Chính, Huyện Đông Triều, Tỉnh Quảng Ninh (nay là phường Đông Triều, tỉnh Quảng Ninh),  cách đường Trần Nhân Tông khoảng 200m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tại:Xã Tràng An, Huyện Đông Triều, Tỉnh Quảng Ninh (nay là phường Bình Khê, tỉnh Quảng Ninh)</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tiếp giáp DT326</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-583.333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10.434.782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8.750.001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652.174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11.086.956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10.048.873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8.750.001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8,26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782.609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334.962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11.869.565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10.383.835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8.400.001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726,2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345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159,6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135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-2.347.826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-2.456.391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-2.800.000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9.521.739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7.927.444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5.600.001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6,83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-652.174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781.579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8.869.565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8.709.023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7.000.001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66,23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23,37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-1.565.217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-1.339.850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highlight w:val="white"/>
              </w:rPr>
              <w:t xml:space="preserve">816.667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7.304.348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7.369.173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6.183.334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7.304.348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7.369.173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6.183.334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-652.174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-583.333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6.652.174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7.369.173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5.600.001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6.652.174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7.369.173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5.600.001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6.540.449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9.913.044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6.140.977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8.399.999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7.043.478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3.684.587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5.599.999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1,71% </w:t>
      </w:r>
      <w:r>
        <w:t xml:space="preserve">đến</w:t>
      </w:r>
      <w:r>
        <w:rPr>
          <w:highlight w:val="white"/>
        </w:rPr>
      </w:r>
      <w:r>
        <w:rPr>
          <w:highlight w:val="white"/>
        </w:rPr>
        <w:t xml:space="preserve"> </w:t>
      </w:r>
      <w:r>
        <w:rPr>
          <w:highlight w:val="white"/>
        </w:rPr>
        <w:t xml:space="preserve">14,38</w:t>
      </w:r>
      <w:r>
        <w:rPr>
          <w:highlight w:val="white"/>
        </w:rPr>
        <w:t xml:space="preserve">%,</w:t>
      </w:r>
      <w:r>
        <w:rPr>
          <w:highlight w:val="white"/>
        </w:rPr>
        <w:t xml:space="preserve"> </w:t>
      </w:r>
      <w:r>
        <w:rPr>
          <w:highlight w:val="white"/>
        </w:rPr>
        <w:t xml:space="preserve">đ</w:t>
      </w:r>
      <w:r>
        <w:t xml:space="preserve">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Tài</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dẫn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TSSS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Trọng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TSSS </w:t>
            </w:r>
            <w:r>
              <w:rPr>
                <w:rFonts w:ascii="Times New Roman" w:hAnsi="Times New Roman" w:eastAsia="Times New Roman" w:cs="Times New Roman"/>
                <w:b/>
                <w:bCs/>
                <w:color w:val="000000" w:themeColor="text1"/>
                <w:sz w:val="22"/>
                <w:szCs w:val="22"/>
              </w:rPr>
              <w:t xml:space="preserve">sau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trung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bình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mức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dẫn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sau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6.652.174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33,34</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2.217.835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7.369.173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2.456.145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5.600.001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1.866.480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bình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quân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theo</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trọng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r>
            <w:r>
              <w:rPr>
                <w:rFonts w:ascii="Times New Roman" w:hAnsi="Times New Roman" w:eastAsia="Times New Roman" w:cs="Times New Roman"/>
                <w:b/>
                <w:bCs/>
                <w:color w:val="000000" w:themeColor="text1"/>
                <w:sz w:val="22"/>
                <w:szCs w:val="22"/>
                <w:highlight w:val="white"/>
              </w:rPr>
              <w:t xml:space="preserve">6.540.461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Làm</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tròn</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t xml:space="preserve">6.500.000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6.500.000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pPr>
        <w:pStyle w:val="1047"/>
        <w:numPr>
          <w:ilvl w:val="0"/>
          <w:numId w:val="26"/>
        </w:numPr>
        <w:pBdr/>
        <w:spacing w:after="120" w:before="120" w:line="276" w:lineRule="auto"/>
        <w:ind w:hanging="357" w:left="357"/>
        <w:jc w:val="both"/>
        <w:rPr>
          <w:b/>
          <w:bCs/>
        </w:rPr>
      </w:pPr>
      <w:r>
        <w:rPr>
          <w:b/>
          <w:bCs/>
        </w:rPr>
      </w:r>
      <w:r>
        <w:rPr>
          <w:rFonts w:ascii="Times New Roman" w:hAnsi="Times New Roman" w:eastAsia="Times New Roman" w:cs="Times New Roman"/>
          <w:b/>
          <w:color w:val="000000"/>
          <w:sz w:val="24"/>
        </w:rPr>
        <w:t xml:space="preserve">Xác định đơn giá đất ở và đất trồng cây lâu năm:</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Khu vực tài sản </w:t>
      </w:r>
      <w:r>
        <w:rPr>
          <w:rFonts w:ascii="Times New Roman" w:hAnsi="Times New Roman" w:eastAsia="Times New Roman" w:cs="Times New Roman"/>
          <w:color w:val="000000"/>
          <w:sz w:val="24"/>
        </w:rPr>
        <w:t xml:space="preserve">thẩm định tọa lạc hạn chế giao dịch đất trồng cây lâu năm và đất ở riêng biệt mà hầu như chỉ có các giao dịch đất hỗn hợp và đất ở đô thị,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sz w:val="24"/>
        </w:rPr>
        <w:t xml:space="preserve">ệ giữa giá đất trồng cây lâu năm với đất ở theo bảng giá UBND.</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Vận dụng Nghị quyế</w:t>
      </w:r>
      <w:r>
        <w:rPr>
          <w:rFonts w:ascii="Times New Roman" w:hAnsi="Times New Roman" w:eastAsia="Times New Roman" w:cs="Times New Roman"/>
          <w:color w:val="000000"/>
          <w:sz w:val="24"/>
          <w:szCs w:val="24"/>
        </w:rPr>
        <w:t xml:space="preserve">t số </w:t>
      </w:r>
      <w:r>
        <w:rPr>
          <w:rFonts w:ascii="Times New Roman" w:hAnsi="Times New Roman" w:eastAsia="Times New Roman" w:cs="Times New Roman"/>
          <w:color w:val="000000"/>
          <w:sz w:val="24"/>
          <w:szCs w:val="24"/>
          <w:highlight w:val="white"/>
        </w:rPr>
        <w:t xml:space="preserve">100/2025/NQ-HĐND</w:t>
      </w:r>
      <w:r>
        <w:rPr>
          <w:rFonts w:ascii="Times New Roman" w:hAnsi="Times New Roman" w:eastAsia="Times New Roman" w:cs="Times New Roman"/>
          <w:color w:val="000000"/>
          <w:sz w:val="24"/>
          <w:szCs w:val="24"/>
        </w:rPr>
        <w:t xml:space="preserve">, n</w:t>
      </w:r>
      <w:r>
        <w:rPr>
          <w:rFonts w:ascii="Times New Roman" w:hAnsi="Times New Roman" w:eastAsia="Times New Roman" w:cs="Times New Roman"/>
          <w:color w:val="000000"/>
          <w:sz w:val="24"/>
        </w:rPr>
        <w:t xml:space="preserve">gày 16/12/2025 của UBND tỉnh Quảng Ninh về việc quy định giá các loại đất trên địa bàn tỉnh Quảng Ninh thực hiện từ ngày 1/1/2026</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ở tại trục đường 186 (DT326): Đoạn từ vòng xuyến</w:t>
      </w:r>
      <w:r>
        <w:rPr>
          <w:rFonts w:ascii="Times New Roman" w:hAnsi="Times New Roman" w:eastAsia="Times New Roman" w:cs="Times New Roman"/>
          <w:color w:val="000000"/>
          <w:sz w:val="24"/>
        </w:rPr>
        <w:t xml:space="preserve"> ngã 6 QL18A đến giáp phường Bình Khê vị trí 2 có đơn giá là: </w:t>
      </w:r>
      <w:r>
        <w:rPr>
          <w:rFonts w:ascii="Times New Roman" w:hAnsi="Times New Roman" w:eastAsia="Times New Roman" w:cs="Times New Roman"/>
          <w:b/>
          <w:color w:val="000000"/>
          <w:sz w:val="24"/>
        </w:rPr>
        <w:t xml:space="preserve">3.300.000 đồng</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lâu năm tại Vùng đồng bằng: Thị trấn Đông Triều: </w:t>
      </w:r>
      <w:r>
        <w:rPr>
          <w:rFonts w:ascii="Times New Roman" w:hAnsi="Times New Roman" w:eastAsia="Times New Roman" w:cs="Times New Roman"/>
          <w:b/>
          <w:color w:val="000000"/>
          <w:sz w:val="24"/>
        </w:rPr>
        <w:t xml:space="preserve">52.000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150*X + 576,2*Y = 6.500.000 * 726,2</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150*X + 576,2*Y = 4.720.300.000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3.300.000 - 52.000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3.248.000 </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9.077.110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5.829.110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sz w:val="24"/>
        </w:rPr>
      </w:r>
      <w:r/>
    </w:p>
    <w:p>
      <w:pPr>
        <w:pStyle w:val="1047"/>
        <w:numPr>
          <w:ilvl w:val="0"/>
          <w:numId w:val="44"/>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2 tầng, cân nhắc và xem xét với mức độ hoàn thiện của công trình xây dựng hiện có, tổ thẩm định nhận thấy đơn giá vận dụng theo Quyết định 409/QĐ-BXD năm 2025 công bố suất vốn đầu tư xây d</w:t>
      </w:r>
      <w:r>
        <w:rPr>
          <w:rFonts w:ascii="Times New Roman" w:hAnsi="Times New Roman" w:eastAsia="Times New Roman" w:cs="Times New Roman"/>
          <w:color w:val="000000"/>
          <w:sz w:val="24"/>
        </w:rPr>
        <w:t xml:space="preserve">ựng và giá xây dựng tổng hợp bộ phận kết cấu công trình 2024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Nhà từ 2 đến 3 tầng, kết cấu khung chịu lực BTCT; tường bao xây gạch; sàn, mái BTCT đổ tại chỗ không có tầng hầm có đơn giá là 8.225.000 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vốn đầu tư: tỉnh Quảng Ninh thuộc vùng 2 có hệ số điều chỉnh </w:t>
      </w:r>
      <w:r>
        <w:rPr>
          <w:rFonts w:ascii="Times New Roman" w:hAnsi="Times New Roman" w:eastAsia="Times New Roman" w:cs="Times New Roman"/>
          <w:i/>
          <w:iCs/>
          <w:color w:val="000000" w:themeColor="text1"/>
          <w:sz w:val="24"/>
          <w:szCs w:val="24"/>
        </w:rPr>
        <w:t xml:space="preserve">là </w:t>
      </w:r>
      <w:r>
        <w:rPr>
          <w:rFonts w:ascii="Times New Roman" w:hAnsi="Times New Roman" w:eastAsia="Times New Roman" w:cs="Times New Roman"/>
          <w:i/>
          <w:iCs/>
          <w:color w:val="000000" w:themeColor="text1"/>
          <w:sz w:val="24"/>
          <w:szCs w:val="24"/>
          <w:highlight w:val="white"/>
        </w:rPr>
        <w:t xml:space="preserve">0,948</w:t>
      </w:r>
      <w:r>
        <w:rPr>
          <w:rFonts w:ascii="Times New Roman" w:hAnsi="Times New Roman" w:eastAsia="Times New Roman" w:cs="Times New Roman"/>
          <w:i/>
          <w:iCs/>
          <w:color w:val="000000" w:themeColor="text1"/>
          <w:sz w:val="24"/>
          <w:szCs w:val="24"/>
        </w:rPr>
        <w:t xml:space="preserve">.”</w:t>
      </w:r>
      <w:r>
        <w:rPr>
          <w:rFonts w:ascii="Times New Roman" w:hAnsi="Times New Roman" w:eastAsia="Times New Roman" w:cs="Times New Roman"/>
          <w:i/>
          <w:color w:val="000000"/>
          <w:sz w:val="24"/>
        </w:rPr>
        <w:tab/>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Tổ thẩm định xác định đơn giá xây mới của công trình xây dựng chưa bao gồm VAT hoàn thiện cơ bản là: (suất vốn đầu tư) x (Hệ số vùng)/1,1 = 8.225.000 x 0,948/1,1= 7.797.300đồng/m² sàn. </w:t>
      </w:r>
      <w:r/>
    </w:p>
    <w:p>
      <w:pPr>
        <w:numPr>
          <w:ilvl w:val="0"/>
          <w:numId w:val="40"/>
        </w:numPr>
        <w:pBdr>
          <w:top w:val="none" w:color="000000" w:sz="4" w:space="0"/>
          <w:left w:val="none" w:color="000000" w:sz="4" w:space="0"/>
          <w:bottom w:val="none" w:color="000000" w:sz="4" w:space="0"/>
          <w:right w:val="none" w:color="000000" w:sz="4" w:space="0"/>
        </w:pBdr>
        <w:spacing w:after="120" w:before="120" w:line="340" w:lineRule="atLeast"/>
        <w:ind/>
        <w:jc w:val="both"/>
        <w:rPr/>
      </w:pPr>
      <w:r>
        <w:rPr>
          <w:rFonts w:ascii="Times New Roman" w:hAnsi="Times New Roman" w:eastAsia="Times New Roman" w:cs="Times New Roman"/>
          <w:b/>
          <w:color w:val="000000"/>
          <w:sz w:val="24"/>
        </w:rPr>
        <w:t xml:space="preserve">Xác định chất lượng còn lại của công trình xây dựng trên đất:</w:t>
      </w:r>
      <w:r/>
    </w:p>
    <w:p>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64" w:lineRule="auto"/>
        <w:ind w:right="0" w:firstLine="502" w:left="0"/>
        <w:rPr/>
      </w:pPr>
      <w:r>
        <w:rPr>
          <w:rFonts w:ascii="Times New Roman" w:hAnsi="Times New Roman" w:eastAsia="Times New Roman" w:cs="Times New Roman"/>
          <w:color w:val="000000"/>
          <w:sz w:val="24"/>
        </w:rPr>
        <w:t xml:space="preserve">Công thức tính như sau:</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51"/>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line="360" w:lineRule="auto"/>
        <w:ind w:firstLine="0" w:left="0"/>
        <w:jc w:val="both"/>
        <w:rPr/>
      </w:pPr>
      <w:r>
        <w:rPr>
          <w:rFonts w:ascii="Times New Roman" w:hAnsi="Times New Roman" w:eastAsia="Times New Roman" w:cs="Times New Roman"/>
          <w:color w:val="000000"/>
          <w:sz w:val="24"/>
        </w:rPr>
        <w:t xml:space="preserve">Tổ thẩm định xác định chất lượng còn lại của công trình theo phương pháp tổng cộng:</w:t>
      </w: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8"/>
        <w:gridCol w:w="2308"/>
        <w:gridCol w:w="1862"/>
        <w:gridCol w:w="2080"/>
        <w:gridCol w:w="2080"/>
      </w:tblGrid>
      <w:tr>
        <w:trPr>
          <w:trHeight w:val="93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84%</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3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18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85%</w:t>
            </w: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 thẩm định xác định Tỷ lệ chất lượng còn lại của công trình xây dựng là: 85%</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1"/>
        </w:numPr>
        <w:pBdr>
          <w:top w:val="none" w:color="000000" w:sz="4" w:space="0"/>
          <w:left w:val="none" w:color="000000" w:sz="4" w:space="0"/>
          <w:bottom w:val="none" w:color="000000" w:sz="4" w:space="0"/>
          <w:right w:val="none" w:color="000000" w:sz="4" w:space="0"/>
        </w:pBdr>
        <w:spacing w:after="120" w:before="120" w:line="340" w:lineRule="atLeast"/>
        <w:ind/>
        <w:jc w:val="both"/>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t xml:space="preserve">Xác định giá trị tài sản gắn liền với đất</w:t>
      </w:r>
      <w:r>
        <w:rPr>
          <w:b w:val="0"/>
          <w:bCs w:val="0"/>
        </w:rPr>
      </w:r>
      <w:r/>
    </w:p>
    <w:p>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w:t>
      </w:r>
      <w:r>
        <w:rPr>
          <w:rFonts w:ascii="Times New Roman" w:hAnsi="Times New Roman" w:eastAsia="Times New Roman" w:cs="Times New Roman"/>
          <w:b/>
          <w:i/>
          <w:color w:val="000000"/>
          <w:sz w:val="24"/>
        </w:rPr>
        <w:t xml:space="preserve"> - Tổng giá trị hao mòn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w:t>
      </w:r>
      <w:r>
        <w:rPr>
          <w:rFonts w:ascii="Times New Roman" w:hAnsi="Times New Roman" w:eastAsia="Times New Roman" w:cs="Times New Roman"/>
          <w:b/>
          <w:i/>
          <w:color w:val="000000"/>
          <w:sz w:val="24"/>
        </w:rPr>
        <w:t xml:space="preserve"> x (1- tỷ lệ hao mòn)</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                      = Chi phí thay thế</w:t>
      </w:r>
      <w:r>
        <w:rPr>
          <w:rFonts w:ascii="Times New Roman" w:hAnsi="Times New Roman" w:eastAsia="Times New Roman" w:cs="Times New Roman"/>
          <w:b/>
          <w:i/>
          <w:color w:val="000000"/>
          <w:sz w:val="24"/>
        </w:rPr>
        <w:t xml:space="preserve"> x Tỷ lệ chất lượng còn lại</w:t>
      </w:r>
      <w:r>
        <w:rPr>
          <w:rFonts w:ascii="Times New Roman" w:hAnsi="Times New Roman" w:eastAsia="Times New Roman" w:cs="Times New Roman"/>
          <w:b/>
          <w:bCs/>
          <w:i/>
          <w:color w:val="000000"/>
          <w:sz w:val="24"/>
          <w:szCs w:val="24"/>
          <w:highlight w:val="none"/>
        </w:rPr>
      </w:r>
      <w:r>
        <w:rPr>
          <w:rFonts w:ascii="Times New Roman" w:hAnsi="Times New Roman" w:eastAsia="Times New Roman" w:cs="Times New Roman"/>
          <w:b/>
          <w:bCs/>
          <w:i/>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b/>
          <w:i/>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9"/>
        <w:gridCol w:w="1577"/>
        <w:gridCol w:w="1588"/>
        <w:gridCol w:w="1592"/>
        <w:gridCol w:w="1618"/>
        <w:gridCol w:w="1592"/>
      </w:tblGrid>
      <w:tr>
        <w:trPr>
          <w:trHeight w:val="624"/>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5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công trình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5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 (m²)</w:t>
            </w:r>
            <w:r/>
          </w:p>
        </w:tc>
        <w:tc>
          <w:tcPr>
            <w:tcBorders>
              <w:top w:val="single" w:color="000000" w:sz="5" w:space="0"/>
              <w:bottom w:val="single" w:color="000000" w:sz="5" w:space="0"/>
              <w:right w:val="single" w:color="000000" w:sz="5" w:space="0"/>
            </w:tcBorders>
            <w:tcMar>
              <w:left w:w="0" w:type="dxa"/>
              <w:top w:w="0" w:type="dxa"/>
              <w:right w:w="0" w:type="dxa"/>
              <w:bottom w:w="0" w:type="dxa"/>
            </w:tcMar>
            <w:tcW w:w="15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mới (Đồng/m²)</w:t>
            </w:r>
            <w:r/>
          </w:p>
        </w:tc>
        <w:tc>
          <w:tcPr>
            <w:tcBorders>
              <w:top w:val="single" w:color="000000" w:sz="5" w:space="0"/>
              <w:bottom w:val="single" w:color="000000" w:sz="5" w:space="0"/>
              <w:right w:val="single" w:color="000000" w:sz="5" w:space="0"/>
            </w:tcBorders>
            <w:tcMar>
              <w:left w:w="0" w:type="dxa"/>
              <w:top w:w="0" w:type="dxa"/>
              <w:right w:w="0" w:type="dxa"/>
              <w:bottom w:w="0" w:type="dxa"/>
            </w:tcMar>
            <w:tcW w:w="15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Chất lượng còn lại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5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 (Đồng)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5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5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15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5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 = (1) * (2)</w:t>
            </w:r>
            <w:r/>
          </w:p>
        </w:tc>
        <w:tc>
          <w:tcPr>
            <w:tcBorders>
              <w:bottom w:val="single" w:color="000000" w:sz="5" w:space="0"/>
              <w:right w:val="single" w:color="000000" w:sz="5" w:space="0"/>
            </w:tcBorders>
            <w:tcMar>
              <w:left w:w="0" w:type="dxa"/>
              <w:top w:w="0" w:type="dxa"/>
              <w:right w:w="0" w:type="dxa"/>
              <w:bottom w:w="0" w:type="dxa"/>
            </w:tcMar>
            <w:tcW w:w="16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15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(5)=(3)x(4)</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5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Nhà 2 tầng</w:t>
            </w:r>
            <w:r/>
          </w:p>
        </w:tc>
        <w:tc>
          <w:tcPr>
            <w:tcBorders>
              <w:bottom w:val="single" w:color="000000" w:sz="5" w:space="0"/>
              <w:right w:val="single" w:color="000000" w:sz="5" w:space="0"/>
            </w:tcBorders>
            <w:tcMar>
              <w:left w:w="0" w:type="dxa"/>
              <w:top w:w="0" w:type="dxa"/>
              <w:right w:w="0" w:type="dxa"/>
              <w:bottom w:w="0" w:type="dxa"/>
            </w:tcMar>
            <w:tcW w:w="15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220</w:t>
            </w:r>
            <w:r/>
          </w:p>
        </w:tc>
        <w:tc>
          <w:tcPr>
            <w:shd w:val="clear" w:color="ffffff" w:fill="ffffff"/>
            <w:tcBorders>
              <w:bottom w:val="single" w:color="000000" w:sz="5" w:space="0"/>
              <w:right w:val="single" w:color="000000" w:sz="5" w:space="0"/>
            </w:tcBorders>
            <w:tcMar>
              <w:left w:w="0" w:type="dxa"/>
              <w:top w:w="0" w:type="dxa"/>
              <w:right w:w="0" w:type="dxa"/>
              <w:bottom w:w="0" w:type="dxa"/>
            </w:tcMar>
            <w:tcW w:w="15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5" w:space="0"/>
              <w:right w:val="single" w:color="000000" w:sz="5" w:space="0"/>
            </w:tcBorders>
            <w:tcMar>
              <w:left w:w="0" w:type="dxa"/>
              <w:top w:w="0" w:type="dxa"/>
              <w:right w:w="0" w:type="dxa"/>
              <w:bottom w:w="0" w:type="dxa"/>
            </w:tcMar>
            <w:tcW w:w="15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1.715.406.000</w:t>
            </w:r>
            <w:r/>
          </w:p>
        </w:tc>
        <w:tc>
          <w:tcPr>
            <w:tcBorders>
              <w:bottom w:val="single" w:color="000000" w:sz="5" w:space="0"/>
              <w:right w:val="single" w:color="000000" w:sz="5" w:space="0"/>
            </w:tcBorders>
            <w:tcMar>
              <w:left w:w="0" w:type="dxa"/>
              <w:top w:w="0" w:type="dxa"/>
              <w:right w:w="0" w:type="dxa"/>
              <w:bottom w:w="0" w:type="dxa"/>
            </w:tcMar>
            <w:tcW w:w="16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5" w:space="0"/>
              <w:right w:val="single" w:color="000000" w:sz="5" w:space="0"/>
            </w:tcBorders>
            <w:tcMar>
              <w:left w:w="0" w:type="dxa"/>
              <w:top w:w="0" w:type="dxa"/>
              <w:right w:w="0" w:type="dxa"/>
              <w:bottom w:w="0" w:type="dxa"/>
            </w:tcMar>
            <w:tcW w:w="15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1.458.095.100</w:t>
            </w:r>
            <w:r/>
          </w:p>
        </w:tc>
      </w:tr>
    </w:tbl>
    <w:p>
      <w:pPr>
        <w:pBdr/>
        <w:shd w:val="nil" w:color="auto"/>
        <w:spacing/>
        <w:ind/>
        <w:rPr>
          <w:b w:val="0"/>
          <w:bCs w:val="0"/>
          <w:highlight w:val="none"/>
        </w:rPr>
      </w:pPr>
      <w:r>
        <w:rPr>
          <w:b w:val="0"/>
          <w:bCs w:val="0"/>
          <w:highlight w:val="none"/>
        </w:rPr>
      </w:r>
      <w:r>
        <w:rPr>
          <w:b w:val="0"/>
          <w:bCs w:val="0"/>
          <w:highlight w:val="none"/>
        </w:rPr>
      </w:r>
      <w:r>
        <w:rPr>
          <w:b w:val="0"/>
          <w:bCs w:val="0"/>
          <w:highlight w:val="none"/>
        </w:rPr>
      </w:r>
    </w:p>
    <w:p>
      <w:pPr>
        <w:pStyle w:val="104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5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214"/>
        <w:gridCol w:w="1809"/>
        <w:gridCol w:w="1646"/>
        <w:gridCol w:w="992"/>
        <w:gridCol w:w="2127"/>
      </w:tblGrid>
      <w:tr>
        <w:trPr>
          <w:trHeight w:val="801"/>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TT</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Tài sản</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Diện tích (m²)</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Đơn giá (đồng/m²)</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Tỷ lệ CLCL (%)</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Thành tiền (đồng)</w:t>
            </w:r>
            <w:r>
              <w:rPr>
                <w:sz w:val="22"/>
              </w:rPr>
            </w:r>
            <w:r>
              <w:rPr>
                <w:sz w:val="22"/>
              </w:rPr>
            </w:r>
          </w:p>
        </w:tc>
      </w:tr>
      <w:tr>
        <w:trPr>
          <w:trHeight w:val="235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sz w:val="22"/>
              </w:rPr>
            </w:pPr>
            <w:r>
              <w:rPr>
                <w:rFonts w:ascii="Times New Roman" w:hAnsi="Times New Roman" w:eastAsia="Times New Roman" w:cs="Times New Roman"/>
                <w:b/>
                <w:color w:val="000000"/>
                <w:sz w:val="24"/>
              </w:rPr>
              <w:t xml:space="preserve">Quyền sử dụng đất tại thửa đất số: 349, tờ bản đồ số 34 có địa chỉ: Khu Hạ 1, P.Tràng An, TX. Đông Triều, tỉnh Quảng Ninh (nay là phường Bình Khê, tỉnh Quảng Ninh)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CY 912794, số vào sổ cấp GCN: CH 04605 do Ủy ban nhân dân thị xã Đông Triều cấp ngày 14/04/2021; Chủ sử dụng đất là Ông Nguyễn Mạnh Thái và Bà Hoàng Thị Hoa.</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 </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 </w:t>
            </w:r>
            <w:r>
              <w:rPr>
                <w:sz w:val="22"/>
              </w:rPr>
            </w:r>
            <w:r>
              <w:rPr>
                <w:sz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ở tại đô thị</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150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9.077.110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1.361.566.566</w:t>
            </w:r>
            <w:r>
              <w:rPr>
                <w:sz w:val="22"/>
              </w:rPr>
            </w:r>
            <w:r>
              <w:rPr>
                <w:sz w:val="22"/>
              </w:rPr>
            </w:r>
          </w:p>
        </w:tc>
      </w:tr>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2</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trồng cây lâu năm</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576,2</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5.829.110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3.358.733.434</w:t>
            </w:r>
            <w:r>
              <w:rPr>
                <w:sz w:val="22"/>
              </w:rPr>
            </w:r>
            <w:r>
              <w:rPr>
                <w:sz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Nhà 2 tầng</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220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7.797.300</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85%</w:t>
            </w:r>
            <w:r>
              <w:rPr>
                <w:sz w:val="22"/>
              </w:rPr>
            </w:r>
            <w:r>
              <w:rPr>
                <w:sz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1.458.095.100</w:t>
            </w:r>
            <w:r>
              <w:rPr>
                <w:sz w:val="22"/>
              </w:rPr>
            </w:r>
            <w:r>
              <w:rPr>
                <w:sz w:val="22"/>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TỔNG CỘNG</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6.178.395.100</w:t>
            </w:r>
            <w:r>
              <w:rPr>
                <w:sz w:val="22"/>
              </w:rPr>
            </w:r>
            <w:r>
              <w:rPr>
                <w:sz w:val="22"/>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0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6.178.400.000</w:t>
            </w:r>
            <w:r>
              <w:rPr>
                <w:sz w:val="22"/>
              </w:rPr>
            </w:r>
            <w:r>
              <w:rPr>
                <w:sz w:val="22"/>
              </w:rPr>
            </w:r>
          </w:p>
        </w:tc>
      </w:tr>
      <w:tr>
        <w:trPr>
          <w:trHeight w:val="324"/>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i/>
                <w:color w:val="000000"/>
                <w:sz w:val="24"/>
              </w:rPr>
              <w:t xml:space="preserve">(Bằng chữ: Sáu tỷ một trăm bảy mươi tám triệu bốn trăm nghìn đồng./.)</w:t>
            </w:r>
            <w:r>
              <w:rPr>
                <w:sz w:val="22"/>
              </w:rPr>
            </w:r>
            <w:r>
              <w:rPr>
                <w:sz w:val="22"/>
              </w:rPr>
            </w:r>
          </w:p>
        </w:tc>
      </w:tr>
    </w:tbl>
    <w:p>
      <w:pPr>
        <w:pStyle w:val="104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7"/>
        <w:numPr>
          <w:ilvl w:val="0"/>
          <w:numId w:val="5"/>
        </w:numPr>
        <w:pBdr/>
        <w:tabs>
          <w:tab w:val="left" w:leader="none" w:pos="993"/>
        </w:tabs>
        <w:spacing w:after="120" w:before="120" w:line="288" w:lineRule="auto"/>
        <w:ind/>
        <w:jc w:val="both"/>
        <w:rPr>
          <w:bCs/>
          <w:color w:val="000000" w:themeColor="text1"/>
          <w:spacing w:val="-2"/>
          <w:highlight w:val="white"/>
        </w:rPr>
      </w:pPr>
      <w:r>
        <w:rPr>
          <w:bCs/>
          <w:color w:val="000000" w:themeColor="text1"/>
          <w:spacing w:val="-2"/>
          <w:highlight w:val="white"/>
          <w:lang w:val="pt-BR"/>
        </w:rPr>
      </w:r>
      <w:r>
        <w:rPr>
          <w:rFonts w:ascii="Times New Roman" w:hAnsi="Times New Roman" w:eastAsia="Times New Roman" w:cs="Times New Roman"/>
          <w:color w:val="000000" w:themeColor="text1"/>
          <w:sz w:val="24"/>
          <w:highlight w:val="white"/>
        </w:rPr>
        <w:t xml:space="preserve">Tại t</w:t>
      </w:r>
      <w:r>
        <w:rPr>
          <w:rFonts w:ascii="Times New Roman" w:hAnsi="Times New Roman" w:eastAsia="Times New Roman" w:cs="Times New Roman"/>
          <w:color w:val="000000" w:themeColor="text1"/>
          <w:sz w:val="24"/>
          <w:highlight w:val="white"/>
        </w:rPr>
        <w:t xml:space="preserve">hời điểm thẩm định giá, CTXD gắn liền với đất là một nhà hai tầng xây dựng năm 2021, diện </w:t>
      </w:r>
      <w:r>
        <w:rPr>
          <w:rFonts w:ascii="Times New Roman" w:hAnsi="Times New Roman" w:eastAsia="Times New Roman" w:cs="Times New Roman"/>
          <w:color w:val="000000" w:themeColor="text1"/>
          <w:sz w:val="24"/>
          <w:highlight w:val="white"/>
        </w:rPr>
        <w:t xml:space="preserve">tích xây dựng tầng 1 khoảng 100m², tầng 2 khoảng 120m² . CTXD tại thời điểm thẩm định chưa  được chứng nhận trên Giấy chứng nhận quyền sử dụng đất quyền sở hữu nhà ở </w:t>
      </w:r>
      <w:r>
        <w:rPr>
          <w:rFonts w:ascii="Times New Roman" w:hAnsi="Times New Roman" w:eastAsia="Times New Roman" w:cs="Times New Roman"/>
          <w:color w:val="000000" w:themeColor="text1"/>
          <w:sz w:val="24"/>
          <w:highlight w:val="white"/>
        </w:rPr>
        <w:t xml:space="preserve">và tài sản khác gắn liền với đất số: CY 912794. </w:t>
      </w:r>
      <w:r>
        <w:rPr>
          <w:rFonts w:ascii="Times New Roman" w:hAnsi="Times New Roman" w:eastAsia="Times New Roman" w:cs="Times New Roman"/>
          <w:color w:val="000000" w:themeColor="text1"/>
          <w:spacing w:val="3"/>
          <w:sz w:val="24"/>
          <w:szCs w:val="24"/>
          <w:highlight w:val="none"/>
        </w:rPr>
        <w:t xml:space="preserve">Tuy nhiên,</w:t>
      </w:r>
      <w:r>
        <w:rPr>
          <w:rFonts w:ascii="Times New Roman" w:hAnsi="Times New Roman" w:eastAsia="Times New Roman" w:cs="Times New Roman"/>
          <w:color w:val="000000" w:themeColor="text1"/>
          <w:spacing w:val="3"/>
          <w:sz w:val="24"/>
          <w:szCs w:val="24"/>
          <w:highlight w:val="white"/>
        </w:rPr>
        <w:t xml:space="preserve"> theo đề nghị của khách hàng/ ngân hàng, Tổ thẩm định có xác định giá trị công trình hiện có trên đất</w:t>
      </w:r>
      <w:r>
        <w:rPr>
          <w:rFonts w:ascii="Times New Roman" w:hAnsi="Times New Roman" w:eastAsia="Times New Roman" w:cs="Times New Roman"/>
          <w:color w:val="000000" w:themeColor="text1"/>
          <w:sz w:val="24"/>
          <w:szCs w:val="24"/>
        </w:rPr>
        <w:t xml:space="preserve">. Kính đề nghị đơn vị sử dụng kết quả lưu ý.</w:t>
      </w:r>
      <w:r/>
      <w:r>
        <w:rPr>
          <w:rFonts w:ascii="Times New Roman" w:hAnsi="Times New Roman" w:eastAsia="Times New Roman" w:cs="Times New Roman"/>
          <w:color w:val="000000" w:themeColor="text1"/>
          <w:sz w:val="24"/>
          <w:highlight w:val="white"/>
        </w:rPr>
      </w:r>
      <w:r>
        <w:rPr>
          <w:bCs/>
          <w:color w:val="000000" w:themeColor="text1"/>
          <w:spacing w:val="-2"/>
          <w:highlight w:val="white"/>
        </w:rP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r>
        <w:rPr>
          <w:bCs/>
          <w:spacing w:val="-2"/>
          <w:highlight w:val="white"/>
          <w:lang w:val="pt-BR"/>
        </w:rPr>
      </w:r>
      <w:r>
        <w:rPr>
          <w:spacing w:val="-2"/>
          <w:highlight w:val="white"/>
        </w:rPr>
      </w:r>
      <w:r>
        <w:rPr>
          <w:rFonts w:ascii="Times New Roman" w:hAnsi="Times New Roman" w:eastAsia="Times New Roman" w:cs="Times New Roman"/>
          <w:sz w:val="24"/>
        </w:rPr>
      </w:r>
    </w:p>
    <w:p>
      <w:pPr>
        <w:pStyle w:val="104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4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275/2026/0189/VFI-CT.65.A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275/2026/0189/VFI-BC.65.A</w:t>
      </w:r>
      <w:r>
        <w:rPr>
          <w:i/>
        </w:rPr>
        <w:t xml:space="preserve"> </w:t>
      </w:r>
      <w:r>
        <w:rPr>
          <w:i/>
        </w:rPr>
        <w:t xml:space="preserve">ngày</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5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37793" cy="270465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66618" name=""/>
                              <pic:cNvPicPr>
                                <a:picLocks noChangeAspect="1"/>
                              </pic:cNvPicPr>
                              <pic:nvPr/>
                            </pic:nvPicPr>
                            <pic:blipFill rotWithShape="1">
                              <a:blip r:embed="rId19"/>
                              <a:stretch/>
                            </pic:blipFill>
                            <pic:spPr bwMode="auto">
                              <a:xfrm flipH="0" flipV="0">
                                <a:off x="0" y="0"/>
                                <a:ext cx="1837793" cy="27046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71pt;height:212.9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1346" cy="22585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74720" name=""/>
                              <pic:cNvPicPr>
                                <a:picLocks noChangeAspect="1"/>
                              </pic:cNvPicPr>
                              <pic:nvPr/>
                            </pic:nvPicPr>
                            <pic:blipFill rotWithShape="1">
                              <a:blip r:embed="rId20"/>
                              <a:stretch/>
                            </pic:blipFill>
                            <pic:spPr bwMode="auto">
                              <a:xfrm flipH="0" flipV="0">
                                <a:off x="0" y="0"/>
                                <a:ext cx="3011346" cy="2258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11pt;height:177.8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36637" cy="24488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38583" name=""/>
                              <pic:cNvPicPr>
                                <a:picLocks noChangeAspect="1"/>
                              </pic:cNvPicPr>
                              <pic:nvPr/>
                            </pic:nvPicPr>
                            <pic:blipFill rotWithShape="1">
                              <a:blip r:embed="rId21"/>
                              <a:stretch/>
                            </pic:blipFill>
                            <pic:spPr bwMode="auto">
                              <a:xfrm flipH="0" flipV="0">
                                <a:off x="0" y="0"/>
                                <a:ext cx="1836635" cy="2448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62pt;height:192.8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2162" cy="22441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95382" name=""/>
                              <pic:cNvPicPr>
                                <a:picLocks noChangeAspect="1"/>
                              </pic:cNvPicPr>
                              <pic:nvPr/>
                            </pic:nvPicPr>
                            <pic:blipFill rotWithShape="1">
                              <a:blip r:embed="rId22"/>
                              <a:stretch/>
                            </pic:blipFill>
                            <pic:spPr bwMode="auto">
                              <a:xfrm flipH="0" flipV="0">
                                <a:off x="0" y="0"/>
                                <a:ext cx="2992162" cy="2244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60pt;height:176.7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12664" cy="21734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81019" name=""/>
                              <pic:cNvPicPr>
                                <a:picLocks noChangeAspect="1"/>
                              </pic:cNvPicPr>
                              <pic:nvPr/>
                            </pic:nvPicPr>
                            <pic:blipFill rotWithShape="1">
                              <a:blip r:embed="rId23"/>
                              <a:stretch/>
                            </pic:blipFill>
                            <pic:spPr bwMode="auto">
                              <a:xfrm flipH="0" flipV="0">
                                <a:off x="0" y="0"/>
                                <a:ext cx="1912663" cy="2173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0.60pt;height:171.1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7746" cy="22708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86298" name=""/>
                              <pic:cNvPicPr>
                                <a:picLocks noChangeAspect="1"/>
                              </pic:cNvPicPr>
                              <pic:nvPr/>
                            </pic:nvPicPr>
                            <pic:blipFill rotWithShape="1">
                              <a:blip r:embed="rId24"/>
                              <a:stretch/>
                            </pic:blipFill>
                            <pic:spPr bwMode="auto">
                              <a:xfrm flipH="0" flipV="0">
                                <a:off x="0" y="0"/>
                                <a:ext cx="3027745" cy="2270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8.41pt;height:178.8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275/2026/0189/VFI-BC.65.A</w:t>
      </w:r>
      <w:r>
        <w:rPr>
          <w:i/>
        </w:rPr>
        <w:t xml:space="preserve"> </w:t>
      </w:r>
      <w:r>
        <w:rPr>
          <w:i/>
        </w:rPr>
        <w:t xml:space="preserve">ngày</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https://batdongsan.com.vn/ban-dat-duong-quoc-lo-18-phuong-duc-chinh/ban-dong-trieu-gia-tot-phan-vi-tri-dep-yen-lam-3-dong-trieu-quang-ninh-pr44469802?utm_source=chatgpt.com</w:t>
            </w:r>
            <w:r>
              <w:rPr>
                <w:color w:val="000000" w:themeColor="text1"/>
                <w:sz w:val="22"/>
                <w:szCs w:val="22"/>
              </w:rPr>
              <w:br/>
              <w:t xml:space="preserve">0976934572</w:t>
            </w:r>
            <w:r>
              <w:rPr>
                <w:sz w:val="22"/>
                <w:szCs w:val="22"/>
              </w:rPr>
              <w:t xml:space="preserve"> </w:t>
            </w:r>
            <w:r>
              <w:rPr>
                <w:sz w:val="22"/>
                <w:szCs w:val="22"/>
              </w:rPr>
              <w:br/>
              <w:t xml:space="preserve">(chị 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Đức Chính, Huyện Đông Triều, Tỉnh Quảng Ninh (nay là phường Đông Triều, tỉnh Quảng Ninh)</w:t>
            </w:r>
            <w:r>
              <w:rPr>
                <w:rFonts w:ascii="Times New Roman" w:hAnsi="Times New Roman" w:eastAsia="Times New Roman" w:cs="Times New Roman"/>
                <w:color w:val="000000"/>
                <w:sz w:val="22"/>
              </w:rPr>
              <w:t xml:space="preserve">, cách </w:t>
            </w:r>
            <w:r>
              <w:rPr>
                <w:rFonts w:ascii="Times New Roman" w:hAnsi="Times New Roman" w:eastAsia="Times New Roman" w:cs="Times New Roman"/>
                <w:color w:val="000000"/>
                <w:sz w:val="24"/>
              </w:rPr>
              <w:t xml:space="preserve">DT326 khoảng</w:t>
            </w:r>
            <w:r>
              <w:rPr>
                <w:rFonts w:ascii="Times New Roman" w:hAnsi="Times New Roman" w:eastAsia="Times New Roman" w:cs="Times New Roman"/>
                <w:color w:val="000000"/>
                <w:sz w:val="22"/>
              </w:rPr>
              <w:t xml:space="preserve"> 200m</w:t>
            </w:r>
            <w:r>
              <w:rPr>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0365" cy="2908077"/>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740365" cy="29080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78pt;height:228.9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0840" cy="28125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730839" cy="2812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5.03pt;height:221.4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784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3978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5.0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5024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5502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7.0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Hồng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0964.093.868</w:t>
            </w:r>
            <w:r>
              <w:rPr>
                <w:sz w:val="22"/>
                <w:szCs w:val="22"/>
              </w:rPr>
              <w:t xml:space="preserve"> </w:t>
            </w:r>
            <w:r>
              <w:rPr>
                <w:sz w:val="22"/>
                <w:szCs w:val="22"/>
              </w:rPr>
              <w:br/>
              <w:t xml:space="preserve">(anh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1.782.000.000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(97,4 m²), Đất trồng cây lâu năm (62,2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Đức Chính, Huyện Đông Triều, Tỉnh Quảng Ninh (nay là phường Đông Triều, tỉnh Quảng Ninh),  cách đường Trần Nhân Tông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35565" cy="30861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435564" cy="30861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1.78pt;height:243.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09905" cy="30861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57195296" name="" descr=""/>
                              <pic:cNvPicPr/>
                              <pic:nvPr/>
                            </pic:nvPicPr>
                            <pic:blipFill rotWithShape="1">
                              <a:blip r:embed="rId30"/>
                              <a:stretch/>
                            </pic:blipFill>
                            <pic:spPr bwMode="auto">
                              <a:xfrm rot="0" flipH="0" flipV="0">
                                <a:off x="0" y="0"/>
                                <a:ext cx="3009904" cy="30861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7.00pt;height:243.00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2006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42006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6.7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0964093868</w:t>
            </w:r>
            <w:r>
              <w:rPr>
                <w:sz w:val="22"/>
                <w:szCs w:val="22"/>
              </w:rPr>
              <w:t xml:space="preserve"> </w:t>
            </w:r>
            <w:r>
              <w:rPr>
                <w:sz w:val="22"/>
                <w:szCs w:val="22"/>
              </w:rPr>
              <w:br/>
              <w:t xml:space="preserve">(anh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tại:Xã Tràng An, Huyện Đông Triều, Tỉnh Quảng Ninh (nay là phường Bình Khê, tỉnh Quảng Ninh)</w:t>
            </w:r>
            <w:r/>
          </w:p>
          <w:p>
            <w:pPr>
              <w:pBdr/>
              <w:spacing w:line="276" w:lineRule="auto"/>
              <w:ind/>
              <w:jc w:val="center"/>
              <w:rPr>
                <w:sz w:val="22"/>
                <w:szCs w:val="22"/>
              </w:rPr>
            </w:pPr>
            <w:r>
              <w:rPr>
                <w:rFonts w:ascii="Times New Roman" w:hAnsi="Times New Roman" w:eastAsia="Times New Roman" w:cs="Times New Roman"/>
                <w:color w:val="000000"/>
                <w:sz w:val="22"/>
              </w:rPr>
              <w:t xml:space="preserve">tiếp giáp DT326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1290" cy="27129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521289" cy="2712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8.53pt;height:213.6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78153" cy="263842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79972403" name="" descr=""/>
                              <pic:cNvPicPr/>
                              <pic:nvPr/>
                            </pic:nvPicPr>
                            <pic:blipFill rotWithShape="1">
                              <a:blip r:embed="rId33"/>
                              <a:stretch/>
                            </pic:blipFill>
                            <pic:spPr bwMode="auto">
                              <a:xfrm rot="0" flipH="0" flipV="0">
                                <a:off x="0" y="0"/>
                                <a:ext cx="2978153" cy="26384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4.50pt;height:207.75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72442" cy="32697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372441" cy="3269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3.03pt;height:257.4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Thị Hồng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r>
      <w:r>
        <w:rPr>
          <w:lang w:val="pt-BR"/>
        </w:rPr>
      </w:r>
      <w:r>
        <w:rPr>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3868EE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73E6DA1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73E6DA1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018320A3"/>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3">
    <w:nsid w:val="16BA487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2E4B160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9">
    <w:name w:val="Table Grid Light"/>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1"/>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2"/>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3"/>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4"/>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5"/>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w:basedOn w:val="103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w:basedOn w:val="103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1"/>
    <w:basedOn w:val="103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2"/>
    <w:basedOn w:val="103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3"/>
    <w:basedOn w:val="103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4"/>
    <w:basedOn w:val="103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5"/>
    <w:basedOn w:val="103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6"/>
    <w:basedOn w:val="103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Accent 1"/>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2"/>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3"/>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4"/>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5"/>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6"/>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1">
    <w:name w:val="Grid Table 6 Colorful - Accent 1"/>
    <w:basedOn w:val="103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2">
    <w:name w:val="Grid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3">
    <w:name w:val="Grid Table 6 Colorful - Accent 3"/>
    <w:basedOn w:val="103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4">
    <w:name w:val="Grid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5">
    <w:name w:val="Grid Table 6 Colorful - Accent 5"/>
    <w:basedOn w:val="103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6 Colorful - Accent 6"/>
    <w:basedOn w:val="103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7 Colorful"/>
    <w:basedOn w:val="103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1"/>
    <w:basedOn w:val="103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5"/>
    <w:basedOn w:val="103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6"/>
    <w:basedOn w:val="103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1"/>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2"/>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3"/>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4"/>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5"/>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6"/>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w:basedOn w:val="103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1"/>
    <w:basedOn w:val="103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2"/>
    <w:basedOn w:val="103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3"/>
    <w:basedOn w:val="103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4"/>
    <w:basedOn w:val="103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5"/>
    <w:basedOn w:val="103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6"/>
    <w:basedOn w:val="103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1"/>
    <w:basedOn w:val="103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3"/>
    <w:basedOn w:val="103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5"/>
    <w:basedOn w:val="103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6"/>
    <w:basedOn w:val="103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1"/>
    <w:basedOn w:val="103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2"/>
    <w:basedOn w:val="103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3"/>
    <w:basedOn w:val="103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4"/>
    <w:basedOn w:val="103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5"/>
    <w:basedOn w:val="103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6"/>
    <w:basedOn w:val="103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5 Dark"/>
    <w:basedOn w:val="103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1"/>
    <w:basedOn w:val="103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2"/>
    <w:basedOn w:val="103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3"/>
    <w:basedOn w:val="103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4"/>
    <w:basedOn w:val="103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5"/>
    <w:basedOn w:val="103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6"/>
    <w:basedOn w:val="103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1"/>
    <w:basedOn w:val="103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3"/>
    <w:basedOn w:val="103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5"/>
    <w:basedOn w:val="103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6"/>
    <w:basedOn w:val="103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7 Colorful"/>
    <w:basedOn w:val="103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7">
    <w:name w:val="List Table 7 Colorful - Accent 1"/>
    <w:basedOn w:val="103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8">
    <w:name w:val="List Table 7 Colorful - Accent 2"/>
    <w:basedOn w:val="103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9">
    <w:name w:val="List Table 7 Colorful - Accent 3"/>
    <w:basedOn w:val="103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0">
    <w:name w:val="List Table 7 Colorful - Accent 4"/>
    <w:basedOn w:val="103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1">
    <w:name w:val="List Table 7 Colorful - Accent 5"/>
    <w:basedOn w:val="103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2">
    <w:name w:val="List Table 7 Colorful - Accent 6"/>
    <w:basedOn w:val="103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3">
    <w:name w:val="Lined - Accent"/>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1"/>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2"/>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3"/>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4"/>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5"/>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6"/>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w:basedOn w:val="103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1"/>
    <w:basedOn w:val="103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2"/>
    <w:basedOn w:val="103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3"/>
    <w:basedOn w:val="103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4"/>
    <w:basedOn w:val="103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5"/>
    <w:basedOn w:val="103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6"/>
    <w:basedOn w:val="103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w:basedOn w:val="103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4">
    <w:name w:val="Heading 5"/>
    <w:basedOn w:val="1025"/>
    <w:next w:val="1025"/>
    <w:link w:val="98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5">
    <w:name w:val="Heading 6"/>
    <w:basedOn w:val="1025"/>
    <w:next w:val="1025"/>
    <w:link w:val="99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6">
    <w:name w:val="Heading 7"/>
    <w:basedOn w:val="1025"/>
    <w:next w:val="1025"/>
    <w:link w:val="99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7">
    <w:name w:val="Heading 8"/>
    <w:basedOn w:val="1025"/>
    <w:next w:val="1025"/>
    <w:link w:val="99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8">
    <w:name w:val="Heading 9"/>
    <w:basedOn w:val="1025"/>
    <w:next w:val="1025"/>
    <w:link w:val="99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9">
    <w:name w:val="Heading 5 Char"/>
    <w:basedOn w:val="1030"/>
    <w:link w:val="984"/>
    <w:uiPriority w:val="9"/>
    <w:pPr>
      <w:pBdr/>
      <w:spacing/>
      <w:ind/>
    </w:pPr>
    <w:rPr>
      <w:rFonts w:ascii="Arial" w:hAnsi="Arial" w:eastAsia="Arial" w:cs="Arial"/>
      <w:color w:val="0f4761" w:themeColor="accent1" w:themeShade="BF"/>
    </w:rPr>
  </w:style>
  <w:style w:type="character" w:styleId="990">
    <w:name w:val="Heading 6 Char"/>
    <w:basedOn w:val="1030"/>
    <w:link w:val="985"/>
    <w:uiPriority w:val="9"/>
    <w:pPr>
      <w:pBdr/>
      <w:spacing/>
      <w:ind/>
    </w:pPr>
    <w:rPr>
      <w:rFonts w:ascii="Arial" w:hAnsi="Arial" w:eastAsia="Arial" w:cs="Arial"/>
      <w:i/>
      <w:iCs/>
      <w:color w:val="595959" w:themeColor="text1" w:themeTint="A6"/>
    </w:rPr>
  </w:style>
  <w:style w:type="character" w:styleId="991">
    <w:name w:val="Heading 7 Char"/>
    <w:basedOn w:val="1030"/>
    <w:link w:val="986"/>
    <w:uiPriority w:val="9"/>
    <w:pPr>
      <w:pBdr/>
      <w:spacing/>
      <w:ind/>
    </w:pPr>
    <w:rPr>
      <w:rFonts w:ascii="Arial" w:hAnsi="Arial" w:eastAsia="Arial" w:cs="Arial"/>
      <w:color w:val="595959" w:themeColor="text1" w:themeTint="A6"/>
    </w:rPr>
  </w:style>
  <w:style w:type="character" w:styleId="992">
    <w:name w:val="Heading 8 Char"/>
    <w:basedOn w:val="1030"/>
    <w:link w:val="987"/>
    <w:uiPriority w:val="9"/>
    <w:pPr>
      <w:pBdr/>
      <w:spacing/>
      <w:ind/>
    </w:pPr>
    <w:rPr>
      <w:rFonts w:ascii="Arial" w:hAnsi="Arial" w:eastAsia="Arial" w:cs="Arial"/>
      <w:i/>
      <w:iCs/>
      <w:color w:val="272727" w:themeColor="text1" w:themeTint="D8"/>
    </w:rPr>
  </w:style>
  <w:style w:type="character" w:styleId="993">
    <w:name w:val="Heading 9 Char"/>
    <w:basedOn w:val="1030"/>
    <w:link w:val="988"/>
    <w:uiPriority w:val="9"/>
    <w:pPr>
      <w:pBdr/>
      <w:spacing/>
      <w:ind/>
    </w:pPr>
    <w:rPr>
      <w:rFonts w:ascii="Arial" w:hAnsi="Arial" w:eastAsia="Arial" w:cs="Arial"/>
      <w:i/>
      <w:iCs/>
      <w:color w:val="272727" w:themeColor="text1" w:themeTint="D8"/>
    </w:rPr>
  </w:style>
  <w:style w:type="paragraph" w:styleId="994">
    <w:name w:val="Subtitle"/>
    <w:basedOn w:val="1025"/>
    <w:next w:val="1025"/>
    <w:link w:val="995"/>
    <w:uiPriority w:val="11"/>
    <w:qFormat/>
    <w:pPr>
      <w:numPr>
        <w:ilvl w:val="1"/>
      </w:numPr>
      <w:pBdr/>
      <w:spacing/>
      <w:ind/>
    </w:pPr>
    <w:rPr>
      <w:color w:val="595959" w:themeColor="text1" w:themeTint="A6"/>
      <w:spacing w:val="15"/>
      <w:sz w:val="28"/>
      <w:szCs w:val="28"/>
    </w:rPr>
  </w:style>
  <w:style w:type="character" w:styleId="995">
    <w:name w:val="Subtitle Char"/>
    <w:basedOn w:val="1030"/>
    <w:link w:val="994"/>
    <w:uiPriority w:val="11"/>
    <w:pPr>
      <w:pBdr/>
      <w:spacing/>
      <w:ind/>
    </w:pPr>
    <w:rPr>
      <w:color w:val="595959" w:themeColor="text1" w:themeTint="A6"/>
      <w:spacing w:val="15"/>
      <w:sz w:val="28"/>
      <w:szCs w:val="28"/>
    </w:rPr>
  </w:style>
  <w:style w:type="paragraph" w:styleId="996">
    <w:name w:val="Quote"/>
    <w:basedOn w:val="1025"/>
    <w:next w:val="1025"/>
    <w:link w:val="997"/>
    <w:uiPriority w:val="29"/>
    <w:qFormat/>
    <w:pPr>
      <w:pBdr/>
      <w:spacing w:before="160"/>
      <w:ind/>
      <w:jc w:val="center"/>
    </w:pPr>
    <w:rPr>
      <w:i/>
      <w:iCs/>
      <w:color w:val="404040" w:themeColor="text1" w:themeTint="BF"/>
    </w:rPr>
  </w:style>
  <w:style w:type="character" w:styleId="997">
    <w:name w:val="Quote Char"/>
    <w:basedOn w:val="1030"/>
    <w:link w:val="996"/>
    <w:uiPriority w:val="29"/>
    <w:pPr>
      <w:pBdr/>
      <w:spacing/>
      <w:ind/>
    </w:pPr>
    <w:rPr>
      <w:i/>
      <w:iCs/>
      <w:color w:val="404040" w:themeColor="text1" w:themeTint="BF"/>
    </w:rPr>
  </w:style>
  <w:style w:type="character" w:styleId="998">
    <w:name w:val="Intense Emphasis"/>
    <w:basedOn w:val="1030"/>
    <w:uiPriority w:val="21"/>
    <w:qFormat/>
    <w:pPr>
      <w:pBdr/>
      <w:spacing/>
      <w:ind/>
    </w:pPr>
    <w:rPr>
      <w:i/>
      <w:iCs/>
      <w:color w:val="0f4761" w:themeColor="accent1" w:themeShade="BF"/>
    </w:rPr>
  </w:style>
  <w:style w:type="paragraph" w:styleId="999">
    <w:name w:val="Intense Quote"/>
    <w:basedOn w:val="1025"/>
    <w:next w:val="1025"/>
    <w:link w:val="100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0">
    <w:name w:val="Intense Quote Char"/>
    <w:basedOn w:val="1030"/>
    <w:link w:val="999"/>
    <w:uiPriority w:val="30"/>
    <w:pPr>
      <w:pBdr/>
      <w:spacing/>
      <w:ind/>
    </w:pPr>
    <w:rPr>
      <w:i/>
      <w:iCs/>
      <w:color w:val="0f4761" w:themeColor="accent1" w:themeShade="BF"/>
    </w:rPr>
  </w:style>
  <w:style w:type="character" w:styleId="1001">
    <w:name w:val="Intense Reference"/>
    <w:basedOn w:val="1030"/>
    <w:uiPriority w:val="32"/>
    <w:qFormat/>
    <w:pPr>
      <w:pBdr/>
      <w:spacing/>
      <w:ind/>
    </w:pPr>
    <w:rPr>
      <w:b/>
      <w:bCs/>
      <w:smallCaps/>
      <w:color w:val="0f4761" w:themeColor="accent1" w:themeShade="BF"/>
      <w:spacing w:val="5"/>
    </w:rPr>
  </w:style>
  <w:style w:type="paragraph" w:styleId="1002">
    <w:name w:val="No Spacing"/>
    <w:basedOn w:val="1025"/>
    <w:uiPriority w:val="1"/>
    <w:qFormat/>
    <w:pPr>
      <w:pBdr/>
      <w:spacing w:after="0" w:line="240" w:lineRule="auto"/>
      <w:ind/>
    </w:pPr>
  </w:style>
  <w:style w:type="character" w:styleId="1003">
    <w:name w:val="Subtle Emphasis"/>
    <w:basedOn w:val="1030"/>
    <w:uiPriority w:val="19"/>
    <w:qFormat/>
    <w:pPr>
      <w:pBdr/>
      <w:spacing/>
      <w:ind/>
    </w:pPr>
    <w:rPr>
      <w:i/>
      <w:iCs/>
      <w:color w:val="404040" w:themeColor="text1" w:themeTint="BF"/>
    </w:rPr>
  </w:style>
  <w:style w:type="character" w:styleId="1004">
    <w:name w:val="Subtle Reference"/>
    <w:basedOn w:val="1030"/>
    <w:uiPriority w:val="31"/>
    <w:qFormat/>
    <w:pPr>
      <w:pBdr/>
      <w:spacing/>
      <w:ind/>
    </w:pPr>
    <w:rPr>
      <w:smallCaps/>
      <w:color w:val="5a5a5a" w:themeColor="text1" w:themeTint="A5"/>
    </w:rPr>
  </w:style>
  <w:style w:type="character" w:styleId="1005">
    <w:name w:val="Book Title"/>
    <w:basedOn w:val="1030"/>
    <w:uiPriority w:val="33"/>
    <w:qFormat/>
    <w:pPr>
      <w:pBdr/>
      <w:spacing/>
      <w:ind/>
    </w:pPr>
    <w:rPr>
      <w:b/>
      <w:bCs/>
      <w:i/>
      <w:iCs/>
      <w:spacing w:val="5"/>
    </w:rPr>
  </w:style>
  <w:style w:type="paragraph" w:styleId="1006">
    <w:name w:val="Caption"/>
    <w:basedOn w:val="1025"/>
    <w:next w:val="1025"/>
    <w:uiPriority w:val="35"/>
    <w:unhideWhenUsed/>
    <w:qFormat/>
    <w:pPr>
      <w:pBdr/>
      <w:spacing w:after="200" w:line="240" w:lineRule="auto"/>
      <w:ind/>
    </w:pPr>
    <w:rPr>
      <w:i/>
      <w:iCs/>
      <w:color w:val="0e2841" w:themeColor="text2"/>
      <w:sz w:val="18"/>
      <w:szCs w:val="18"/>
    </w:rPr>
  </w:style>
  <w:style w:type="paragraph" w:styleId="1007">
    <w:name w:val="footnote text"/>
    <w:basedOn w:val="1025"/>
    <w:link w:val="1008"/>
    <w:uiPriority w:val="99"/>
    <w:semiHidden/>
    <w:unhideWhenUsed/>
    <w:pPr>
      <w:pBdr/>
      <w:spacing w:after="0" w:line="240" w:lineRule="auto"/>
      <w:ind/>
    </w:pPr>
    <w:rPr>
      <w:sz w:val="20"/>
      <w:szCs w:val="20"/>
    </w:rPr>
  </w:style>
  <w:style w:type="character" w:styleId="1008">
    <w:name w:val="Footnote Text Char"/>
    <w:basedOn w:val="1030"/>
    <w:link w:val="1007"/>
    <w:uiPriority w:val="99"/>
    <w:semiHidden/>
    <w:pPr>
      <w:pBdr/>
      <w:spacing/>
      <w:ind/>
    </w:pPr>
    <w:rPr>
      <w:sz w:val="20"/>
      <w:szCs w:val="20"/>
    </w:rPr>
  </w:style>
  <w:style w:type="character" w:styleId="1009">
    <w:name w:val="footnote reference"/>
    <w:basedOn w:val="1030"/>
    <w:uiPriority w:val="99"/>
    <w:semiHidden/>
    <w:unhideWhenUsed/>
    <w:pPr>
      <w:pBdr/>
      <w:spacing/>
      <w:ind/>
    </w:pPr>
    <w:rPr>
      <w:vertAlign w:val="superscript"/>
    </w:rPr>
  </w:style>
  <w:style w:type="paragraph" w:styleId="1010">
    <w:name w:val="endnote text"/>
    <w:basedOn w:val="1025"/>
    <w:link w:val="1011"/>
    <w:uiPriority w:val="99"/>
    <w:semiHidden/>
    <w:unhideWhenUsed/>
    <w:pPr>
      <w:pBdr/>
      <w:spacing w:after="0" w:line="240" w:lineRule="auto"/>
      <w:ind/>
    </w:pPr>
    <w:rPr>
      <w:sz w:val="20"/>
      <w:szCs w:val="20"/>
    </w:rPr>
  </w:style>
  <w:style w:type="character" w:styleId="1011">
    <w:name w:val="Endnote Text Char"/>
    <w:basedOn w:val="1030"/>
    <w:link w:val="1010"/>
    <w:uiPriority w:val="99"/>
    <w:semiHidden/>
    <w:pPr>
      <w:pBdr/>
      <w:spacing/>
      <w:ind/>
    </w:pPr>
    <w:rPr>
      <w:sz w:val="20"/>
      <w:szCs w:val="20"/>
    </w:rPr>
  </w:style>
  <w:style w:type="character" w:styleId="1012">
    <w:name w:val="endnote reference"/>
    <w:basedOn w:val="1030"/>
    <w:uiPriority w:val="99"/>
    <w:semiHidden/>
    <w:unhideWhenUsed/>
    <w:pPr>
      <w:pBdr/>
      <w:spacing/>
      <w:ind/>
    </w:pPr>
    <w:rPr>
      <w:vertAlign w:val="superscript"/>
    </w:rPr>
  </w:style>
  <w:style w:type="paragraph" w:styleId="1013">
    <w:name w:val="toc 1"/>
    <w:basedOn w:val="1025"/>
    <w:next w:val="1025"/>
    <w:uiPriority w:val="39"/>
    <w:unhideWhenUsed/>
    <w:pPr>
      <w:pBdr/>
      <w:spacing w:after="100"/>
      <w:ind/>
    </w:pPr>
  </w:style>
  <w:style w:type="paragraph" w:styleId="1014">
    <w:name w:val="toc 2"/>
    <w:basedOn w:val="1025"/>
    <w:next w:val="1025"/>
    <w:uiPriority w:val="39"/>
    <w:unhideWhenUsed/>
    <w:pPr>
      <w:pBdr/>
      <w:spacing w:after="100"/>
      <w:ind w:left="220"/>
    </w:pPr>
  </w:style>
  <w:style w:type="paragraph" w:styleId="1015">
    <w:name w:val="toc 3"/>
    <w:basedOn w:val="1025"/>
    <w:next w:val="1025"/>
    <w:uiPriority w:val="39"/>
    <w:unhideWhenUsed/>
    <w:pPr>
      <w:pBdr/>
      <w:spacing w:after="100"/>
      <w:ind w:left="440"/>
    </w:pPr>
  </w:style>
  <w:style w:type="paragraph" w:styleId="1016">
    <w:name w:val="toc 4"/>
    <w:basedOn w:val="1025"/>
    <w:next w:val="1025"/>
    <w:uiPriority w:val="39"/>
    <w:unhideWhenUsed/>
    <w:pPr>
      <w:pBdr/>
      <w:spacing w:after="100"/>
      <w:ind w:left="660"/>
    </w:pPr>
  </w:style>
  <w:style w:type="paragraph" w:styleId="1017">
    <w:name w:val="toc 5"/>
    <w:basedOn w:val="1025"/>
    <w:next w:val="1025"/>
    <w:uiPriority w:val="39"/>
    <w:unhideWhenUsed/>
    <w:pPr>
      <w:pBdr/>
      <w:spacing w:after="100"/>
      <w:ind w:left="880"/>
    </w:pPr>
  </w:style>
  <w:style w:type="paragraph" w:styleId="1018">
    <w:name w:val="toc 6"/>
    <w:basedOn w:val="1025"/>
    <w:next w:val="1025"/>
    <w:uiPriority w:val="39"/>
    <w:unhideWhenUsed/>
    <w:pPr>
      <w:pBdr/>
      <w:spacing w:after="100"/>
      <w:ind w:left="1100"/>
    </w:pPr>
  </w:style>
  <w:style w:type="paragraph" w:styleId="1019">
    <w:name w:val="toc 7"/>
    <w:basedOn w:val="1025"/>
    <w:next w:val="1025"/>
    <w:uiPriority w:val="39"/>
    <w:unhideWhenUsed/>
    <w:pPr>
      <w:pBdr/>
      <w:spacing w:after="100"/>
      <w:ind w:left="1320"/>
    </w:pPr>
  </w:style>
  <w:style w:type="paragraph" w:styleId="1020">
    <w:name w:val="toc 8"/>
    <w:basedOn w:val="1025"/>
    <w:next w:val="1025"/>
    <w:uiPriority w:val="39"/>
    <w:unhideWhenUsed/>
    <w:pPr>
      <w:pBdr/>
      <w:spacing w:after="100"/>
      <w:ind w:left="1540"/>
    </w:pPr>
  </w:style>
  <w:style w:type="paragraph" w:styleId="1021">
    <w:name w:val="toc 9"/>
    <w:basedOn w:val="1025"/>
    <w:next w:val="1025"/>
    <w:uiPriority w:val="39"/>
    <w:unhideWhenUsed/>
    <w:pPr>
      <w:pBdr/>
      <w:spacing w:after="100"/>
      <w:ind w:left="1760"/>
    </w:pPr>
  </w:style>
  <w:style w:type="character" w:styleId="1022">
    <w:name w:val="Placeholder Text"/>
    <w:basedOn w:val="1030"/>
    <w:uiPriority w:val="99"/>
    <w:semiHidden/>
    <w:pPr>
      <w:pBdr/>
      <w:spacing/>
      <w:ind/>
    </w:pPr>
    <w:rPr>
      <w:color w:val="666666"/>
    </w:rPr>
  </w:style>
  <w:style w:type="paragraph" w:styleId="1023">
    <w:name w:val="TOC Heading"/>
    <w:uiPriority w:val="39"/>
    <w:unhideWhenUsed/>
    <w:pPr>
      <w:pBdr/>
      <w:spacing/>
      <w:ind/>
    </w:pPr>
  </w:style>
  <w:style w:type="paragraph" w:styleId="1024">
    <w:name w:val="table of figures"/>
    <w:basedOn w:val="1025"/>
    <w:next w:val="1025"/>
    <w:uiPriority w:val="99"/>
    <w:unhideWhenUsed/>
    <w:pPr>
      <w:pBdr/>
      <w:spacing w:after="0" w:afterAutospacing="0"/>
      <w:ind/>
    </w:pPr>
  </w:style>
  <w:style w:type="paragraph" w:styleId="1025" w:default="1">
    <w:name w:val="Normal"/>
    <w:qFormat/>
    <w:pPr>
      <w:pBdr/>
      <w:spacing w:after="0" w:line="240" w:lineRule="auto"/>
      <w:ind/>
    </w:pPr>
    <w:rPr>
      <w:rFonts w:ascii="Times New Roman" w:hAnsi="Times New Roman" w:eastAsia="Times New Roman" w:cs="Times New Roman"/>
      <w:sz w:val="24"/>
      <w:szCs w:val="24"/>
    </w:rPr>
  </w:style>
  <w:style w:type="paragraph" w:styleId="1026">
    <w:name w:val="Heading 1"/>
    <w:basedOn w:val="1025"/>
    <w:next w:val="1025"/>
    <w:link w:val="1033"/>
    <w:qFormat/>
    <w:pPr>
      <w:keepNext w:val="true"/>
      <w:pBdr/>
      <w:spacing w:after="120" w:before="120"/>
      <w:ind/>
      <w:jc w:val="center"/>
      <w:outlineLvl w:val="0"/>
    </w:pPr>
    <w:rPr>
      <w:b/>
      <w:bCs/>
      <w:sz w:val="27"/>
      <w:szCs w:val="27"/>
    </w:rPr>
  </w:style>
  <w:style w:type="paragraph" w:styleId="1027">
    <w:name w:val="Heading 2"/>
    <w:basedOn w:val="1025"/>
    <w:next w:val="1025"/>
    <w:link w:val="103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8">
    <w:name w:val="Heading 3"/>
    <w:basedOn w:val="1025"/>
    <w:next w:val="1025"/>
    <w:link w:val="1035"/>
    <w:qFormat/>
    <w:pPr>
      <w:keepNext w:val="true"/>
      <w:pBdr/>
      <w:spacing w:before="60"/>
      <w:ind/>
      <w:outlineLvl w:val="2"/>
    </w:pPr>
    <w:rPr>
      <w:sz w:val="28"/>
      <w:szCs w:val="28"/>
    </w:rPr>
  </w:style>
  <w:style w:type="paragraph" w:styleId="1029">
    <w:name w:val="Heading 4"/>
    <w:basedOn w:val="1025"/>
    <w:next w:val="1025"/>
    <w:link w:val="1036"/>
    <w:qFormat/>
    <w:pPr>
      <w:keepNext w:val="true"/>
      <w:pBdr/>
      <w:spacing/>
      <w:ind/>
      <w:jc w:val="center"/>
      <w:outlineLvl w:val="3"/>
    </w:pPr>
    <w:rPr>
      <w:b/>
      <w:bCs/>
    </w:rPr>
  </w:style>
  <w:style w:type="character" w:styleId="1030" w:default="1">
    <w:name w:val="Default Paragraph Font"/>
    <w:uiPriority w:val="1"/>
    <w:semiHidden/>
    <w:unhideWhenUsed/>
    <w:pPr>
      <w:pBdr/>
      <w:spacing/>
      <w:ind/>
    </w:pPr>
  </w:style>
  <w:style w:type="table" w:styleId="103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2" w:default="1">
    <w:name w:val="No List"/>
    <w:uiPriority w:val="99"/>
    <w:semiHidden/>
    <w:unhideWhenUsed/>
    <w:pPr>
      <w:pBdr/>
      <w:spacing/>
      <w:ind/>
    </w:pPr>
  </w:style>
  <w:style w:type="character" w:styleId="1033" w:customStyle="1">
    <w:name w:val="Heading 1 Char"/>
    <w:basedOn w:val="1030"/>
    <w:link w:val="1026"/>
    <w:pPr>
      <w:pBdr/>
      <w:spacing/>
      <w:ind/>
    </w:pPr>
    <w:rPr>
      <w:rFonts w:ascii="Times New Roman" w:hAnsi="Times New Roman" w:eastAsia="Times New Roman" w:cs="Times New Roman"/>
      <w:b/>
      <w:bCs/>
      <w:sz w:val="27"/>
      <w:szCs w:val="27"/>
    </w:rPr>
  </w:style>
  <w:style w:type="character" w:styleId="1034" w:customStyle="1">
    <w:name w:val="Heading 2 Char"/>
    <w:basedOn w:val="1030"/>
    <w:link w:val="1027"/>
    <w:uiPriority w:val="9"/>
    <w:pPr>
      <w:pBdr/>
      <w:spacing/>
      <w:ind/>
    </w:pPr>
    <w:rPr>
      <w:rFonts w:asciiTheme="majorHAnsi" w:hAnsiTheme="majorHAnsi" w:eastAsiaTheme="majorEastAsia" w:cstheme="majorBidi"/>
      <w:color w:val="365f91" w:themeColor="accent1" w:themeShade="BF"/>
      <w:sz w:val="26"/>
      <w:szCs w:val="26"/>
    </w:rPr>
  </w:style>
  <w:style w:type="character" w:styleId="1035" w:customStyle="1">
    <w:name w:val="Heading 3 Char"/>
    <w:basedOn w:val="1030"/>
    <w:link w:val="1028"/>
    <w:pPr>
      <w:pBdr/>
      <w:spacing/>
      <w:ind/>
    </w:pPr>
    <w:rPr>
      <w:rFonts w:ascii="Times New Roman" w:hAnsi="Times New Roman" w:eastAsia="Times New Roman" w:cs="Times New Roman"/>
      <w:sz w:val="28"/>
      <w:szCs w:val="28"/>
    </w:rPr>
  </w:style>
  <w:style w:type="character" w:styleId="1036" w:customStyle="1">
    <w:name w:val="Heading 4 Char"/>
    <w:basedOn w:val="1030"/>
    <w:link w:val="1029"/>
    <w:pPr>
      <w:pBdr/>
      <w:spacing/>
      <w:ind/>
    </w:pPr>
    <w:rPr>
      <w:rFonts w:ascii="Times New Roman" w:hAnsi="Times New Roman" w:eastAsia="Times New Roman" w:cs="Times New Roman"/>
      <w:b/>
      <w:bCs/>
      <w:sz w:val="24"/>
      <w:szCs w:val="24"/>
    </w:rPr>
  </w:style>
  <w:style w:type="character" w:styleId="1037">
    <w:name w:val="Hyperlink"/>
    <w:uiPriority w:val="99"/>
    <w:pPr>
      <w:pBdr/>
      <w:spacing/>
      <w:ind/>
    </w:pPr>
    <w:rPr>
      <w:color w:val="000000"/>
      <w:u w:val="single"/>
    </w:rPr>
  </w:style>
  <w:style w:type="character" w:styleId="1038">
    <w:name w:val="Strong"/>
    <w:uiPriority w:val="22"/>
    <w:qFormat/>
    <w:pPr>
      <w:pBdr/>
      <w:spacing/>
      <w:ind/>
    </w:pPr>
    <w:rPr>
      <w:b/>
      <w:bCs/>
    </w:rPr>
  </w:style>
  <w:style w:type="paragraph" w:styleId="1039">
    <w:name w:val="Balloon Text"/>
    <w:basedOn w:val="1025"/>
    <w:link w:val="1040"/>
    <w:uiPriority w:val="99"/>
    <w:semiHidden/>
    <w:unhideWhenUsed/>
    <w:pPr>
      <w:pBdr/>
      <w:spacing/>
      <w:ind/>
    </w:pPr>
    <w:rPr>
      <w:rFonts w:ascii="Tahoma" w:hAnsi="Tahoma" w:cs="Tahoma"/>
      <w:sz w:val="16"/>
      <w:szCs w:val="16"/>
    </w:rPr>
  </w:style>
  <w:style w:type="character" w:styleId="1040" w:customStyle="1">
    <w:name w:val="Balloon Text Char"/>
    <w:basedOn w:val="1030"/>
    <w:link w:val="1039"/>
    <w:uiPriority w:val="99"/>
    <w:semiHidden/>
    <w:pPr>
      <w:pBdr/>
      <w:spacing/>
      <w:ind/>
    </w:pPr>
    <w:rPr>
      <w:rFonts w:ascii="Tahoma" w:hAnsi="Tahoma" w:eastAsia="Times New Roman" w:cs="Tahoma"/>
      <w:sz w:val="16"/>
      <w:szCs w:val="16"/>
    </w:rPr>
  </w:style>
  <w:style w:type="paragraph" w:styleId="1041">
    <w:name w:val="Header"/>
    <w:basedOn w:val="1025"/>
    <w:link w:val="1042"/>
    <w:unhideWhenUsed/>
    <w:pPr>
      <w:pBdr/>
      <w:tabs>
        <w:tab w:val="center" w:leader="none" w:pos="4680"/>
        <w:tab w:val="right" w:leader="none" w:pos="9360"/>
      </w:tabs>
      <w:spacing/>
      <w:ind/>
    </w:pPr>
  </w:style>
  <w:style w:type="character" w:styleId="1042" w:customStyle="1">
    <w:name w:val="Header Char"/>
    <w:basedOn w:val="1030"/>
    <w:link w:val="1041"/>
    <w:pPr>
      <w:pBdr/>
      <w:spacing/>
      <w:ind/>
    </w:pPr>
    <w:rPr>
      <w:rFonts w:ascii="Times New Roman" w:hAnsi="Times New Roman" w:eastAsia="Times New Roman" w:cs="Times New Roman"/>
      <w:sz w:val="24"/>
      <w:szCs w:val="24"/>
    </w:rPr>
  </w:style>
  <w:style w:type="paragraph" w:styleId="1043">
    <w:name w:val="Footer"/>
    <w:basedOn w:val="1025"/>
    <w:link w:val="1044"/>
    <w:uiPriority w:val="99"/>
    <w:unhideWhenUsed/>
    <w:pPr>
      <w:pBdr/>
      <w:tabs>
        <w:tab w:val="center" w:leader="none" w:pos="4680"/>
        <w:tab w:val="right" w:leader="none" w:pos="9360"/>
      </w:tabs>
      <w:spacing/>
      <w:ind/>
    </w:pPr>
  </w:style>
  <w:style w:type="character" w:styleId="1044" w:customStyle="1">
    <w:name w:val="Footer Char"/>
    <w:basedOn w:val="1030"/>
    <w:link w:val="1043"/>
    <w:uiPriority w:val="99"/>
    <w:pPr>
      <w:pBdr/>
      <w:spacing/>
      <w:ind/>
    </w:pPr>
    <w:rPr>
      <w:rFonts w:ascii="Times New Roman" w:hAnsi="Times New Roman" w:eastAsia="Times New Roman" w:cs="Times New Roman"/>
      <w:sz w:val="24"/>
      <w:szCs w:val="24"/>
    </w:rPr>
  </w:style>
  <w:style w:type="character" w:styleId="1045" w:customStyle="1">
    <w:name w:val="normal-h1"/>
    <w:pPr>
      <w:pBdr/>
      <w:spacing/>
      <w:ind/>
    </w:pPr>
    <w:rPr>
      <w:rFonts w:hint="default" w:ascii=".VnTime" w:hAnsi=".VnTime"/>
      <w:color w:val="0000ff"/>
      <w:sz w:val="24"/>
      <w:szCs w:val="24"/>
    </w:rPr>
  </w:style>
  <w:style w:type="paragraph" w:styleId="1046" w:customStyle="1">
    <w:name w:val="normal-p"/>
    <w:basedOn w:val="1025"/>
    <w:pPr>
      <w:pBdr/>
      <w:spacing/>
      <w:ind/>
      <w:jc w:val="both"/>
    </w:pPr>
    <w:rPr>
      <w:sz w:val="20"/>
      <w:szCs w:val="20"/>
    </w:rPr>
  </w:style>
  <w:style w:type="paragraph" w:styleId="1047">
    <w:name w:val="List Paragraph"/>
    <w:basedOn w:val="1025"/>
    <w:link w:val="1134"/>
    <w:uiPriority w:val="34"/>
    <w:qFormat/>
    <w:pPr>
      <w:pBdr/>
      <w:spacing/>
      <w:ind w:left="720"/>
    </w:pPr>
  </w:style>
  <w:style w:type="paragraph" w:styleId="1048">
    <w:name w:val="Normal (Web)"/>
    <w:basedOn w:val="1025"/>
    <w:uiPriority w:val="99"/>
    <w:pPr>
      <w:pBdr/>
      <w:spacing w:after="100" w:afterAutospacing="1" w:before="100" w:beforeAutospacing="1"/>
      <w:ind/>
    </w:pPr>
  </w:style>
  <w:style w:type="paragraph" w:styleId="1049">
    <w:name w:val="Body Text"/>
    <w:basedOn w:val="1025"/>
    <w:link w:val="1050"/>
    <w:pPr>
      <w:pBdr/>
      <w:spacing w:after="120"/>
      <w:ind/>
      <w:jc w:val="both"/>
    </w:pPr>
  </w:style>
  <w:style w:type="character" w:styleId="1050" w:customStyle="1">
    <w:name w:val="Body Text Char"/>
    <w:basedOn w:val="1030"/>
    <w:link w:val="1049"/>
    <w:pPr>
      <w:pBdr/>
      <w:spacing/>
      <w:ind/>
    </w:pPr>
    <w:rPr>
      <w:rFonts w:ascii="Times New Roman" w:hAnsi="Times New Roman" w:eastAsia="Times New Roman" w:cs="Times New Roman"/>
      <w:sz w:val="24"/>
      <w:szCs w:val="24"/>
    </w:rPr>
  </w:style>
  <w:style w:type="table" w:styleId="1051">
    <w:name w:val="Table Grid"/>
    <w:basedOn w:val="103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3">
    <w:name w:val="annotation reference"/>
    <w:basedOn w:val="1030"/>
    <w:uiPriority w:val="99"/>
    <w:semiHidden/>
    <w:unhideWhenUsed/>
    <w:pPr>
      <w:pBdr/>
      <w:spacing/>
      <w:ind/>
    </w:pPr>
    <w:rPr>
      <w:sz w:val="16"/>
      <w:szCs w:val="16"/>
    </w:rPr>
  </w:style>
  <w:style w:type="paragraph" w:styleId="1054">
    <w:name w:val="annotation text"/>
    <w:basedOn w:val="1025"/>
    <w:link w:val="1055"/>
    <w:uiPriority w:val="99"/>
    <w:unhideWhenUsed/>
    <w:pPr>
      <w:pBdr/>
      <w:spacing/>
      <w:ind/>
    </w:pPr>
    <w:rPr>
      <w:sz w:val="20"/>
      <w:szCs w:val="20"/>
    </w:rPr>
  </w:style>
  <w:style w:type="character" w:styleId="1055" w:customStyle="1">
    <w:name w:val="Comment Text Char"/>
    <w:basedOn w:val="1030"/>
    <w:link w:val="1054"/>
    <w:uiPriority w:val="99"/>
    <w:pPr>
      <w:pBdr/>
      <w:spacing/>
      <w:ind/>
    </w:pPr>
    <w:rPr>
      <w:rFonts w:ascii="Times New Roman" w:hAnsi="Times New Roman" w:eastAsia="Times New Roman" w:cs="Times New Roman"/>
      <w:sz w:val="20"/>
      <w:szCs w:val="20"/>
    </w:rPr>
  </w:style>
  <w:style w:type="paragraph" w:styleId="1056">
    <w:name w:val="annotation subject"/>
    <w:basedOn w:val="1054"/>
    <w:next w:val="1054"/>
    <w:link w:val="1057"/>
    <w:uiPriority w:val="99"/>
    <w:semiHidden/>
    <w:unhideWhenUsed/>
    <w:pPr>
      <w:pBdr/>
      <w:spacing/>
      <w:ind/>
    </w:pPr>
    <w:rPr>
      <w:b/>
      <w:bCs/>
    </w:rPr>
  </w:style>
  <w:style w:type="character" w:styleId="1057" w:customStyle="1">
    <w:name w:val="Comment Subject Char"/>
    <w:basedOn w:val="1055"/>
    <w:link w:val="1056"/>
    <w:uiPriority w:val="99"/>
    <w:semiHidden/>
    <w:pPr>
      <w:pBdr/>
      <w:spacing/>
      <w:ind/>
    </w:pPr>
    <w:rPr>
      <w:rFonts w:ascii="Times New Roman" w:hAnsi="Times New Roman" w:eastAsia="Times New Roman" w:cs="Times New Roman"/>
      <w:b/>
      <w:bCs/>
      <w:sz w:val="20"/>
      <w:szCs w:val="20"/>
    </w:rPr>
  </w:style>
  <w:style w:type="paragraph" w:styleId="1058" w:customStyle="1">
    <w:name w:val="font5"/>
    <w:basedOn w:val="1025"/>
    <w:pPr>
      <w:pBdr/>
      <w:spacing w:after="100" w:afterAutospacing="1" w:before="100" w:beforeAutospacing="1"/>
      <w:ind/>
    </w:pPr>
    <w:rPr>
      <w:rFonts w:ascii="Tahoma" w:hAnsi="Tahoma" w:cs="Tahoma"/>
      <w:color w:val="000000"/>
      <w:sz w:val="18"/>
      <w:szCs w:val="18"/>
    </w:rPr>
  </w:style>
  <w:style w:type="paragraph" w:styleId="1059" w:customStyle="1">
    <w:name w:val="font6"/>
    <w:basedOn w:val="1025"/>
    <w:pPr>
      <w:pBdr/>
      <w:spacing w:after="100" w:afterAutospacing="1" w:before="100" w:beforeAutospacing="1"/>
      <w:ind/>
    </w:pPr>
    <w:rPr>
      <w:rFonts w:ascii="Tahoma" w:hAnsi="Tahoma" w:cs="Tahoma"/>
      <w:b/>
      <w:bCs/>
      <w:color w:val="000000"/>
      <w:sz w:val="18"/>
      <w:szCs w:val="18"/>
    </w:rPr>
  </w:style>
  <w:style w:type="paragraph" w:styleId="1060" w:customStyle="1">
    <w:name w:val="xl23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34"/>
    <w:basedOn w:val="1025"/>
    <w:pPr>
      <w:pBdr/>
      <w:spacing w:after="100" w:afterAutospacing="1" w:before="100" w:beforeAutospacing="1"/>
      <w:ind/>
      <w:jc w:val="center"/>
    </w:pPr>
  </w:style>
  <w:style w:type="paragraph" w:styleId="1062" w:customStyle="1">
    <w:name w:val="xl235"/>
    <w:basedOn w:val="1025"/>
    <w:pPr>
      <w:pBdr/>
      <w:spacing w:after="100" w:afterAutospacing="1" w:before="100" w:beforeAutospacing="1"/>
      <w:ind/>
      <w:jc w:val="center"/>
    </w:pPr>
    <w:rPr>
      <w:b/>
      <w:bCs/>
    </w:rPr>
  </w:style>
  <w:style w:type="paragraph" w:styleId="1063" w:customStyle="1">
    <w:name w:val="xl236"/>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3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38"/>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3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7" w:customStyle="1">
    <w:name w:val="xl240"/>
    <w:basedOn w:val="1025"/>
    <w:pPr>
      <w:pBdr/>
      <w:spacing w:after="100" w:afterAutospacing="1" w:before="100" w:beforeAutospacing="1"/>
      <w:ind/>
    </w:pPr>
  </w:style>
  <w:style w:type="paragraph" w:styleId="1068" w:customStyle="1">
    <w:name w:val="xl241"/>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42"/>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43"/>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44"/>
    <w:basedOn w:val="1025"/>
    <w:pPr>
      <w:pBdr/>
      <w:spacing w:after="100" w:afterAutospacing="1" w:before="100" w:beforeAutospacing="1"/>
      <w:ind/>
    </w:pPr>
    <w:rPr>
      <w:b/>
      <w:bCs/>
    </w:rPr>
  </w:style>
  <w:style w:type="paragraph" w:styleId="1072" w:customStyle="1">
    <w:name w:val="xl245"/>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47"/>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4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4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5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5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5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3"/>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4"/>
    <w:basedOn w:val="102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5"/>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8"/>
    <w:basedOn w:val="102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0"/>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1"/>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62"/>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3"/>
    <w:basedOn w:val="1025"/>
    <w:pPr>
      <w:pBdr/>
      <w:shd w:val="clear" w:color="000000" w:fill="ffffff"/>
      <w:spacing w:after="100" w:afterAutospacing="1" w:before="100" w:beforeAutospacing="1"/>
      <w:ind/>
    </w:pPr>
  </w:style>
  <w:style w:type="paragraph" w:styleId="1091" w:customStyle="1">
    <w:name w:val="xl264"/>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5"/>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6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4" w:customStyle="1">
    <w:name w:val="xl26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68"/>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9"/>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7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1"/>
    <w:basedOn w:val="102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9" w:customStyle="1">
    <w:name w:val="xl27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73"/>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74"/>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5"/>
    <w:basedOn w:val="1025"/>
    <w:pPr>
      <w:pBdr/>
      <w:spacing w:after="100" w:afterAutospacing="1" w:before="100" w:beforeAutospacing="1"/>
      <w:ind/>
    </w:pPr>
  </w:style>
  <w:style w:type="paragraph" w:styleId="1103" w:customStyle="1">
    <w:name w:val="xl27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77"/>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7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7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8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8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8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4"/>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5"/>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87"/>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8"/>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89"/>
    <w:basedOn w:val="1025"/>
    <w:pPr>
      <w:pBdr>
        <w:left w:val="single" w:color="000000" w:sz="4" w:space="0"/>
        <w:right w:val="single" w:color="000000" w:sz="4" w:space="0"/>
      </w:pBdr>
      <w:spacing w:after="100" w:afterAutospacing="1" w:before="100" w:beforeAutospacing="1"/>
      <w:ind/>
    </w:pPr>
    <w:rPr>
      <w:b/>
      <w:bCs/>
    </w:rPr>
  </w:style>
  <w:style w:type="paragraph" w:styleId="1117" w:customStyle="1">
    <w:name w:val="xl29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91"/>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92"/>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93"/>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94"/>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name w:val="Title"/>
    <w:basedOn w:val="1025"/>
    <w:link w:val="1123"/>
    <w:qFormat/>
    <w:pPr>
      <w:pBdr/>
      <w:spacing/>
      <w:ind/>
      <w:jc w:val="center"/>
    </w:pPr>
    <w:rPr>
      <w:b/>
      <w:bCs/>
      <w:sz w:val="32"/>
      <w:szCs w:val="26"/>
    </w:rPr>
  </w:style>
  <w:style w:type="character" w:styleId="1123" w:customStyle="1">
    <w:name w:val="Title Char"/>
    <w:basedOn w:val="1030"/>
    <w:link w:val="1122"/>
    <w:pPr>
      <w:pBdr/>
      <w:spacing/>
      <w:ind/>
    </w:pPr>
    <w:rPr>
      <w:rFonts w:ascii="Times New Roman" w:hAnsi="Times New Roman" w:eastAsia="Times New Roman" w:cs="Times New Roman"/>
      <w:b/>
      <w:bCs/>
      <w:sz w:val="32"/>
      <w:szCs w:val="26"/>
    </w:rPr>
  </w:style>
  <w:style w:type="character" w:styleId="1124" w:customStyle="1">
    <w:name w:val="Unresolved Mention1"/>
    <w:basedOn w:val="1030"/>
    <w:uiPriority w:val="99"/>
    <w:semiHidden/>
    <w:unhideWhenUsed/>
    <w:pPr>
      <w:pBdr/>
      <w:spacing/>
      <w:ind/>
    </w:pPr>
    <w:rPr>
      <w:color w:val="605e5c"/>
      <w:shd w:val="clear" w:color="auto" w:fill="e1dfdd"/>
    </w:rPr>
  </w:style>
  <w:style w:type="character" w:styleId="1125" w:customStyle="1">
    <w:name w:val="Body text (3)_"/>
    <w:link w:val="1126"/>
    <w:pPr>
      <w:pBdr/>
      <w:spacing/>
      <w:ind/>
    </w:pPr>
    <w:rPr>
      <w:rFonts w:ascii="Times New Roman" w:hAnsi="Times New Roman" w:cs="Times New Roman"/>
      <w:i/>
      <w:iCs/>
      <w:spacing w:val="4"/>
      <w:shd w:val="clear" w:color="auto" w:fill="ffffff"/>
    </w:rPr>
  </w:style>
  <w:style w:type="paragraph" w:styleId="1126" w:customStyle="1">
    <w:name w:val="Body text (3)1"/>
    <w:basedOn w:val="1025"/>
    <w:link w:val="112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7" w:customStyle="1">
    <w:name w:val="t-j"/>
    <w:basedOn w:val="1025"/>
    <w:pPr>
      <w:pBdr/>
      <w:spacing w:after="100" w:afterAutospacing="1" w:before="100" w:beforeAutospacing="1"/>
      <w:ind/>
    </w:pPr>
  </w:style>
  <w:style w:type="character" w:styleId="1128" w:customStyle="1">
    <w:name w:val="Unresolved Mention2"/>
    <w:basedOn w:val="1030"/>
    <w:uiPriority w:val="99"/>
    <w:semiHidden/>
    <w:unhideWhenUsed/>
    <w:pPr>
      <w:pBdr/>
      <w:spacing/>
      <w:ind/>
    </w:pPr>
    <w:rPr>
      <w:color w:val="605e5c"/>
      <w:shd w:val="clear" w:color="auto" w:fill="e1dfdd"/>
    </w:rPr>
  </w:style>
  <w:style w:type="character" w:styleId="1129">
    <w:name w:val="FollowedHyperlink"/>
    <w:basedOn w:val="1030"/>
    <w:uiPriority w:val="99"/>
    <w:semiHidden/>
    <w:unhideWhenUsed/>
    <w:pPr>
      <w:pBdr/>
      <w:spacing/>
      <w:ind/>
    </w:pPr>
    <w:rPr>
      <w:color w:val="800080" w:themeColor="followedHyperlink"/>
      <w:u w:val="single"/>
    </w:rPr>
  </w:style>
  <w:style w:type="character" w:styleId="1130" w:customStyle="1">
    <w:name w:val="text"/>
    <w:basedOn w:val="1030"/>
    <w:pPr>
      <w:pBdr/>
      <w:spacing/>
      <w:ind/>
    </w:pPr>
  </w:style>
  <w:style w:type="character" w:styleId="1131" w:customStyle="1">
    <w:name w:val="card-send-time__sendtime"/>
    <w:basedOn w:val="1030"/>
    <w:pPr>
      <w:pBdr/>
      <w:spacing/>
      <w:ind/>
    </w:pPr>
  </w:style>
  <w:style w:type="character" w:styleId="1132" w:customStyle="1">
    <w:name w:val="Đề cập Chưa giải quyết1"/>
    <w:basedOn w:val="1030"/>
    <w:uiPriority w:val="99"/>
    <w:semiHidden/>
    <w:unhideWhenUsed/>
    <w:pPr>
      <w:pBdr/>
      <w:spacing/>
      <w:ind/>
    </w:pPr>
    <w:rPr>
      <w:color w:val="605e5c"/>
      <w:shd w:val="clear" w:color="auto" w:fill="e1dfdd"/>
    </w:rPr>
  </w:style>
  <w:style w:type="paragraph" w:styleId="1133" w:customStyle="1">
    <w:name w:val="nqtitle"/>
    <w:basedOn w:val="1025"/>
    <w:pPr>
      <w:pBdr/>
      <w:spacing w:after="100" w:afterAutospacing="1" w:before="100" w:beforeAutospacing="1"/>
      <w:ind/>
    </w:pPr>
    <w:rPr>
      <w:lang w:val="vi-VN" w:eastAsia="vi-VN"/>
    </w:rPr>
  </w:style>
  <w:style w:type="character" w:styleId="1134" w:customStyle="1">
    <w:name w:val="List Paragraph Char"/>
    <w:link w:val="1047"/>
    <w:uiPriority w:val="34"/>
    <w:qFormat/>
    <w:pPr>
      <w:pBdr/>
      <w:spacing/>
      <w:ind/>
    </w:pPr>
    <w:rPr>
      <w:rFonts w:ascii="Times New Roman" w:hAnsi="Times New Roman" w:eastAsia="Times New Roman" w:cs="Times New Roman"/>
      <w:sz w:val="24"/>
      <w:szCs w:val="24"/>
    </w:rPr>
  </w:style>
  <w:style w:type="character" w:styleId="1135" w:customStyle="1">
    <w:name w:val="Đề cập Chưa giải quyết2"/>
    <w:basedOn w:val="1030"/>
    <w:uiPriority w:val="99"/>
    <w:semiHidden/>
    <w:unhideWhenUsed/>
    <w:pPr>
      <w:pBdr/>
      <w:spacing/>
      <w:ind/>
    </w:pPr>
    <w:rPr>
      <w:color w:val="605e5c"/>
      <w:shd w:val="clear" w:color="auto" w:fill="e1dfdd"/>
    </w:rPr>
  </w:style>
  <w:style w:type="character" w:styleId="1136" w:customStyle="1">
    <w:name w:val="Unresolved Mention3"/>
    <w:basedOn w:val="1030"/>
    <w:uiPriority w:val="99"/>
    <w:semiHidden/>
    <w:unhideWhenUsed/>
    <w:pPr>
      <w:pBdr/>
      <w:spacing/>
      <w:ind/>
    </w:pPr>
    <w:rPr>
      <w:color w:val="605e5c"/>
      <w:shd w:val="clear" w:color="auto" w:fill="e1dfdd"/>
    </w:rPr>
  </w:style>
  <w:style w:type="character" w:styleId="1137" w:customStyle="1">
    <w:name w:val="copy"/>
    <w:basedOn w:val="1030"/>
    <w:pPr>
      <w:pBdr/>
      <w:spacing/>
      <w:ind/>
    </w:pPr>
  </w:style>
  <w:style w:type="paragraph" w:styleId="1138" w:customStyle="1">
    <w:name w:val="align-justify"/>
    <w:basedOn w:val="1025"/>
    <w:pPr>
      <w:pBdr/>
      <w:spacing w:after="100" w:afterAutospacing="1" w:before="100" w:beforeAutospacing="1"/>
      <w:ind/>
    </w:pPr>
  </w:style>
  <w:style w:type="character" w:styleId="1139" w:customStyle="1">
    <w:name w:val="btn"/>
    <w:basedOn w:val="1030"/>
    <w:pPr>
      <w:pBdr/>
      <w:spacing/>
      <w:ind/>
    </w:pPr>
  </w:style>
  <w:style w:type="character" w:styleId="1140" w:customStyle="1">
    <w:name w:val="hide_mobile"/>
    <w:basedOn w:val="1030"/>
    <w:pPr>
      <w:pBdr/>
      <w:spacing/>
      <w:ind/>
    </w:pPr>
  </w:style>
  <w:style w:type="character" w:styleId="1141">
    <w:name w:val="Emphasis"/>
    <w:basedOn w:val="1030"/>
    <w:uiPriority w:val="20"/>
    <w:qFormat/>
    <w:pPr>
      <w:pBdr/>
      <w:spacing/>
      <w:ind/>
    </w:pPr>
    <w:rPr>
      <w:i/>
      <w:iCs/>
    </w:rPr>
  </w:style>
  <w:style w:type="character" w:styleId="1142" w:customStyle="1">
    <w:name w:val="t1"/>
    <w:basedOn w:val="1030"/>
    <w:pPr>
      <w:pBdr/>
      <w:spacing/>
      <w:ind/>
    </w:pPr>
  </w:style>
  <w:style w:type="character" w:styleId="1143" w:customStyle="1">
    <w:name w:val="Unresolved Mention4"/>
    <w:basedOn w:val="1030"/>
    <w:uiPriority w:val="99"/>
    <w:semiHidden/>
    <w:unhideWhenUsed/>
    <w:pPr>
      <w:pBdr/>
      <w:spacing/>
      <w:ind/>
    </w:pPr>
    <w:rPr>
      <w:color w:val="605e5c"/>
      <w:shd w:val="clear" w:color="auto" w:fill="e1dfdd"/>
    </w:rPr>
  </w:style>
  <w:style w:type="character" w:styleId="1144">
    <w:name w:val="Unresolved Mention"/>
    <w:basedOn w:val="103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530</cp:revision>
  <dcterms:created xsi:type="dcterms:W3CDTF">2025-09-15T02:01:00Z</dcterms:created>
  <dcterms:modified xsi:type="dcterms:W3CDTF">2026-02-03T02:30:45Z</dcterms:modified>
</cp:coreProperties>
</file>