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51628</wp:posOffset>
                </wp:positionV>
                <wp:extent cx="5467350" cy="35445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445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275/2025/0244/VFI-CT.21.A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ĐẦU TƯ XÂY DỰNG VÀ THƯƠNG MẠI ĐẤT VIỆT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w:t>
                            </w:r>
                            <w:r>
                              <w:rPr>
                                <w:color w:val="000000"/>
                              </w:rPr>
                              <w:t xml:space="preserve">uyền sử dụng đất tại thửa đất số: 1202, tờ bản đồ số 216 có địa chỉ: KDC Nam Ngạn, phường Nếnh, tỉnh Bắc Ninh theo Giấy chứng nhận quyền sử dụng đất, quyền sở hữu tài sản gắn liền với đất số: AA 05856458, số vào sổ cấp GCN: CN 4511 do Chi nhánh văn phòng đ</w:t>
                            </w:r>
                            <w:r>
                              <w:rPr>
                                <w:color w:val="000000"/>
                              </w:rPr>
                              <w:t xml:space="preserve">ăng ký đất đai liên phường Việt Yên cấp ngày 28/01/2026; Chủ sử dụng đất là Ông Nguyễn Đình Thắng và vợ Bà Dương Thị Tiến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4.07pt;mso-position-vertical:absolute;width:430.50pt;height:279.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275/2025/0244/VFI-CT.21.A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ĐẦU TƯ XÂY DỰNG VÀ THƯƠNG MẠI ĐẤT VIỆT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w:t>
                      </w:r>
                      <w:r>
                        <w:rPr>
                          <w:color w:val="000000"/>
                        </w:rPr>
                        <w:t xml:space="preserve">uyền sử dụng đất tại thửa đất số: 1202, tờ bản đồ số 216 có địa chỉ: KDC Nam Ngạn, phường Nếnh, tỉnh Bắc Ninh theo Giấy chứng nhận quyền sử dụng đất, quyền sở hữu tài sản gắn liền với đất số: AA 05856458, số vào sổ cấp GCN: CN 4511 do Chi nhánh văn phòng đ</w:t>
                      </w:r>
                      <w:r>
                        <w:rPr>
                          <w:color w:val="000000"/>
                        </w:rPr>
                        <w:t xml:space="preserve">ăng ký đất đai liên phường Việt Yên cấp ngày 28/01/2026; Chủ sử dụng đất là Ông Nguyễn Đình Thắng và vợ Bà Dương Thị Tiến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19-21</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78" w:type="dxa"/>
        <w:tblBorders/>
        <w:tblLayout w:type="fixed"/>
        <w:tblLook w:val="04A0" w:firstRow="1" w:lastRow="0" w:firstColumn="1" w:lastColumn="0" w:noHBand="0" w:noVBand="1"/>
      </w:tblPr>
      <w:tblGrid>
        <w:gridCol w:w="29"/>
        <w:gridCol w:w="1559"/>
        <w:gridCol w:w="8490"/>
      </w:tblGrid>
      <w:tr>
        <w:trPr>
          <w:trHeight w:val="1275"/>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49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90"/>
        </w:trPr>
        <w:tc>
          <w:tcPr>
            <w:gridSpan w:val="2"/>
            <w:shd w:val="clear" w:color="auto" w:fill="auto"/>
            <w:tcBorders/>
            <w:tcMar>
              <w:left w:w="108" w:type="dxa"/>
              <w:top w:w="0" w:type="dxa"/>
              <w:right w:w="108" w:type="dxa"/>
              <w:bottom w:w="0" w:type="dxa"/>
            </w:tcMar>
            <w:tcW w:w="10049"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275/2025/0244/VFI-CT.21.A                                          </w:t>
            </w: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02 tháng 02 năm 2026</w:t>
            </w:r>
            <w:r>
              <w:rPr>
                <w:color w:val="000000" w:themeColor="text1"/>
                <w:sz w:val="24"/>
                <w:szCs w:val="24"/>
              </w:rPr>
            </w:r>
            <w:r>
              <w:rPr>
                <w:color w:val="000000" w:themeColor="text1"/>
                <w:sz w:val="24"/>
                <w:szCs w:val="24"/>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ĐẦU TƯ XÂY DỰNG VÀ THƯƠNG MẠI ĐẤT VIỆT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275/2025/0244/VFI-HĐTĐ.21.A</w:t>
      </w:r>
      <w:r>
        <w:rPr>
          <w:spacing w:val="-4"/>
          <w:lang w:val="vi-VN"/>
        </w:rPr>
        <w:t xml:space="preserve"> ký ngày 29 tháng 01 năm 2026</w:t>
      </w:r>
      <w:r>
        <w:rPr>
          <w:spacing w:val="-4"/>
          <w:lang w:val="vi-VN"/>
        </w:rPr>
        <w:t xml:space="preserve"> </w:t>
      </w:r>
      <w:r>
        <w:rPr>
          <w:spacing w:val="-4"/>
          <w:lang w:val="vi-VN"/>
        </w:rPr>
        <w:t xml:space="preserve">giữa </w:t>
      </w:r>
      <w:r>
        <w:rPr>
          <w:color w:val="000000" w:themeColor="text1"/>
          <w:spacing w:val="-4"/>
        </w:rPr>
        <w:t xml:space="preserve">Công ty TNHH Đầu tư Xây dựng và Thương mại Đất Việt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275/2025/0244/VFI-BC.21.A</w:t>
      </w:r>
      <w:r>
        <w:rPr>
          <w:spacing w:val="-2"/>
          <w:lang w:val="pt-BR"/>
        </w:rPr>
        <w:t xml:space="preserve"> </w:t>
      </w:r>
      <w:r>
        <w:rPr>
          <w:spacing w:val="-2"/>
          <w:lang w:val="pt-BR"/>
        </w:rPr>
        <w:t xml:space="preserve">ngày 02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TNHH ĐẦU TƯ XÂY DỰNG VÀ THƯƠNG MẠI ĐẤT VIỆT</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rPr>
                <w:color w:val="000000" w:themeColor="text1"/>
                <w:spacing w:val="-2"/>
                <w14:ligatures w14:val="none"/>
              </w:rPr>
            </w:pPr>
            <w:r>
              <w:rPr>
                <w:color w:val="000000" w:themeColor="text1"/>
                <w:spacing w:val="-2"/>
              </w:rPr>
            </w:r>
            <w:r>
              <w:rPr>
                <w:color w:val="000000" w:themeColor="text1"/>
                <w:spacing w:val="-2"/>
              </w:rPr>
              <w:t xml:space="preserve">0500506210</w:t>
            </w:r>
            <w:r>
              <w:rPr>
                <w:color w:val="000000" w:themeColor="text1"/>
                <w:spacing w:val="-2"/>
                <w14:ligatures w14:val="none"/>
              </w:rPr>
            </w:r>
            <w:r>
              <w:rPr>
                <w:color w:val="000000" w:themeColor="text1"/>
                <w:spacing w:val="-2"/>
                <w14:ligatures w14:val="none"/>
              </w:rP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firstLine="0" w:left="0"/>
              <w:rPr>
                <w:color w:val="000000" w:themeColor="text1"/>
                <w:spacing w:val="-2"/>
                <w14:ligatures w14:val="none"/>
              </w:rPr>
            </w:pPr>
            <w:r>
              <w:rPr>
                <w:color w:val="000000" w:themeColor="text1"/>
                <w:spacing w:val="-2"/>
              </w:rPr>
              <w:t xml:space="preserve">Số 119 đường Tô Hiệu, phường Hà Đông, Thành phố Hà Nội</w:t>
            </w:r>
            <w:r>
              <w:rPr>
                <w:color w:val="000000" w:themeColor="text1"/>
                <w:spacing w:val="-2"/>
                <w14:ligatures w14:val="none"/>
              </w:rPr>
            </w:r>
            <w:r>
              <w:rPr>
                <w:color w:val="000000" w:themeColor="text1"/>
                <w:spacing w:val="-2"/>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rPr>
                <w:b/>
                <w:bCs/>
                <w:color w:val="000000" w:themeColor="text1"/>
                <w:spacing w:val="-2"/>
                <w14:ligatures w14:val="none"/>
              </w:rPr>
            </w:pPr>
            <w:r>
              <w:rPr>
                <w:b/>
                <w:bCs/>
                <w:color w:val="000000" w:themeColor="text1"/>
                <w:spacing w:val="-2"/>
              </w:rPr>
              <w:t xml:space="preserve">Ông Nguyễn Đình Thắng</w:t>
            </w:r>
            <w:r>
              <w:rPr>
                <w:b/>
                <w:bCs/>
                <w:color w:val="000000" w:themeColor="text1"/>
                <w:spacing w:val="-2"/>
                <w14:ligatures w14:val="none"/>
              </w:rPr>
            </w:r>
            <w:r>
              <w:rPr>
                <w:b/>
                <w:bCs/>
                <w:color w:val="000000" w:themeColor="text1"/>
                <w:spacing w:val="-2"/>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rPr>
                <w:bCs/>
                <w:color w:val="ff0000"/>
              </w:rPr>
            </w:pPr>
            <w:r>
              <w:rPr>
                <w:bCs/>
                <w:color w:val="ff0000"/>
              </w:rPr>
              <w:t xml:space="preserve">Chức vụ</w:t>
            </w:r>
            <w:r>
              <w:rPr>
                <w:bCs/>
                <w:color w:val="ff0000"/>
              </w:rPr>
            </w:r>
            <w:r>
              <w:rPr>
                <w:bCs/>
                <w:color w:val="ff0000"/>
              </w:rPr>
            </w:r>
          </w:p>
        </w:tc>
        <w:tc>
          <w:tcPr>
            <w:shd w:val="clear" w:color="auto" w:fill="auto"/>
            <w:tcBorders/>
            <w:tcW w:w="248" w:type="pct"/>
            <w:vAlign w:val="center"/>
            <w:textDirection w:val="lrTb"/>
            <w:noWrap w:val="false"/>
          </w:tcPr>
          <w:p>
            <w:pPr>
              <w:pBdr/>
              <w:spacing w:after="40" w:before="40" w:line="276" w:lineRule="auto"/>
              <w:ind/>
              <w:jc w:val="center"/>
              <w:rPr>
                <w:bCs/>
                <w:color w:val="ff0000"/>
              </w:rPr>
            </w:pPr>
            <w:r>
              <w:rPr>
                <w:bCs/>
                <w:color w:val="ff0000"/>
                <w:lang w:val="pt-BR"/>
              </w:rPr>
              <w:t xml:space="preserve">:</w:t>
            </w:r>
            <w:r>
              <w:rPr>
                <w:bCs/>
                <w:color w:val="ff0000"/>
              </w:rPr>
            </w:r>
            <w:r>
              <w:rPr>
                <w:bCs/>
                <w:color w:val="ff0000"/>
              </w:rPr>
            </w:r>
          </w:p>
        </w:tc>
        <w:tc>
          <w:tcPr>
            <w:tcBorders/>
            <w:tcW w:w="3643" w:type="pct"/>
            <w:vAlign w:val="center"/>
            <w:textDirection w:val="lrTb"/>
            <w:noWrap w:val="false"/>
          </w:tcPr>
          <w:p>
            <w:pPr>
              <w:pBdr/>
              <w:spacing w:after="40" w:before="40" w:line="276" w:lineRule="auto"/>
              <w:ind/>
              <w:jc w:val="both"/>
              <w:rPr>
                <w:b/>
                <w:bCs/>
                <w:color w:val="ff0000"/>
              </w:rPr>
            </w:pPr>
            <w:r>
              <w:rPr>
                <w:b/>
                <w:bCs/>
                <w:color w:val="ff0000"/>
                <w:lang w:val="vi-VN"/>
              </w:rPr>
            </w:r>
            <w:r>
              <w:rPr>
                <w:b/>
                <w:bCs/>
                <w:color w:val="ff0000"/>
              </w:rPr>
            </w:r>
            <w:r>
              <w:rPr>
                <w:b/>
                <w:bCs/>
                <w:color w:val="ff0000"/>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w:t>
      </w:r>
      <w:r>
        <w:rPr>
          <w:color w:val="000000"/>
        </w:rPr>
        <w:t xml:space="preserve">uyền sử dụng đất tại thửa đất số: 1202, tờ bản đồ số 216 có địa chỉ: KDC Nam Ngạn, phường Nếnh, tỉnh Bắc Ninh theo Giấy chứng nhận quyền sử dụng đất, quyền sở hữu tài sản gắn liền với đất số: AA 05856458, số vào sổ cấp GCN: CN 4511 do Chi nhánh văn phòng đ</w:t>
      </w:r>
      <w:r>
        <w:rPr>
          <w:color w:val="000000"/>
        </w:rPr>
        <w:t xml:space="preserve">ăng ký đất đai liên phường Việt Yên cấp ngày 28/01/2026; Chủ sử dụng đất là Ông Nguyễn Đình Thắng và vợ Bà Dương Thị Tiến</w:t>
      </w:r>
      <w:r>
        <w:rPr>
          <w:bCs/>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843"/>
        <w:gridCol w:w="1984"/>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39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1202, tờ bản đồ số 216 có địa chỉ: KDC Nam Ngạn, phường Nếnh, tỉnh Bắc Ninh theo Giấy chứng nhận quyền sử dụng đất, quyền sở hữu tài sản gắn liền với đất số: AA 05856458, số vào sổ cấp GCN: CN 4511 do Chi nhánh văn phòng </w:t>
            </w:r>
            <w:r>
              <w:rPr>
                <w:rFonts w:ascii="Times New Roman" w:hAnsi="Times New Roman" w:eastAsia="Times New Roman" w:cs="Times New Roman"/>
                <w:b/>
                <w:color w:val="000000"/>
                <w:sz w:val="24"/>
              </w:rPr>
              <w:t xml:space="preserve">đăng ký đất đai liên phường Việt Yên cấp ngày 28/01/2026; Chủ sử dụng đất là Ông Nguyễn Đình Thắng và vợ Bà Dương Thị Tiến.</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103,0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37.000.000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3.811.000.000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3.811.000.000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Ba tỷ, tám trăm mười một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74" w:type="pct"/>
        <w:tblBorders/>
        <w:tblLayout w:type="fixed"/>
        <w:tblLook w:val="01E0" w:firstRow="1" w:lastRow="1" w:firstColumn="1" w:lastColumn="1" w:noHBand="0" w:noVBand="0"/>
      </w:tblPr>
      <w:tblGrid>
        <w:gridCol w:w="4563"/>
        <w:gridCol w:w="5102"/>
      </w:tblGrid>
      <w:tr>
        <w:trPr>
          <w:trHeight w:val="20"/>
        </w:trPr>
        <w:tc>
          <w:tcPr>
            <w:tcBorders/>
            <w:tcW w:w="4563"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563"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563"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88" w:type="dxa"/>
        <w:tblBorders/>
        <w:tblLayout w:type="fixed"/>
        <w:tblLook w:val="04A0" w:firstRow="1" w:lastRow="0" w:firstColumn="1" w:lastColumn="0" w:noHBand="0" w:noVBand="1"/>
      </w:tblPr>
      <w:tblGrid>
        <w:gridCol w:w="29"/>
        <w:gridCol w:w="1843"/>
        <w:gridCol w:w="8417"/>
      </w:tblGrid>
      <w:tr>
        <w:trPr>
          <w:trHeight w:val="1275"/>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41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24"/>
        </w:trPr>
        <w:tc>
          <w:tcPr>
            <w:gridSpan w:val="2"/>
            <w:shd w:val="clear" w:color="auto" w:fill="auto"/>
            <w:tcBorders/>
            <w:tcMar>
              <w:left w:w="108" w:type="dxa"/>
              <w:top w:w="0" w:type="dxa"/>
              <w:right w:w="108" w:type="dxa"/>
              <w:bottom w:w="0" w:type="dxa"/>
            </w:tcMar>
            <w:tcW w:w="10259"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275/2025/0244/VFI-CT.21.A                                          </w:t>
            </w: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02 tháng 02 năm 2026</w:t>
            </w:r>
            <w:r>
              <w:rPr>
                <w:color w:val="000000" w:themeColor="text1"/>
                <w:sz w:val="24"/>
                <w:szCs w:val="24"/>
              </w:rPr>
            </w:r>
            <w:r>
              <w:rPr>
                <w:color w:val="000000" w:themeColor="text1"/>
                <w:sz w:val="24"/>
                <w:szCs w:val="24"/>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275/2025/0244/VFI-CT.21.A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02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76" w:lineRule="auto"/>
              <w:ind/>
              <w:rPr>
                <w:b/>
                <w:bCs/>
                <w:lang w:val="vi-VN"/>
              </w:rPr>
            </w:pPr>
            <w:r>
              <w:rPr>
                <w:b/>
                <w:bCs/>
                <w:lang w:val="vi-VN"/>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TNHH ĐẦU TƯ XÂY DỰNG VÀ THƯƠNG MẠI ĐẤT VIỆT</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rPr>
                <w:color w:val="000000" w:themeColor="text1"/>
                <w:spacing w:val="-2"/>
                <w14:ligatures w14:val="none"/>
              </w:rPr>
            </w:pPr>
            <w:r>
              <w:rPr>
                <w:color w:val="000000" w:themeColor="text1"/>
                <w:spacing w:val="-2"/>
              </w:rPr>
            </w:r>
            <w:r>
              <w:rPr>
                <w:color w:val="000000" w:themeColor="text1"/>
                <w:spacing w:val="-2"/>
              </w:rPr>
              <w:t xml:space="preserve">0500506210</w:t>
            </w:r>
            <w:r>
              <w:rPr>
                <w:color w:val="000000" w:themeColor="text1"/>
                <w:spacing w:val="-2"/>
                <w14:ligatures w14:val="none"/>
              </w:rPr>
            </w:r>
            <w:r>
              <w:rPr>
                <w:color w:val="000000" w:themeColor="text1"/>
                <w:spacing w:val="-2"/>
                <w14:ligatures w14:val="none"/>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firstLine="0" w:left="0"/>
              <w:rPr>
                <w:color w:val="000000" w:themeColor="text1"/>
                <w:spacing w:val="-2"/>
                <w14:ligatures w14:val="none"/>
              </w:rPr>
            </w:pPr>
            <w:r>
              <w:rPr>
                <w:color w:val="000000" w:themeColor="text1"/>
                <w:spacing w:val="-2"/>
              </w:rPr>
              <w:t xml:space="preserve">Số 119 đường Tô Hiệu, phường Hà Đông, Thành phố Hà Nội</w:t>
            </w:r>
            <w:r>
              <w:rPr>
                <w:color w:val="000000" w:themeColor="text1"/>
                <w:spacing w:val="-2"/>
                <w14:ligatures w14:val="none"/>
              </w:rPr>
            </w:r>
            <w:r>
              <w:rPr>
                <w:color w:val="000000" w:themeColor="text1"/>
                <w:spacing w:val="-2"/>
                <w14:ligatures w14:val="none"/>
              </w:rPr>
            </w:r>
          </w:p>
        </w:tc>
      </w:tr>
      <w:tr>
        <w:trPr>
          <w:trHeight w:val="20"/>
        </w:trPr>
        <w:tc>
          <w:tcPr>
            <w:tcBorders/>
            <w:tcW w:w="2518"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rPr>
                <w:b/>
                <w:bCs/>
                <w:color w:val="000000" w:themeColor="text1"/>
                <w:spacing w:val="-2"/>
                <w14:ligatures w14:val="none"/>
              </w:rPr>
            </w:pPr>
            <w:r>
              <w:rPr>
                <w:b/>
                <w:bCs/>
                <w:color w:val="000000" w:themeColor="text1"/>
                <w:spacing w:val="-2"/>
              </w:rPr>
              <w:t xml:space="preserve">Ông Nguyễn Đình Thắng</w:t>
            </w:r>
            <w:r>
              <w:rPr>
                <w:b/>
                <w:bCs/>
                <w:color w:val="000000" w:themeColor="text1"/>
                <w:spacing w:val="-2"/>
                <w14:ligatures w14:val="none"/>
              </w:rPr>
            </w:r>
            <w:r>
              <w:rPr>
                <w:b/>
                <w:bCs/>
                <w:color w:val="000000" w:themeColor="text1"/>
                <w:spacing w:val="-2"/>
                <w14:ligatures w14:val="none"/>
              </w:rPr>
            </w:r>
          </w:p>
        </w:tc>
      </w:tr>
      <w:tr>
        <w:trPr>
          <w:trHeight w:val="20"/>
        </w:trPr>
        <w:tc>
          <w:tcPr>
            <w:tcBorders/>
            <w:tcW w:w="2518" w:type="dxa"/>
            <w:vAlign w:val="center"/>
            <w:textDirection w:val="lrTb"/>
            <w:noWrap w:val="false"/>
          </w:tcPr>
          <w:p>
            <w:pPr>
              <w:pBdr/>
              <w:spacing w:after="40" w:before="40" w:line="276" w:lineRule="auto"/>
              <w:ind/>
              <w:rPr>
                <w:bCs/>
                <w:color w:val="ff0000"/>
              </w:rPr>
            </w:pPr>
            <w:r>
              <w:rPr>
                <w:bCs/>
                <w:color w:val="ff0000"/>
              </w:rPr>
              <w:t xml:space="preserve">Chức vụ</w:t>
            </w:r>
            <w:r>
              <w:rPr>
                <w:bCs/>
                <w:color w:val="ff0000"/>
              </w:rPr>
            </w:r>
            <w:r>
              <w:rPr>
                <w:bCs/>
                <w:color w:val="ff0000"/>
              </w:rPr>
            </w:r>
          </w:p>
        </w:tc>
        <w:tc>
          <w:tcPr>
            <w:tcBorders/>
            <w:tcW w:w="284" w:type="dxa"/>
            <w:vAlign w:val="center"/>
            <w:textDirection w:val="lrTb"/>
            <w:noWrap w:val="false"/>
          </w:tcPr>
          <w:p>
            <w:pPr>
              <w:pBdr/>
              <w:spacing w:after="40" w:before="40" w:line="276" w:lineRule="auto"/>
              <w:ind/>
              <w:jc w:val="center"/>
              <w:rPr>
                <w:bCs/>
                <w:color w:val="ff0000"/>
              </w:rPr>
            </w:pPr>
            <w:r>
              <w:rPr>
                <w:bCs/>
                <w:color w:val="ff0000"/>
                <w:lang w:val="pt-BR"/>
              </w:rPr>
              <w:t xml:space="preserve">:</w:t>
            </w:r>
            <w:r>
              <w:rPr>
                <w:bCs/>
                <w:color w:val="ff0000"/>
              </w:rPr>
            </w:r>
            <w:r>
              <w:rPr>
                <w:bCs/>
                <w:color w:val="ff0000"/>
              </w:rPr>
            </w:r>
          </w:p>
        </w:tc>
        <w:tc>
          <w:tcPr>
            <w:tcBorders/>
            <w:tcW w:w="6945" w:type="dxa"/>
            <w:vAlign w:val="center"/>
            <w:textDirection w:val="lrTb"/>
            <w:noWrap w:val="false"/>
          </w:tcPr>
          <w:p>
            <w:pPr>
              <w:pBdr/>
              <w:spacing w:after="40" w:before="40" w:line="276" w:lineRule="auto"/>
              <w:ind/>
              <w:jc w:val="both"/>
              <w:rPr>
                <w:b/>
                <w:bCs/>
                <w:color w:val="ff0000"/>
              </w:rPr>
            </w:pPr>
            <w:r>
              <w:rPr>
                <w:b/>
                <w:bCs/>
                <w:color w:val="ff0000"/>
                <w:lang w:val="vi-VN"/>
              </w:rPr>
            </w:r>
            <w:r>
              <w:rPr>
                <w:b/>
                <w:bCs/>
                <w:color w:val="ff0000"/>
              </w:rPr>
            </w:r>
            <w:r>
              <w:rPr>
                <w:b/>
                <w:bCs/>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w:t>
            </w:r>
            <w:r>
              <w:rPr>
                <w:color w:val="000000"/>
              </w:rPr>
              <w:t xml:space="preserve">uyền sử dụng đất tại thửa đất số: 1202, tờ bản đồ số 216 có địa chỉ: KDC Nam Ngạn, phường Nếnh, tỉnh Bắc Ninh theo Giấy chứng nhận quyền sử dụng đất, quyền sở hữu tài sản gắn liền với đất số: AA 05856458, số vào sổ cấp GCN: CN 4511 do Chi nhánh văn phòng đ</w:t>
            </w:r>
            <w:r>
              <w:rPr>
                <w:color w:val="000000"/>
              </w:rPr>
              <w:t xml:space="preserve">ăng ký đất đai liên phường Việt Yên cấp ngày 28/01/2026; Chủ sử dụng đất là Ông Nguyễn Đình Thắng và vợ Bà Dương Thị Tiến</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Nếnh, tỉnh Bắc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21.210298, 106.096777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tài sản gắn liền với đất số: AA 05856458, số vào sổ cấp GCN: CN 4511 do Chi nhánh văn phòng đ</w:t>
      </w:r>
      <w:r>
        <w:rPr>
          <w:color w:val="000000"/>
        </w:rPr>
        <w:t xml:space="preserve">ăng ký đất đai liên phường Việt Yên cấp ngày 28/01/2026; Chủ sử dụng đất là Ông Nguyễn Đình Thắng và vợ Bà Dương Thị Tiến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275/2025/0244/VFI-HĐTĐ.21.A</w:t>
      </w:r>
      <w:r>
        <w:rPr>
          <w:spacing w:val="-4"/>
          <w:lang w:val="vi-VN"/>
        </w:rPr>
        <w:t xml:space="preserve"> ký ngày 29 tháng 01 năm 2026</w:t>
      </w:r>
      <w:r>
        <w:rPr>
          <w:spacing w:val="-4"/>
          <w:lang w:val="vi-VN"/>
        </w:rPr>
        <w:t xml:space="preserve"> </w:t>
      </w:r>
      <w:r>
        <w:rPr>
          <w:spacing w:val="-4"/>
          <w:lang w:val="vi-VN"/>
        </w:rPr>
        <w:t xml:space="preserve">giữa </w:t>
      </w:r>
      <w:r>
        <w:rPr>
          <w:color w:val="000000" w:themeColor="text1"/>
          <w:spacing w:val="-4"/>
        </w:rPr>
        <w:t xml:space="preserve">Công ty TNHH Đầu tư Xây dựng và Thương mại Đất Việt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6" w:left="0"/>
        <w:jc w:val="both"/>
        <w:rPr/>
      </w:pPr>
      <w:r>
        <w:rPr>
          <w:rFonts w:ascii="Times New Roman" w:hAnsi="Times New Roman" w:eastAsia="Times New Roman" w:cs="Times New Roman"/>
          <w:color w:val="000000"/>
          <w:sz w:val="24"/>
        </w:rPr>
        <w:t xml:space="preserve">Bắc Giang cũ (</w:t>
      </w:r>
      <w:r>
        <w:rPr>
          <w:rFonts w:ascii="Times New Roman" w:hAnsi="Times New Roman" w:eastAsia="Times New Roman" w:cs="Times New Roman"/>
          <w:i/>
          <w:color w:val="000000"/>
          <w:sz w:val="24"/>
        </w:rPr>
        <w:t xml:space="preserve">Nay là Bắc Ninh</w:t>
      </w:r>
      <w:r>
        <w:rPr>
          <w:rFonts w:ascii="Times New Roman" w:hAnsi="Times New Roman" w:eastAsia="Times New Roman" w:cs="Times New Roman"/>
          <w:color w:val="000000"/>
          <w:sz w:val="24"/>
        </w:rPr>
        <w:t xml:space="preserve">) hiện đang là một trong những điểm nóng về thị trường bất động sản tại miền Bắc. Sự phát triển nhanh chóng của các khu công nghiệp và hạ tầng đô thị đã tạo động lực lớn cho thị trường bất động sản Bắc Giang. Giá trị đất nền, chung cư và nhà phố thương mại</w:t>
      </w:r>
      <w:r>
        <w:rPr>
          <w:rFonts w:ascii="Times New Roman" w:hAnsi="Times New Roman" w:eastAsia="Times New Roman" w:cs="Times New Roman"/>
          <w:color w:val="000000"/>
          <w:sz w:val="24"/>
        </w:rPr>
        <w:t xml:space="preserve"> đều có xu hướng tăng trưởng nhờ nhu cầu ngày càng lớn. Các khu vực như TP Bắc Giang, Lục Nam, Yên Dũng, Việt Yên đang thu hút lượng lớn nhà đầu tư bất động sản do lợi thế về hạ tầng và chính sách phát triển hợp lý.</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Theo các chuyên gia, năm 2025 sẽ là giai đoạn tăng trưởng mạnh mẽ của thị trường bất động sản Bắc Giang nhờ các yếu tố sau: </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Phát triển hạ tầng giao thông: Bắc Giang tập trung ưu tiên nguồn vốn ngân sách, tăng cường huy động, thu hút nguồn vốn ngoài ngân sách cho đầu tư phát triển kết cấu hạ tầng giao thông. Mở rộng nút giao liên thông giữa cầu vượt Hùng Vương với cao tốc Hà Nội</w:t>
      </w:r>
      <w:r>
        <w:rPr>
          <w:rFonts w:ascii="Times New Roman" w:hAnsi="Times New Roman" w:eastAsia="Times New Roman" w:cs="Times New Roman"/>
          <w:color w:val="000000"/>
          <w:sz w:val="24"/>
        </w:rPr>
        <w:t xml:space="preserve"> - Bắc Giang; hoàn thành mở rộng cầu Như Nguyệt; cơ bản hoàn thành nút giao liên thông tại thị trấn Vôi với cao tốc Bắc Giang - Lạng Sơn; hoàn thành mở rộng đường gom trái tuyến từ QL17-QL37 và nút giao liên thông giữa QL.17, QL.37 với cao tốc Hà Nội - Bắc</w:t>
      </w:r>
      <w:r>
        <w:rPr>
          <w:rFonts w:ascii="Times New Roman" w:hAnsi="Times New Roman" w:eastAsia="Times New Roman" w:cs="Times New Roman"/>
          <w:color w:val="000000"/>
          <w:sz w:val="24"/>
        </w:rPr>
        <w:t xml:space="preserve"> Giang... Qua đó, tiếp tục duy trì khai thác hiệu quả tuyến cao tốc Hà Nội - Lạng Sơn đoạn qua địa bàn tỉnh Bắc Giang, làm thay đổi diện mạo hệ thống giao thông trên địa bàn tỉnh.</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Dòng vốn FDI đổ vào khu công nghiệp: Tính từ đầu năm 2024, tỉnh Bắc Giang thu hút vốn đầu tư đạt trên 1,8 tỷ USD, trong đó cấp mới 21 dự án đầu tư trong nước, với số vốn đăng ký 12.900,7 tỷ đồng, gấp 2,3 lần và 63 dự án FDI với số vốn đăng ký 459,18 triệu </w:t>
      </w:r>
      <w:r>
        <w:rPr>
          <w:rFonts w:ascii="Times New Roman" w:hAnsi="Times New Roman" w:eastAsia="Times New Roman" w:cs="Times New Roman"/>
          <w:color w:val="000000"/>
          <w:sz w:val="24"/>
        </w:rPr>
        <w:t xml:space="preserve">USD. Các khu công nghiệp như Quang Châu, Vân Trung, Đình Trám sẽ thu hút hàng nghìn lao động, tạo nhu cầu lớn về nhà ở.  </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Chính sách quy hoạch mở rộng đô thị: Thành phố Bắc Giang đang được mở rộng, phát triển thành đô thị hiện đại, thúc đẩy thị trường bất động sản Bắc Giang. Phương án sắp xếp đơn vị hành chính là đô thị cấp xã, giai đoạn 2023 - 2025, tỉnh Bắc Giang dự kiến sắ</w:t>
      </w:r>
      <w:r>
        <w:rPr>
          <w:rFonts w:ascii="Times New Roman" w:hAnsi="Times New Roman" w:eastAsia="Times New Roman" w:cs="Times New Roman"/>
          <w:color w:val="000000"/>
          <w:sz w:val="24"/>
        </w:rPr>
        <w:t xml:space="preserve">p xếp 05 ĐVHC cấp xã là đô thị, trong đó 03 ĐVHC thuộc diện sắp xếp, 02 ĐVHC thuộc diện khuyến khích sắp xếp. Ngoài ra, thực hiện sắp xếp 13 xã quy hoạch thành các phường và thị trấn. Giai đoạn 2026 - 2030, tỉnh Bắc Giang dự kiến sắp xếp 03 ĐVHC là đô thị </w:t>
      </w:r>
      <w:r>
        <w:rPr>
          <w:rFonts w:ascii="Times New Roman" w:hAnsi="Times New Roman" w:eastAsia="Times New Roman" w:cs="Times New Roman"/>
          <w:color w:val="000000"/>
          <w:sz w:val="24"/>
        </w:rPr>
        <w:t xml:space="preserve">cấp xã. </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Theo các chuyên gia, dự kiến giá trị bất động sản Bắc Giang sẽ tăng trưởng từ 10 - 15% trong năm 2025, sau khi ba luật mới chính thức có hiệu lực, đặc biệt là 3 loại hình dưới đây sẽ hút vốn nhiều nhất: Chung cư, đất nền, đất đấu giá. Một thế mạnh nữa của </w:t>
      </w:r>
      <w:r>
        <w:rPr>
          <w:rFonts w:ascii="Times New Roman" w:hAnsi="Times New Roman" w:eastAsia="Times New Roman" w:cs="Times New Roman"/>
          <w:color w:val="000000"/>
          <w:sz w:val="24"/>
        </w:rPr>
        <w:t xml:space="preserve">tỉnh là dư địa phát triển bất động sản còn rất nhiều. Trong khi đó, hệ thống cơ sở hạ tầng của Bắc Giang cơ bản đã đồng bộ hoàn chỉnh. Đây chính là tiền đề để thu hút nhiều doanh nghiệp lớn rót vốn phát triển.</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b/>
          <w:i/>
          <w:color w:val="000000"/>
          <w:sz w:val="24"/>
        </w:rPr>
        <w:t xml:space="preserve">Cơ hội cho nhà đầu tư bất động sản Bắc Giang 2025</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​Bắc Giang đang nổi lên như một điểm sáng trong lĩnh vực đầu tư bất động sản năm 2025 nhờ sự phát triển đồng bộ về kinh tế, hạ tầng và quy hoạch đô thị. Để tận dụng cơ hội này, nhà đầu tư có thể xem xét các chiến lược sau:​</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i/>
          <w:color w:val="000000"/>
          <w:sz w:val="24"/>
        </w:rPr>
        <w:t xml:space="preserve">Đầu tư vào bất động sản công nghiệp</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Với việc phê duyệt khu công nghiệp tại Yên Dũng, Lạng Giang, Việt Yên, Hiệp Hòa đang mở rộng quỹ đất công nghiệp để thu hút đầu tư. Việc đầu tư vào bất động sản công nghiệp tại đây hứa hẹn mang lại lợi nhuận hấp dẫn.</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i/>
          <w:color w:val="000000"/>
          <w:sz w:val="24"/>
        </w:rPr>
        <w:t xml:space="preserve">Đầu tư vào các khu đô thị mới</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Các dự án khu đô thị mới như Dream City Bắc Giang, BV Bavella Green Park, Danko Riverside, Diamond Paragon… đang được triển khai, cung cấp các sản phẩm liền kề và biệt thự với quy hoạch hiện đại. Đầu tư vào các khu đô thị này có thể mang lại tiềm năng tăng</w:t>
      </w:r>
      <w:r>
        <w:rPr>
          <w:rFonts w:ascii="Times New Roman" w:hAnsi="Times New Roman" w:eastAsia="Times New Roman" w:cs="Times New Roman"/>
          <w:color w:val="000000"/>
          <w:sz w:val="24"/>
        </w:rPr>
        <w:t xml:space="preserve"> giá cao trong tương lai.</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i/>
          <w:color w:val="000000"/>
          <w:sz w:val="24"/>
        </w:rPr>
        <w:t xml:space="preserve">Đón đầu xu hướng tăng giá đất nền ven đô</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Các tỉnh vệ tinh như Bắc Giang đang thu hút sự quan tâm của giới đầu tư đất nền nhờ vị trí thuận lợi và tiềm năng tăng trưởng. Việc đầu tư vào đất nền ven đô có thể mang lại lợi nhuận cao khi thị trường bất động sản phục hồi.</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i/>
          <w:color w:val="000000"/>
          <w:sz w:val="24"/>
        </w:rPr>
        <w:t xml:space="preserve">Đầu tư vào bất động sản thương mại và dịch vụ</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Sự phát triển công nghiệp kéo theo nhu cầu lớn về dịch vụ thương mại. Đầu tư vào các dự án bất động sản thương mại tại Bắc Giang có thể đáp ứng nhu cầu này và mang lại lợi nhuận bền vững.​</w:t>
      </w:r>
      <w:r/>
    </w:p>
    <w:p>
      <w:pPr>
        <w:pBdr>
          <w:top w:val="none" w:color="000000" w:sz="4" w:space="0"/>
          <w:left w:val="none" w:color="000000" w:sz="4" w:space="0"/>
          <w:bottom w:val="none" w:color="000000" w:sz="4" w:space="0"/>
          <w:right w:val="none" w:color="000000" w:sz="4" w:space="0"/>
        </w:pBdr>
        <w:shd w:val="clear" w:color="ffffff" w:fill="ffffff"/>
        <w:spacing w:after="120" w:before="120" w:line="264" w:lineRule="auto"/>
        <w:ind w:right="0" w:firstLine="425" w:left="0"/>
        <w:jc w:val="both"/>
        <w:rPr/>
      </w:pPr>
      <w:r>
        <w:rPr>
          <w:rFonts w:ascii="Times New Roman" w:hAnsi="Times New Roman" w:eastAsia="Times New Roman" w:cs="Times New Roman"/>
          <w:color w:val="000000"/>
          <w:sz w:val="24"/>
        </w:rPr>
        <w:t xml:space="preserve">Với những chiến lược trên, nhà đầu tư có thể tận dụng cơ hội và đạt được lợi nhuận cao trong thị trường bất động sản Bắc Giang năm 2025.​ Sự phát triển đồng bộ về hạ tầng, kinh tế và chính sách quy hoạch không chỉ tạo điều kiện thuận lợi cho các nhà đầu tư</w:t>
      </w:r>
      <w:r>
        <w:rPr>
          <w:rFonts w:ascii="Times New Roman" w:hAnsi="Times New Roman" w:eastAsia="Times New Roman" w:cs="Times New Roman"/>
          <w:color w:val="000000"/>
          <w:sz w:val="24"/>
        </w:rPr>
        <w:t xml:space="preserve"> mà còn góp phần nâng cao chất lượng cuộc sống của người dân địa phương. Việc nắm bắt kịp thời xu hướng và cơ hội đầu tư tại Bắc Giang sẽ mang lại lợi ích to lớn, đồng thời thúc đẩy sự phát triển bền vững của tỉnh trong tương lai.</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tham khảo: https://bgrea.bacgiang.gov.vn/chi-tiet-tin-tuc/-/asset_publisher/kmIyyyu8w7p6/content/xu-huong-bat-ong-san-bac-giang-2025-tiem-nang-but-pha-va-co-hoi-au-tu)</w:t>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1202, tờ bản đồ số 216 có địa chỉ: KDC Nam Ngạn, phường Nếnh, tỉnh Bắc Ninh theo Giấy chứng nhận quyền sử dụng đất, quyền sở hữu tài sản gắn liền với đất số: AA 05856458, số vào sổ cấp GCN: CN 4511 do Chi nhánh văn phòng </w:t>
            </w:r>
            <w:r>
              <w:rPr>
                <w:rFonts w:ascii="Times New Roman" w:hAnsi="Times New Roman" w:eastAsia="Times New Roman" w:cs="Times New Roman"/>
                <w:b/>
                <w:color w:val="000000"/>
                <w:sz w:val="24"/>
              </w:rPr>
              <w:t xml:space="preserve">đăng ký đất đai liên phường Việt Yên cấp ngày 28/01/2026; Chủ sử dụng đất là Ông Nguyễn Đình Thắng và vợ Bà Dương Thị Tiến.</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1202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216</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KDC Nam Ngạn, phường Nếnh, tỉnh Bắc Ninh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chung của vợ và chồng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Theo bản đồ phân lô là lô số 55</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quy hoạch</w:t>
            </w: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7m+vỉa hè mỗi bên 2,5m</w:t>
            </w: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7m+vỉa hè mỗi bên 2,5m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tiếp giáp đường nội bộ khu dân cư Nam Ngạn, phường Nếnh, tỉnh Bắc Ninh; cách đường QL17 khoảng 1km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Tiếp giáp đường quy hoạch</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21.210298</w:t>
            </w:r>
            <w:r>
              <w:rPr>
                <w:color w:val="000000"/>
              </w:rPr>
              <w:t xml:space="preserve">, </w:t>
            </w:r>
            <w:r>
              <w:rPr>
                <w:color w:val="000000"/>
              </w:rPr>
              <w:t xml:space="preserve">106.096777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47207" cy="272046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48499" name=""/>
                              <pic:cNvPicPr>
                                <a:picLocks noChangeAspect="1"/>
                              </pic:cNvPicPr>
                              <pic:nvPr/>
                            </pic:nvPicPr>
                            <pic:blipFill rotWithShape="1">
                              <a:blip r:embed="rId17"/>
                              <a:stretch/>
                            </pic:blipFill>
                            <pic:spPr bwMode="auto">
                              <a:xfrm flipH="0" flipV="0">
                                <a:off x="0" y="0"/>
                                <a:ext cx="5447207" cy="27204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91pt;height:214.2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103,0</w:t>
            </w: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20,5-20,8</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w:t>
            </w: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w:t>
            </w:r>
            <w:r>
              <w:rPr>
                <w:b/>
                <w:bCs/>
                <w:i/>
                <w:iCs/>
                <w:color w:val="000000"/>
              </w:rPr>
              <w:t xml:space="preserve">(Đất trống)</w:t>
            </w:r>
            <w:r>
              <w:rPr>
                <w:b/>
                <w:bCs/>
                <w:color w:val="000000"/>
              </w:rPr>
            </w:r>
            <w:r>
              <w:rPr>
                <w:b/>
                <w:bCs/>
                <w:color w:val="000000"/>
              </w:rPr>
            </w:r>
          </w:p>
        </w:tc>
      </w:tr>
    </w:tbl>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tbl>
      <w:tblPr>
        <w:tblStyle w:val="1031"/>
        <w:jc w:val="center"/>
        <w:tblW w:w="0" w:type="auto"/>
        <w:tblBorders/>
        <w:tblLayout w:type="fixed"/>
        <w:tblLook w:val="04A0" w:firstRow="1" w:lastRow="0" w:firstColumn="1" w:lastColumn="0" w:noHBand="0" w:noVBand="1"/>
      </w:tblPr>
      <w:tblGrid>
        <w:gridCol w:w="732"/>
        <w:gridCol w:w="1701"/>
        <w:gridCol w:w="2268"/>
        <w:gridCol w:w="2268"/>
        <w:gridCol w:w="1274"/>
        <w:gridCol w:w="1274"/>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701"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268"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268"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274"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274"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701" w:type="dxa"/>
            <w:vAlign w:val="center"/>
            <w:textDirection w:val="lrTb"/>
            <w:noWrap w:val="false"/>
          </w:tcPr>
          <w:p>
            <w:pPr>
              <w:pBdr/>
              <w:spacing/>
              <w:ind/>
              <w:jc w:val="center"/>
              <w:rPr/>
            </w:pPr>
            <w:r>
              <w:t xml:space="preserve">Địa chỉ trên sổ</w:t>
            </w:r>
            <w:r/>
          </w:p>
        </w:tc>
        <w:tc>
          <w:tcPr>
            <w:tcBorders/>
            <w:tcW w:w="2268" w:type="dxa"/>
            <w:vAlign w:val="center"/>
            <w:textDirection w:val="lrTb"/>
            <w:noWrap w:val="false"/>
          </w:tcPr>
          <w:p>
            <w:pPr>
              <w:pBdr/>
              <w:spacing/>
              <w:ind/>
              <w:jc w:val="center"/>
              <w:rPr/>
            </w:pPr>
            <w:r>
              <w:t xml:space="preserve">KDC Nam Ngạn, phường Nếnh, tỉnh Bắc Ninh</w:t>
            </w:r>
            <w:r/>
          </w:p>
        </w:tc>
        <w:tc>
          <w:tcPr>
            <w:tcBorders/>
            <w:tcW w:w="2268" w:type="dxa"/>
            <w:vAlign w:val="center"/>
            <w:textDirection w:val="lrTb"/>
            <w:noWrap w:val="false"/>
          </w:tcPr>
          <w:p>
            <w:pPr>
              <w:pBdr/>
              <w:spacing/>
              <w:ind/>
              <w:jc w:val="center"/>
              <w:rPr/>
            </w:pPr>
            <w:r>
              <w:t xml:space="preserve">KDC Nam Ngạn, phường Nếnh, tỉnh Bắc Ninh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2</w:t>
            </w:r>
            <w:r/>
          </w:p>
        </w:tc>
        <w:tc>
          <w:tcPr>
            <w:tcBorders/>
            <w:tcW w:w="1701" w:type="dxa"/>
            <w:vAlign w:val="center"/>
            <w:textDirection w:val="lrTb"/>
            <w:noWrap w:val="false"/>
          </w:tcPr>
          <w:p>
            <w:pPr>
              <w:pBdr/>
              <w:spacing/>
              <w:ind/>
              <w:jc w:val="center"/>
              <w:rPr/>
            </w:pPr>
            <w:r>
              <w:t xml:space="preserve">Địa chỉ thực tế</w:t>
            </w:r>
            <w:r/>
          </w:p>
        </w:tc>
        <w:tc>
          <w:tcPr>
            <w:tcBorders/>
            <w:tcW w:w="2268" w:type="dxa"/>
            <w:vAlign w:val="center"/>
            <w:textDirection w:val="lrTb"/>
            <w:noWrap w:val="false"/>
          </w:tcPr>
          <w:p>
            <w:pPr>
              <w:pBdr/>
              <w:spacing/>
              <w:ind/>
              <w:jc w:val="center"/>
              <w:rPr/>
            </w:pPr>
            <w:r>
              <w:t xml:space="preserve">KDC Nam Ngạn, phường Nếnh, tỉnh Bắc Ninh</w:t>
            </w:r>
            <w:r/>
          </w:p>
        </w:tc>
        <w:tc>
          <w:tcPr>
            <w:tcBorders/>
            <w:tcW w:w="2268" w:type="dxa"/>
            <w:vAlign w:val="center"/>
            <w:textDirection w:val="lrTb"/>
            <w:noWrap w:val="false"/>
          </w:tcPr>
          <w:p>
            <w:pPr>
              <w:pBdr/>
              <w:spacing/>
              <w:ind/>
              <w:jc w:val="center"/>
              <w:rPr/>
            </w:pPr>
            <w:r>
              <w:t xml:space="preserve">KDC Nam Ngạn, phường Nếnh, tỉnh Bắc Ninh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701" w:type="dxa"/>
            <w:vAlign w:val="center"/>
            <w:textDirection w:val="lrTb"/>
            <w:noWrap w:val="false"/>
          </w:tcPr>
          <w:p>
            <w:pPr>
              <w:pBdr/>
              <w:spacing/>
              <w:ind/>
              <w:jc w:val="center"/>
              <w:rPr/>
            </w:pPr>
            <w:r>
              <w:t xml:space="preserve">Pháp lý</w:t>
            </w:r>
            <w:r/>
          </w:p>
        </w:tc>
        <w:tc>
          <w:tcPr>
            <w:tcBorders/>
            <w:tcW w:w="2268"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2268"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701" w:type="dxa"/>
            <w:vAlign w:val="center"/>
            <w:textDirection w:val="lrTb"/>
            <w:noWrap w:val="false"/>
          </w:tcPr>
          <w:p>
            <w:pPr>
              <w:pBdr/>
              <w:spacing/>
              <w:ind/>
              <w:jc w:val="center"/>
              <w:rPr/>
            </w:pPr>
            <w:r>
              <w:t xml:space="preserve">Loại đất</w:t>
            </w:r>
            <w:r/>
          </w:p>
        </w:tc>
        <w:tc>
          <w:tcPr>
            <w:tcBorders/>
            <w:tcW w:w="2268" w:type="dxa"/>
            <w:vAlign w:val="center"/>
            <w:textDirection w:val="lrTb"/>
            <w:noWrap w:val="false"/>
          </w:tcPr>
          <w:p>
            <w:pPr>
              <w:pBdr/>
              <w:spacing/>
              <w:ind/>
              <w:jc w:val="center"/>
              <w:rPr/>
            </w:pPr>
            <w:r>
              <w:t xml:space="preserve">Đất ở tại đô thị</w:t>
            </w:r>
            <w:r/>
          </w:p>
        </w:tc>
        <w:tc>
          <w:tcPr>
            <w:tcBorders/>
            <w:tcW w:w="2268" w:type="dxa"/>
            <w:vAlign w:val="center"/>
            <w:textDirection w:val="lrTb"/>
            <w:noWrap w:val="false"/>
          </w:tcPr>
          <w:p>
            <w:pPr>
              <w:pBdr/>
              <w:spacing/>
              <w:ind/>
              <w:jc w:val="center"/>
              <w:rPr/>
            </w:pPr>
            <w:r>
              <w:t xml:space="preserve">Đất ở tại đô thị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1701" w:type="dxa"/>
            <w:vAlign w:val="center"/>
            <w:textDirection w:val="lrTb"/>
            <w:noWrap w:val="false"/>
          </w:tcPr>
          <w:p>
            <w:pPr>
              <w:pBdr/>
              <w:spacing/>
              <w:ind/>
              <w:jc w:val="center"/>
              <w:rPr/>
            </w:pPr>
            <w:r>
              <w:t xml:space="preserve">Thời hạn sử dụng</w:t>
            </w:r>
            <w:r/>
          </w:p>
        </w:tc>
        <w:tc>
          <w:tcPr>
            <w:tcBorders/>
            <w:tcW w:w="2268" w:type="dxa"/>
            <w:vAlign w:val="center"/>
            <w:textDirection w:val="lrTb"/>
            <w:noWrap w:val="false"/>
          </w:tcPr>
          <w:p>
            <w:pPr>
              <w:pBdr/>
              <w:spacing/>
              <w:ind/>
              <w:jc w:val="center"/>
              <w:rPr/>
            </w:pPr>
            <w:r>
              <w:t xml:space="preserve">Lâu dài</w:t>
            </w:r>
            <w:r/>
          </w:p>
        </w:tc>
        <w:tc>
          <w:tcPr>
            <w:tcBorders/>
            <w:tcW w:w="2268" w:type="dxa"/>
            <w:vAlign w:val="center"/>
            <w:textDirection w:val="lrTb"/>
            <w:noWrap w:val="false"/>
          </w:tcPr>
          <w:p>
            <w:pPr>
              <w:pBdr/>
              <w:spacing/>
              <w:ind/>
              <w:jc w:val="center"/>
              <w:rPr/>
            </w:pPr>
            <w:r>
              <w:t xml:space="preserve">Lâu dài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6</w:t>
            </w:r>
            <w:r/>
          </w:p>
        </w:tc>
        <w:tc>
          <w:tcPr>
            <w:tcBorders/>
            <w:tcW w:w="1701" w:type="dxa"/>
            <w:vAlign w:val="center"/>
            <w:textDirection w:val="lrTb"/>
            <w:noWrap w:val="false"/>
          </w:tcPr>
          <w:p>
            <w:pPr>
              <w:pBdr/>
              <w:spacing/>
              <w:ind/>
              <w:jc w:val="center"/>
              <w:rPr/>
            </w:pPr>
            <w:r>
              <w:t xml:space="preserve">Kết cấu mặt đường</w:t>
            </w:r>
            <w:r/>
          </w:p>
        </w:tc>
        <w:tc>
          <w:tcPr>
            <w:tcBorders/>
            <w:tcW w:w="2268" w:type="dxa"/>
            <w:vAlign w:val="center"/>
            <w:textDirection w:val="lrTb"/>
            <w:noWrap w:val="false"/>
          </w:tcPr>
          <w:p>
            <w:pPr>
              <w:pBdr/>
              <w:spacing/>
              <w:ind/>
              <w:jc w:val="center"/>
              <w:rPr/>
            </w:pPr>
            <w:r>
              <w:t xml:space="preserve">Đường nhựa có vỉa hè</w:t>
            </w:r>
            <w:r/>
          </w:p>
        </w:tc>
        <w:tc>
          <w:tcPr>
            <w:tcBorders/>
            <w:tcW w:w="2268" w:type="dxa"/>
            <w:vAlign w:val="center"/>
            <w:textDirection w:val="lrTb"/>
            <w:noWrap w:val="false"/>
          </w:tcPr>
          <w:p>
            <w:pPr>
              <w:pBdr/>
              <w:spacing/>
              <w:ind/>
              <w:jc w:val="center"/>
              <w:rPr/>
            </w:pPr>
            <w:r>
              <w:t xml:space="preserve">Đường nhựa có vỉa hè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7</w:t>
            </w:r>
            <w:r/>
          </w:p>
        </w:tc>
        <w:tc>
          <w:tcPr>
            <w:tcBorders/>
            <w:tcW w:w="1701" w:type="dxa"/>
            <w:vAlign w:val="center"/>
            <w:textDirection w:val="lrTb"/>
            <w:noWrap w:val="false"/>
          </w:tcPr>
          <w:p>
            <w:pPr>
              <w:pBdr/>
              <w:spacing/>
              <w:ind/>
              <w:jc w:val="center"/>
              <w:rPr/>
            </w:pPr>
            <w:r>
              <w:t xml:space="preserve">Mặt cắt đường trước nhà</w:t>
            </w:r>
            <w:r/>
          </w:p>
        </w:tc>
        <w:tc>
          <w:tcPr>
            <w:tcBorders/>
            <w:tcW w:w="2268" w:type="dxa"/>
            <w:vAlign w:val="center"/>
            <w:textDirection w:val="lrTb"/>
            <w:noWrap w:val="false"/>
          </w:tcPr>
          <w:p>
            <w:pPr>
              <w:pBdr/>
              <w:spacing/>
              <w:ind/>
              <w:jc w:val="center"/>
              <w:rPr/>
            </w:pPr>
            <w:r>
              <w:t xml:space="preserve">12</w:t>
            </w:r>
            <w:r/>
          </w:p>
        </w:tc>
        <w:tc>
          <w:tcPr>
            <w:tcBorders/>
            <w:tcW w:w="2268" w:type="dxa"/>
            <w:vAlign w:val="center"/>
            <w:textDirection w:val="lrTb"/>
            <w:noWrap w:val="false"/>
          </w:tcPr>
          <w:p>
            <w:pPr>
              <w:pBdr/>
              <w:spacing/>
              <w:ind/>
              <w:jc w:val="center"/>
              <w:rPr/>
            </w:pPr>
            <w:r>
              <w:t xml:space="preserve">12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8</w:t>
            </w:r>
            <w:r/>
          </w:p>
        </w:tc>
        <w:tc>
          <w:tcPr>
            <w:tcBorders/>
            <w:tcW w:w="1701" w:type="dxa"/>
            <w:vAlign w:val="center"/>
            <w:textDirection w:val="lrTb"/>
            <w:noWrap w:val="false"/>
          </w:tcPr>
          <w:p>
            <w:pPr>
              <w:pBdr/>
              <w:spacing/>
              <w:ind/>
              <w:jc w:val="center"/>
              <w:rPr/>
            </w:pPr>
            <w:r>
              <w:t xml:space="preserve">Diện tích</w:t>
            </w:r>
            <w:r/>
          </w:p>
        </w:tc>
        <w:tc>
          <w:tcPr>
            <w:tcBorders/>
            <w:tcW w:w="2268" w:type="dxa"/>
            <w:vAlign w:val="center"/>
            <w:textDirection w:val="lrTb"/>
            <w:noWrap w:val="false"/>
          </w:tcPr>
          <w:p>
            <w:pPr>
              <w:pBdr/>
              <w:spacing/>
              <w:ind/>
              <w:jc w:val="center"/>
              <w:rPr/>
            </w:pPr>
            <w:r>
              <w:t xml:space="preserve">103,0</w:t>
            </w:r>
            <w:r/>
          </w:p>
        </w:tc>
        <w:tc>
          <w:tcPr>
            <w:tcBorders/>
            <w:tcW w:w="2268" w:type="dxa"/>
            <w:vAlign w:val="center"/>
            <w:textDirection w:val="lrTb"/>
            <w:noWrap w:val="false"/>
          </w:tcPr>
          <w:p>
            <w:pPr>
              <w:pBdr/>
              <w:spacing/>
              <w:ind/>
              <w:jc w:val="center"/>
              <w:rPr/>
            </w:pPr>
            <w:r>
              <w:t xml:space="preserve">103,0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9</w:t>
            </w:r>
            <w:r/>
          </w:p>
        </w:tc>
        <w:tc>
          <w:tcPr>
            <w:tcBorders/>
            <w:tcW w:w="1701" w:type="dxa"/>
            <w:vAlign w:val="center"/>
            <w:textDirection w:val="lrTb"/>
            <w:noWrap w:val="false"/>
          </w:tcPr>
          <w:p>
            <w:pPr>
              <w:pBdr/>
              <w:spacing/>
              <w:ind/>
              <w:jc w:val="center"/>
              <w:rPr/>
            </w:pPr>
            <w:r>
              <w:t xml:space="preserve">Mặt tiền</w:t>
            </w:r>
            <w:r/>
          </w:p>
        </w:tc>
        <w:tc>
          <w:tcPr>
            <w:tcBorders/>
            <w:tcW w:w="2268" w:type="dxa"/>
            <w:vAlign w:val="center"/>
            <w:textDirection w:val="lrTb"/>
            <w:noWrap w:val="false"/>
          </w:tcPr>
          <w:p>
            <w:pPr>
              <w:pBdr/>
              <w:spacing/>
              <w:ind/>
              <w:jc w:val="center"/>
              <w:rPr/>
            </w:pPr>
            <w:r>
              <w:t xml:space="preserve">5,0</w:t>
            </w:r>
            <w:r/>
          </w:p>
        </w:tc>
        <w:tc>
          <w:tcPr>
            <w:tcBorders/>
            <w:tcW w:w="2268" w:type="dxa"/>
            <w:vAlign w:val="center"/>
            <w:textDirection w:val="lrTb"/>
            <w:noWrap w:val="false"/>
          </w:tcPr>
          <w:p>
            <w:pPr>
              <w:pBdr/>
              <w:spacing/>
              <w:ind/>
              <w:jc w:val="center"/>
              <w:rPr/>
            </w:pPr>
            <w:r>
              <w:t xml:space="preserve">5,0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10</w:t>
            </w:r>
            <w:r/>
          </w:p>
        </w:tc>
        <w:tc>
          <w:tcPr>
            <w:tcBorders/>
            <w:tcW w:w="1701" w:type="dxa"/>
            <w:vAlign w:val="center"/>
            <w:textDirection w:val="lrTb"/>
            <w:noWrap w:val="false"/>
          </w:tcPr>
          <w:p>
            <w:pPr>
              <w:pBdr/>
              <w:spacing/>
              <w:ind/>
              <w:jc w:val="center"/>
              <w:rPr/>
            </w:pPr>
            <w:r>
              <w:t xml:space="preserve">Chiều sâu</w:t>
            </w:r>
            <w:r/>
          </w:p>
        </w:tc>
        <w:tc>
          <w:tcPr>
            <w:tcBorders/>
            <w:tcW w:w="2268" w:type="dxa"/>
            <w:vAlign w:val="center"/>
            <w:textDirection w:val="lrTb"/>
            <w:noWrap w:val="false"/>
          </w:tcPr>
          <w:p>
            <w:pPr>
              <w:pBdr/>
              <w:spacing/>
              <w:ind/>
              <w:jc w:val="center"/>
              <w:rPr/>
            </w:pPr>
            <w:r>
              <w:t xml:space="preserve">20,5-20,8</w:t>
            </w:r>
            <w:r/>
          </w:p>
        </w:tc>
        <w:tc>
          <w:tcPr>
            <w:tcBorders/>
            <w:tcW w:w="2268" w:type="dxa"/>
            <w:vAlign w:val="center"/>
            <w:textDirection w:val="lrTb"/>
            <w:noWrap w:val="false"/>
          </w:tcPr>
          <w:p>
            <w:pPr>
              <w:pBdr/>
              <w:spacing/>
              <w:ind/>
              <w:jc w:val="center"/>
              <w:rPr/>
            </w:pPr>
            <w:r>
              <w:t xml:space="preserve">20,5-20,8</w:t>
            </w:r>
            <w:r>
              <w:t xml:space="preserve">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11</w:t>
            </w:r>
            <w:r/>
          </w:p>
        </w:tc>
        <w:tc>
          <w:tcPr>
            <w:tcBorders/>
            <w:tcW w:w="1701" w:type="dxa"/>
            <w:vAlign w:val="center"/>
            <w:textDirection w:val="lrTb"/>
            <w:noWrap w:val="false"/>
          </w:tcPr>
          <w:p>
            <w:pPr>
              <w:pBdr/>
              <w:spacing/>
              <w:ind/>
              <w:jc w:val="center"/>
              <w:rPr/>
            </w:pPr>
            <w:r>
              <w:t xml:space="preserve">Mặt tiếp giáp</w:t>
            </w:r>
            <w:r/>
          </w:p>
        </w:tc>
        <w:tc>
          <w:tcPr>
            <w:tcBorders/>
            <w:tcW w:w="2268" w:type="dxa"/>
            <w:vAlign w:val="center"/>
            <w:textDirection w:val="lrTb"/>
            <w:noWrap w:val="false"/>
          </w:tcPr>
          <w:p>
            <w:pPr>
              <w:pBdr/>
              <w:spacing/>
              <w:ind/>
              <w:jc w:val="center"/>
              <w:rPr/>
            </w:pPr>
            <w:r>
              <w:t xml:space="preserve">01 mặt tiền</w:t>
            </w:r>
            <w:r/>
          </w:p>
        </w:tc>
        <w:tc>
          <w:tcPr>
            <w:tcBorders/>
            <w:tcW w:w="2268" w:type="dxa"/>
            <w:vAlign w:val="center"/>
            <w:textDirection w:val="lrTb"/>
            <w:noWrap w:val="false"/>
          </w:tcPr>
          <w:p>
            <w:pPr>
              <w:pBdr/>
              <w:spacing/>
              <w:ind/>
              <w:jc w:val="center"/>
              <w:rPr/>
            </w:pPr>
            <w:r>
              <w:t xml:space="preserve">01 mặt tiền✔</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12</w:t>
            </w:r>
            <w:r/>
          </w:p>
        </w:tc>
        <w:tc>
          <w:tcPr>
            <w:tcBorders/>
            <w:tcW w:w="1701" w:type="dxa"/>
            <w:vAlign w:val="center"/>
            <w:textDirection w:val="lrTb"/>
            <w:noWrap w:val="false"/>
          </w:tcPr>
          <w:p>
            <w:pPr>
              <w:pBdr/>
              <w:spacing/>
              <w:ind/>
              <w:jc w:val="center"/>
              <w:rPr/>
            </w:pPr>
            <w:r>
              <w:t xml:space="preserve">Hình dạng thửa đất</w:t>
            </w:r>
            <w:r/>
          </w:p>
        </w:tc>
        <w:tc>
          <w:tcPr>
            <w:tcBorders/>
            <w:tcW w:w="2268" w:type="dxa"/>
            <w:vAlign w:val="center"/>
            <w:textDirection w:val="lrTb"/>
            <w:noWrap w:val="false"/>
          </w:tcPr>
          <w:p>
            <w:pPr>
              <w:pBdr/>
              <w:spacing/>
              <w:ind/>
              <w:jc w:val="center"/>
              <w:rPr/>
            </w:pPr>
            <w:r>
              <w:t xml:space="preserve">Hình chữ nhật</w:t>
            </w:r>
            <w:r/>
          </w:p>
        </w:tc>
        <w:tc>
          <w:tcPr>
            <w:tcBorders/>
            <w:tcW w:w="2268" w:type="dxa"/>
            <w:vAlign w:val="center"/>
            <w:textDirection w:val="lrTb"/>
            <w:noWrap w:val="false"/>
          </w:tcPr>
          <w:p>
            <w:pPr>
              <w:pBdr/>
              <w:spacing/>
              <w:ind/>
              <w:jc w:val="center"/>
              <w:rPr/>
            </w:pPr>
            <w:r>
              <w:t xml:space="preserve">Hình chữ nhật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13</w:t>
            </w:r>
            <w:r/>
          </w:p>
        </w:tc>
        <w:tc>
          <w:tcPr>
            <w:tcBorders/>
            <w:tcW w:w="1701" w:type="dxa"/>
            <w:vAlign w:val="center"/>
            <w:textDirection w:val="lrTb"/>
            <w:noWrap w:val="false"/>
          </w:tcPr>
          <w:p>
            <w:pPr>
              <w:pBdr/>
              <w:spacing/>
              <w:ind/>
              <w:jc w:val="center"/>
              <w:rPr/>
            </w:pPr>
            <w:r>
              <w:t xml:space="preserve">Hướng</w:t>
            </w:r>
            <w:r/>
          </w:p>
        </w:tc>
        <w:tc>
          <w:tcPr>
            <w:tcBorders/>
            <w:tcW w:w="2268" w:type="dxa"/>
            <w:vAlign w:val="center"/>
            <w:textDirection w:val="lrTb"/>
            <w:noWrap w:val="false"/>
          </w:tcPr>
          <w:p>
            <w:pPr>
              <w:pBdr/>
              <w:spacing/>
              <w:ind/>
              <w:jc w:val="center"/>
              <w:rPr/>
            </w:pPr>
            <w:r>
              <w:t xml:space="preserve">Tây</w:t>
            </w:r>
            <w:r/>
          </w:p>
        </w:tc>
        <w:tc>
          <w:tcPr>
            <w:tcBorders/>
            <w:tcW w:w="2268" w:type="dxa"/>
            <w:vAlign w:val="center"/>
            <w:textDirection w:val="lrTb"/>
            <w:noWrap w:val="false"/>
          </w:tcPr>
          <w:p>
            <w:pPr>
              <w:pBdr/>
              <w:spacing/>
              <w:ind/>
              <w:jc w:val="center"/>
              <w:rPr/>
            </w:pPr>
            <w:r>
              <w:t xml:space="preserve">Tây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86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KDC Nam Ngạn, phường Nếnh,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KDC Nam Ngạn, phường Nếnh, tỉnh Bắc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dân cư Đồng Vân, phường Nếnh, tỉnh Bắc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Khu đất ở và kinh doanh dịch vụ Quang Châu, phường Nếnh, tỉnh Bắc Ninh</w:t>
            </w:r>
            <w:r/>
          </w:p>
        </w:tc>
      </w:tr>
      <w:tr>
        <w:trPr>
          <w:trHeight w:val="115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https://www.facebook.com/groups/bdsvietyenbacgiang/permalink/1384719332984389/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https://www.facebook.com/groups/bdsvietyenbacgiang/permalink/1414249360031386/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https://www.facebook.com/groups/batdongsanbacgiang1/permalink/4167284490251038/</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0979.548.086</w:t>
              <w:br/>
              <w:t xml:space="preserve">(Sale Ngọc)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0399.631.659</w:t>
              <w:br/>
              <w:t xml:space="preserve">(Sale Nguyễn Phương)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0912.788.123</w:t>
              <w:br/>
              <w:t xml:space="preserve">(Sale Linh)</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02/2026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02/2026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02/2026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0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đường nội bộ khu dân cư Nam Ngạn, phường Nếnh, tỉnh Bắc Ninh; cách đường QL17 khoảng 1km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đường nội bộ Khu dân cư Thôn Nam Ngạn, phường Nếnh, tỉnh Bắc Ninh; cách đường QL17 khoảng 1km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đường nội bộ Khu dân cư Đồng Vân, phường Nếnh, tỉnh Bắc Ninh; cách đường QL17 khoảng 550m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tiếp giáp đường nội bộ Khu đất ở và kinh doanh dịch vụ Quang Châu, phường Nếnh, tỉnh Bắc Ninh; cách đường QL17 khoảng 550m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7m+vỉa hè mỗi bên 2,5m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7m+vỉa hè mỗi bên 2,5m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7m+vỉa hè mỗi bên 3m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6m+vỉa hè mỗi bên 3m</w:t>
            </w:r>
            <w:r/>
          </w:p>
        </w:tc>
      </w:tr>
      <w:tr>
        <w:trPr>
          <w:trHeight w:val="28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103,0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114,0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72,0</w:t>
            </w:r>
            <w:r/>
          </w:p>
        </w:tc>
      </w:tr>
      <w:tr>
        <w:trPr>
          <w:trHeight w:val="13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r>
      <w:tr>
        <w:trPr>
          <w:trHeight w:val="43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44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r>
      <w:tr>
        <w:trPr>
          <w:trHeight w:val="40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Ngõ cụt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Ngõ cụt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Ngõ thông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Ngõ thông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19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3.139.500.000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3.139.500.000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42.320.000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43.604.167</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50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76" w:lineRule="auto"/>
              <w:ind/>
              <w:rPr/>
            </w:pPr>
            <w:r>
              <w:rPr>
                <w:rFonts w:ascii="Times New Roman" w:hAnsi="Times New Roman" w:eastAsia="Times New Roman" w:cs="Times New Roman"/>
                <w:color w:val="000000"/>
                <w:sz w:val="22"/>
              </w:rPr>
              <w:t xml:space="preserve">Điều kiện cơ sở hạ tầng kỹ thuật</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4.232.000.000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3.139.500.000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39.912.281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42.320.000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43.604.167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sz w:val="22"/>
                <w:szCs w:val="22"/>
              </w:rPr>
            </w:pPr>
            <w:r>
              <w:rPr>
                <w:sz w:val="22"/>
                <w:szCs w:val="22"/>
              </w:rPr>
              <w:t xml:space="preserve">C1</w:t>
            </w:r>
            <w:r>
              <w:rPr>
                <w:sz w:val="22"/>
                <w:szCs w:val="22"/>
              </w:rPr>
            </w:r>
            <w:r>
              <w:rPr>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43.604.167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tiếp giáp đường nội bộ khu dân cư Nam Ngạn, phường Nếnh, tỉnh Bắc Ninh; cách đường QL17 khoảng 1km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tiếp giáp đường nội bộ Khu dân cư Thôn Nam Ngạn, phường Nếnh, tỉnh Bắc Ninh; cách đường QL17 khoảng 1km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tiếp giáp đường nội bộ Khu dân cư Đồng Vân, phường Nếnh, tỉnh Bắc Ninh; cách đường QL17 khoảng 550m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tiếp giáp đường nội bộ Khu đất ở và kinh doanh dịch vụ Quang Châu, phường Nếnh, tỉnh Bắc Ninh; cách đường QL17 khoảng 550m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-2.180.208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41.423.959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7m+vỉa hè mỗi bên 2,5m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7m+vỉa hè mỗi bên 2,5m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7m+vỉa hè mỗi bên 3m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6m+vỉa hè mỗi bên 3m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41.423.959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103,0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114,0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72,0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-2.180.208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39.912.281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39.243.751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-1.995.614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2.180.208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37.916.667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41.423.959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37.916.667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41.423.959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37.916.667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40.204.000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41.423.959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C8</w:t>
            </w:r>
            <w:r/>
          </w:p>
          <w:p>
            <w:pPr>
              <w:pBdr/>
              <w:spacing/>
              <w:ind/>
              <w:rPr/>
            </w:pPr>
            <w:r/>
            <w:r/>
          </w:p>
        </w:tc>
        <w:tc>
          <w:tcPr>
            <w:shd w:val="clear" w:color="000000" w:fill="ffffff"/>
            <w:tcBorders/>
            <w:tcW w:w="1765" w:type="dxa"/>
            <w:vAlign w:val="center"/>
            <w:vMerge w:val="restart"/>
            <w:textDirection w:val="lrTb"/>
            <w:noWrap/>
          </w:tcPr>
          <w:p>
            <w:pPr>
              <w:pBdr/>
              <w:spacing w:after="0" w:before="0" w:line="240" w:lineRule="auto"/>
              <w:ind/>
              <w:rPr/>
            </w:pPr>
            <w:r>
              <w:rPr>
                <w:rFonts w:ascii="Times New Roman" w:hAnsi="Times New Roman" w:eastAsia="Times New Roman" w:cs="Times New Roman"/>
                <w:b/>
                <w:color w:val="000000"/>
                <w:sz w:val="22"/>
              </w:rPr>
              <w:t xml:space="preserve">Điều kiện cơ sở hạ tầng kỹ thuật</w:t>
            </w:r>
            <w:r/>
          </w:p>
        </w:tc>
        <w:tc>
          <w:tcPr>
            <w:shd w:val="clear" w:color="000000" w:fill="ffffff"/>
            <w:tcBorders/>
            <w:tcW w:w="103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Ngõ cụt</w:t>
            </w:r>
            <w:r/>
          </w:p>
        </w:tc>
        <w:tc>
          <w:tcPr>
            <w:shd w:val="clear" w:color="000000" w:fill="ffffff"/>
            <w:tcBorders/>
            <w:tcW w:w="152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Ngõ cụt</w:t>
            </w:r>
            <w:r/>
          </w:p>
        </w:tc>
        <w:tc>
          <w:tcPr>
            <w:shd w:val="clear" w:color="000000" w:fill="ffffff"/>
            <w:tcBorders/>
            <w:tcW w:w="152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Ngõ thông</w:t>
            </w:r>
            <w:r/>
          </w:p>
        </w:tc>
        <w:tc>
          <w:tcPr>
            <w:shd w:val="clear" w:color="000000" w:fill="ffffff"/>
            <w:tcBorders/>
            <w:tcW w:w="152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Ngõ thông</w:t>
            </w:r>
            <w:r/>
          </w:p>
        </w:tc>
      </w:tr>
      <w:tr>
        <w:trPr>
          <w:trHeight w:val="20"/>
        </w:trPr>
        <w:tc>
          <w:tcPr>
            <w:shd w:val="clear" w:color="000000" w:fill="ffffff"/>
            <w:tcBorders/>
            <w:tcW w:w="632" w:type="dxa"/>
            <w:vAlign w:val="center"/>
            <w:vMerge w:val="continue"/>
            <w:textDirection w:val="lrTb"/>
            <w:noWrap/>
          </w:tcPr>
          <w:p>
            <w:pPr>
              <w:pBdr/>
              <w:spacing/>
              <w:ind/>
              <w:rPr/>
            </w:pPr>
            <w:r/>
            <w:r/>
          </w:p>
        </w:tc>
        <w:tc>
          <w:tcPr>
            <w:shd w:val="clear" w:color="000000" w:fill="ffffff"/>
            <w:tcBorders/>
            <w:tcW w:w="1765" w:type="dxa"/>
            <w:vAlign w:val="center"/>
            <w:vMerge w:val="restart"/>
            <w:textDirection w:val="lrTb"/>
            <w:noWrap/>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000000" w:fill="ffffff"/>
            <w:tcBorders/>
            <w:tcW w:w="152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000000" w:fill="ffffff"/>
            <w:tcBorders/>
            <w:tcW w:w="152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20"/>
        </w:trPr>
        <w:tc>
          <w:tcPr>
            <w:shd w:val="clear" w:color="000000" w:fill="ffffff"/>
            <w:tcBorders/>
            <w:tcW w:w="632" w:type="dxa"/>
            <w:vAlign w:val="center"/>
            <w:vMerge w:val="continue"/>
            <w:textDirection w:val="lrTb"/>
            <w:noWrap/>
          </w:tcPr>
          <w:p>
            <w:pPr>
              <w:pBdr/>
              <w:spacing/>
              <w:ind/>
              <w:rPr/>
            </w:pPr>
            <w:r/>
            <w:r/>
          </w:p>
        </w:tc>
        <w:tc>
          <w:tcPr>
            <w:shd w:val="clear" w:color="000000" w:fill="ffffff"/>
            <w:tcBorders/>
            <w:tcW w:w="1765" w:type="dxa"/>
            <w:vAlign w:val="center"/>
            <w:vMerge w:val="restart"/>
            <w:textDirection w:val="lrTb"/>
            <w:noWrap/>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-4.232.000 </w:t>
            </w:r>
            <w:r/>
          </w:p>
        </w:tc>
        <w:tc>
          <w:tcPr>
            <w:shd w:val="clear" w:color="000000" w:fill="ffffff"/>
            <w:tcBorders/>
            <w:tcW w:w="152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-4.360.417 </w:t>
            </w:r>
            <w:r/>
          </w:p>
        </w:tc>
      </w:tr>
      <w:tr>
        <w:trPr>
          <w:trHeight w:val="20"/>
        </w:trPr>
        <w:tc>
          <w:tcPr>
            <w:shd w:val="clear" w:color="000000" w:fill="ffffff"/>
            <w:tcBorders/>
            <w:tcW w:w="632" w:type="dxa"/>
            <w:vAlign w:val="center"/>
            <w:vMerge w:val="continue"/>
            <w:textDirection w:val="lrTb"/>
            <w:noWrap/>
          </w:tcPr>
          <w:p>
            <w:pPr>
              <w:pBdr/>
              <w:spacing/>
              <w:ind/>
              <w:rPr/>
            </w:pPr>
            <w:r/>
            <w:r/>
          </w:p>
        </w:tc>
        <w:tc>
          <w:tcPr>
            <w:shd w:val="clear" w:color="000000" w:fill="ffffff"/>
            <w:tcBorders/>
            <w:tcW w:w="1765" w:type="dxa"/>
            <w:vAlign w:val="center"/>
            <w:vMerge w:val="restart"/>
            <w:textDirection w:val="lrTb"/>
            <w:noWrap/>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37.916.667 </w:t>
            </w:r>
            <w:r/>
          </w:p>
        </w:tc>
        <w:tc>
          <w:tcPr>
            <w:shd w:val="clear" w:color="000000" w:fill="ffffff"/>
            <w:tcBorders/>
            <w:tcW w:w="152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35.972.000 </w:t>
            </w:r>
            <w:r/>
          </w:p>
        </w:tc>
        <w:tc>
          <w:tcPr>
            <w:shd w:val="clear" w:color="000000" w:fill="ffffff"/>
            <w:tcBorders/>
            <w:tcW w:w="152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37.063.542 </w:t>
            </w:r>
            <w:r/>
          </w:p>
        </w:tc>
      </w:tr>
      <w:tr>
        <w:trPr>
          <w:trHeight w:val="20"/>
        </w:trPr>
        <w:tc>
          <w:tcPr>
            <w:shd w:val="clear" w:color="000000" w:fill="ffffff"/>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000000" w:fill="ffffff"/>
            <w:tcBorders/>
            <w:tcW w:w="176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37.916.667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35.972.000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37.063.542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36.984.070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2,52%</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-2,74%</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0,21%</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1.995.614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6.348.000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10.901.041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- 5%</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- 10%</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- 10%</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1.995.614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6.348.000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6.540.625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-2,74</w:t>
      </w:r>
      <w:r>
        <w:t xml:space="preserve">% </w:t>
      </w:r>
      <w:r>
        <w:t xml:space="preserve">đến</w:t>
      </w:r>
      <w:r>
        <w:t xml:space="preserve"> </w:t>
      </w:r>
      <w:r>
        <w:t xml:space="preserve"> </w:t>
      </w:r>
      <w:r>
        <w:t xml:space="preserve">2,52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hd w:val="nil" w:color="auto"/>
        <w:spacing/>
        <w:ind/>
        <w:rPr>
          <w:b/>
          <w:bCs/>
          <w:i/>
          <w:u w:val="single"/>
        </w:rPr>
      </w:pPr>
      <w:r>
        <w:rPr>
          <w:b/>
          <w:bCs/>
          <w:i/>
          <w:iCs/>
          <w:highlight w:val="none"/>
          <w:u w:val="single"/>
        </w:rPr>
        <w:br w:type="page" w:clear="all"/>
      </w:r>
      <w:r>
        <w:rPr>
          <w:b/>
          <w:bCs/>
          <w:i/>
          <w:u w:val="single"/>
        </w:rPr>
      </w:r>
      <w:r>
        <w:rPr>
          <w:b/>
          <w:bCs/>
          <w:i/>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37.916.667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12.641.417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35.972.000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11.989.468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37.063.542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12.353.279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36.984.164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37.000.000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37.000.000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843"/>
        <w:gridCol w:w="1984"/>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39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1202, tờ bản đồ số 216 có địa chỉ: KDC Nam Ngạn, phường Nếnh, tỉnh Bắc Ninh theo Giấy chứng nhận quyền sử dụng đất, quyền sở hữu tài sản gắn liền với đất số: AA 05856458, số vào sổ cấp GCN: CN 4511 do Chi nhánh văn phòng </w:t>
            </w:r>
            <w:r>
              <w:rPr>
                <w:rFonts w:ascii="Times New Roman" w:hAnsi="Times New Roman" w:eastAsia="Times New Roman" w:cs="Times New Roman"/>
                <w:b/>
                <w:color w:val="000000"/>
                <w:sz w:val="24"/>
              </w:rPr>
              <w:t xml:space="preserve">đăng ký đất đai liên phường Việt Yên cấp ngày 28/01/2026; Chủ sử dụng đất là Ông Nguyễn Đình Thắng và vợ Bà Dương Thị Tiến.</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pPr>
              <w:pBdr/>
              <w:spacing w:after="0" w:before="0" w:line="276" w:lineRule="auto"/>
              <w:ind/>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84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103,0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37.000.000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3.811.000.000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3.811.000.000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Ba tỷ, tám trăm mười một triệu đồng chẵn./.)</w:t>
            </w: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275/2025/0244/VFI-CT.21.A</w:t>
      </w:r>
      <w:r>
        <w:rPr>
          <w:color w:val="ff0000"/>
          <w:lang w:val="vi-VN"/>
        </w:rPr>
        <w:t xml:space="preserve"> </w:t>
      </w:r>
      <w:r>
        <w:rPr>
          <w:color w:val="000000" w:themeColor="text1"/>
        </w:rPr>
        <w:t xml:space="preserve">ngày 02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5148" w:type="pct"/>
        <w:tblBorders/>
        <w:tblLayout w:type="fixed"/>
        <w:tblLook w:val="01E0" w:firstRow="1" w:lastRow="1" w:firstColumn="1" w:lastColumn="1" w:noHBand="0" w:noVBand="0"/>
      </w:tblPr>
      <w:tblGrid>
        <w:gridCol w:w="4677"/>
        <w:gridCol w:w="5130"/>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30"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3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13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275/2025/0244/VFI-BC.21.A</w:t>
      </w:r>
      <w:r>
        <w:rPr>
          <w:i/>
          <w:lang w:val="pt-BR"/>
        </w:rPr>
        <w:t xml:space="preserve"> ngày 0</w:t>
      </w:r>
      <w:r>
        <w:rPr>
          <w:i/>
          <w:lang w:val="pt-BR"/>
        </w:rPr>
        <w:t xml:space="preserve">2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hướng dẫn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18720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88548" name=""/>
                              <pic:cNvPicPr>
                                <a:picLocks noChangeAspect="1"/>
                              </pic:cNvPicPr>
                              <pic:nvPr/>
                            </pic:nvPicPr>
                            <pic:blipFill rotWithShape="1">
                              <a:blip r:embed="rId18"/>
                              <a:stretch/>
                            </pic:blipFill>
                            <pic:spPr bwMode="auto">
                              <a:xfrm rot="0" flipH="0" flipV="0">
                                <a:off x="0" y="0"/>
                                <a:ext cx="2880000" cy="1872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6.77pt;height:147.40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18576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67994" name=""/>
                              <pic:cNvPicPr>
                                <a:picLocks noChangeAspect="1"/>
                              </pic:cNvPicPr>
                              <pic:nvPr/>
                            </pic:nvPicPr>
                            <pic:blipFill rotWithShape="1">
                              <a:blip r:embed="rId19"/>
                              <a:stretch/>
                            </pic:blipFill>
                            <pic:spPr bwMode="auto">
                              <a:xfrm rot="0" flipH="0" flipV="0">
                                <a:off x="0" y="0"/>
                                <a:ext cx="2880000" cy="18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46.27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18936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555" name=""/>
                              <pic:cNvPicPr>
                                <a:picLocks noChangeAspect="1"/>
                              </pic:cNvPicPr>
                              <pic:nvPr/>
                            </pic:nvPicPr>
                            <pic:blipFill rotWithShape="1">
                              <a:blip r:embed="rId20"/>
                              <a:stretch/>
                            </pic:blipFill>
                            <pic:spPr bwMode="auto">
                              <a:xfrm rot="0" flipH="0" flipV="0">
                                <a:off x="0" y="0"/>
                                <a:ext cx="2880000" cy="18935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49.10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18684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59424" name=""/>
                              <pic:cNvPicPr>
                                <a:picLocks noChangeAspect="1"/>
                              </pic:cNvPicPr>
                              <pic:nvPr/>
                            </pic:nvPicPr>
                            <pic:blipFill rotWithShape="1">
                              <a:blip r:embed="rId21"/>
                              <a:stretch/>
                            </pic:blipFill>
                            <pic:spPr bwMode="auto">
                              <a:xfrm rot="0" flipH="0" flipV="0">
                                <a:off x="0" y="0"/>
                                <a:ext cx="2880000" cy="1868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47.12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18864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60442" name=""/>
                              <pic:cNvPicPr>
                                <a:picLocks noChangeAspect="1"/>
                              </pic:cNvPicPr>
                              <pic:nvPr/>
                            </pic:nvPicPr>
                            <pic:blipFill rotWithShape="1">
                              <a:blip r:embed="rId22"/>
                              <a:stretch/>
                            </pic:blipFill>
                            <pic:spPr bwMode="auto">
                              <a:xfrm rot="0" flipH="0" flipV="0">
                                <a:off x="0" y="0"/>
                                <a:ext cx="2880000" cy="1886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48.54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18828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240666" name=""/>
                              <pic:cNvPicPr>
                                <a:picLocks noChangeAspect="1"/>
                              </pic:cNvPicPr>
                              <pic:nvPr/>
                            </pic:nvPicPr>
                            <pic:blipFill rotWithShape="1">
                              <a:blip r:embed="rId23"/>
                              <a:stretch/>
                            </pic:blipFill>
                            <pic:spPr bwMode="auto">
                              <a:xfrm rot="0" flipH="0" flipV="0">
                                <a:off x="0" y="0"/>
                                <a:ext cx="2880000" cy="1882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48.25pt;mso-wrap-distance-left:0.00pt;mso-wrap-distance-top:0.00pt;mso-wrap-distance-right:0.00pt;mso-wrap-distance-bottom:0.00pt;rotation:0;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275/2025/0244/VFI-BC.21.A</w:t>
      </w:r>
      <w:r>
        <w:rPr>
          <w:i/>
          <w:lang w:val="pt-BR"/>
        </w:rPr>
        <w:t xml:space="preserve"> ngày 0</w:t>
      </w:r>
      <w:r>
        <w:rPr>
          <w:i/>
          <w:lang w:val="pt-BR"/>
        </w:rPr>
        <w:t xml:space="preserve">2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mc:AlternateContent>
          <mc:Choice Requires="wpg">
            <w:drawing>
              <wp:inline xmlns:wp="http://schemas.openxmlformats.org/drawingml/2006/wordprocessingDrawing" distT="0" distB="0" distL="0" distR="0">
                <wp:extent cx="5246508" cy="666176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7765" name=""/>
                        <pic:cNvPicPr>
                          <a:picLocks noChangeAspect="1"/>
                        </pic:cNvPicPr>
                        <pic:nvPr/>
                      </pic:nvPicPr>
                      <pic:blipFill rotWithShape="1">
                        <a:blip r:embed="rId24"/>
                        <a:stretch/>
                      </pic:blipFill>
                      <pic:spPr bwMode="auto">
                        <a:xfrm flipH="0" flipV="0">
                          <a:off x="0" y="0"/>
                          <a:ext cx="5246508" cy="66617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3.11pt;height:524.55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517281" cy="106570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69375" name=""/>
                              <pic:cNvPicPr>
                                <a:picLocks noChangeAspect="1"/>
                              </pic:cNvPicPr>
                              <pic:nvPr/>
                            </pic:nvPicPr>
                            <pic:blipFill rotWithShape="1">
                              <a:blip r:embed="rId25"/>
                              <a:stretch/>
                            </pic:blipFill>
                            <pic:spPr bwMode="auto">
                              <a:xfrm flipH="0" flipV="0">
                                <a:off x="0" y="0"/>
                                <a:ext cx="1517281" cy="10657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9.47pt;height:83.91pt;mso-wrap-distance-left:0.00pt;mso-wrap-distance-top:0.00pt;mso-wrap-distance-right:0.00pt;mso-wrap-distance-bottom:0.00pt;z-index:1;" stroked="false">
                      <v:imagedata r:id="rId25"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b/>
          <w:bCs/>
          <w:iCs/>
          <w:lang w:val="pt-BR"/>
        </w:rPr>
      </w:pPr>
      <w:r>
        <w:rPr>
          <w:b/>
          <w:bCs/>
          <w:iCs/>
          <w:lang w:val="pt-BR"/>
        </w:rPr>
      </w:r>
      <w:r>
        <mc:AlternateContent>
          <mc:Choice Requires="wpg">
            <w:drawing>
              <wp:inline xmlns:wp="http://schemas.openxmlformats.org/drawingml/2006/wordprocessingDrawing" distT="0" distB="0" distL="0" distR="0">
                <wp:extent cx="5429329" cy="704709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095028" name=""/>
                        <pic:cNvPicPr>
                          <a:picLocks noChangeAspect="1"/>
                        </pic:cNvPicPr>
                        <pic:nvPr/>
                      </pic:nvPicPr>
                      <pic:blipFill rotWithShape="1">
                        <a:blip r:embed="rId26"/>
                        <a:stretch/>
                      </pic:blipFill>
                      <pic:spPr bwMode="auto">
                        <a:xfrm flipH="0" flipV="0">
                          <a:off x="0" y="0"/>
                          <a:ext cx="5429327" cy="70470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27.51pt;height:554.89pt;mso-wrap-distance-left:0.00pt;mso-wrap-distance-top:0.00pt;mso-wrap-distance-right:0.00pt;mso-wrap-distance-bottom:0.00pt;z-index:1;" stroked="false">
                <v:imagedata r:id="rId26" o:title=""/>
                <o:lock v:ext="edit" rotation="t"/>
              </v:shape>
            </w:pict>
          </mc:Fallback>
        </mc:AlternateContent>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611564" cy="113193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318601" name=""/>
                              <pic:cNvPicPr>
                                <a:picLocks noChangeAspect="1"/>
                              </pic:cNvPicPr>
                              <pic:nvPr/>
                            </pic:nvPicPr>
                            <pic:blipFill rotWithShape="1">
                              <a:blip r:embed="rId27"/>
                              <a:stretch/>
                            </pic:blipFill>
                            <pic:spPr bwMode="auto">
                              <a:xfrm flipH="0" flipV="0">
                                <a:off x="0" y="0"/>
                                <a:ext cx="1611564" cy="11319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6.89pt;height:89.13pt;mso-wrap-distance-left:0.00pt;mso-wrap-distance-top:0.00pt;mso-wrap-distance-right:0.00pt;mso-wrap-distance-bottom:0.00pt;z-index:1;" stroked="false">
                      <v:imagedata r:id="rId27"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533501" cy="738841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35564" name=""/>
                        <pic:cNvPicPr>
                          <a:picLocks noChangeAspect="1"/>
                        </pic:cNvPicPr>
                        <pic:nvPr/>
                      </pic:nvPicPr>
                      <pic:blipFill rotWithShape="1">
                        <a:blip r:embed="rId28"/>
                        <a:stretch/>
                      </pic:blipFill>
                      <pic:spPr bwMode="auto">
                        <a:xfrm flipH="0" flipV="0">
                          <a:off x="0" y="0"/>
                          <a:ext cx="5533500" cy="73884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5.71pt;height:581.76pt;mso-wrap-distance-left:0.00pt;mso-wrap-distance-top:0.00pt;mso-wrap-distance-right:0.00pt;mso-wrap-distance-bottom:0.00pt;z-index:1;" stroked="false">
                <v:imagedata r:id="rId28"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444485" cy="1014579"/>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59242" name=""/>
                              <pic:cNvPicPr>
                                <a:picLocks noChangeAspect="1"/>
                              </pic:cNvPicPr>
                              <pic:nvPr/>
                            </pic:nvPicPr>
                            <pic:blipFill rotWithShape="1">
                              <a:blip r:embed="rId29"/>
                              <a:stretch/>
                            </pic:blipFill>
                            <pic:spPr bwMode="auto">
                              <a:xfrm flipH="0" flipV="0">
                                <a:off x="0" y="0"/>
                                <a:ext cx="1444484" cy="10145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3.74pt;height:79.89pt;mso-wrap-distance-left:0.00pt;mso-wrap-distance-top:0.00pt;mso-wrap-distance-right:0.00pt;mso-wrap-distance-bottom:0.00pt;z-index:1;" stroked="false">
                      <v:imagedata r:id="rId29" o:title=""/>
                      <o:lock v:ext="edit" rotation="t"/>
                    </v:shape>
                  </w:pict>
                </mc:Fallback>
              </mc:AlternateContent>
            </w:r>
            <w:r>
              <w:rPr>
                <w:b/>
                <w:bCs/>
              </w:rPr>
            </w:r>
            <w:r>
              <w:rPr>
                <w:b/>
                <w:bCs/>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867220"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0" o:title=""/>
                <o:lock v:ext="edit" rotation="t"/>
              </v:shape>
            </w:pict>
          </mc:Fallback>
        </mc:AlternateConten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02440"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05701"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iCs/>
          <w:highlight w:val="none"/>
          <w:lang w:val="pt-BR" w:bidi="pt-BR"/>
        </w:rP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1028A5D"/>
    <w:lvl w:ilvl="0">
      <w:isLgl w:val="false"/>
      <w:lvlJc w:val="left"/>
      <w:lvlText w:val="·"/>
      <w:numFmt w:val="bullet"/>
      <w:pPr>
        <w:pBdr/>
        <w:spacing/>
        <w:ind w:hanging="360" w:left="709"/>
      </w:pPr>
      <w:rPr>
        <w:rFonts w:hint="default" w:ascii="Symbol" w:hAnsi="Symbol" w:eastAsia="Symbol" w:cs="Symbol"/>
        <w:color w:val="212529"/>
        <w:sz w:val="21"/>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273</cp:revision>
  <dcterms:created xsi:type="dcterms:W3CDTF">2025-09-15T09:58:00Z</dcterms:created>
  <dcterms:modified xsi:type="dcterms:W3CDTF">2026-02-05T00:59:28Z</dcterms:modified>
</cp:coreProperties>
</file>