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20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20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275/2026/0247/VFI-CT.65.A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Bà </w:t>
                            </w:r>
                            <w:r>
                              <w:rPr>
                                <w:rFonts w:ascii="Times New Roman Bold" w:hAnsi="Times New Roman Bold"/>
                                <w:b/>
                                <w:color w:val="000000" w:themeColor="text1"/>
                                <w:lang w:val="pt-BR"/>
                              </w:rPr>
                              <w:t xml:space="preserve">Nguyễn Thị Huyền Trang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308, tờ bản đồ số 24 có địa chỉ: Thôn Cao Mật Thượng, xã Bình Minh, Thành phố Hà Nội theo Giấy chứng nhận quyền sử dụng đất, quyền sở hữu tài sản gắn liền với đất  số: AA 04486911, số vào sổ cấp GCN: CN 00658 do Chi nhán</w:t>
                            </w:r>
                            <w:r>
                              <w:rPr>
                                <w:rFonts w:ascii="Times New Roman" w:hAnsi="Times New Roman" w:eastAsia="Times New Roman" w:cs="Times New Roman"/>
                                <w:color w:val="000000"/>
                                <w:sz w:val="24"/>
                              </w:rPr>
                              <w:t xml:space="preserve">h Văn phòng đăng ký đất đai Hà Nội huyện Thanh Oai cấp ngày 27/12/2025; Chủ sử dụng đất là Bà Nguyễn Thị Huyền Trang và chồng: Nguyễn Quốc Ngọc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3.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275/2026/0247/VFI-CT.65.A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Bà </w:t>
                      </w:r>
                      <w:r>
                        <w:rPr>
                          <w:rFonts w:ascii="Times New Roman Bold" w:hAnsi="Times New Roman Bold"/>
                          <w:b/>
                          <w:color w:val="000000" w:themeColor="text1"/>
                          <w:lang w:val="pt-BR"/>
                        </w:rPr>
                        <w:t xml:space="preserve">Nguyễn Thị Huyền Trang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308, tờ bản đồ số 24 có địa chỉ: Thôn Cao Mật Thượng, xã Bình Minh, Thành phố Hà Nội theo Giấy chứng nhận quyền sử dụng đất, quyền sở hữu tài sản gắn liền với đất  số: AA 04486911, số vào sổ cấp GCN: CN 00658 do Chi nhán</w:t>
                      </w:r>
                      <w:r>
                        <w:rPr>
                          <w:rFonts w:ascii="Times New Roman" w:hAnsi="Times New Roman" w:eastAsia="Times New Roman" w:cs="Times New Roman"/>
                          <w:color w:val="000000"/>
                          <w:sz w:val="24"/>
                        </w:rPr>
                        <w:t xml:space="preserve">h Văn phòng đăng ký đất đai Hà Nội huyện Thanh Oai cấp ngày 27/12/2025; Chủ sử dụng đất là Bà Nguyễn Thị Huyền Trang và chồng: Nguyễn Quốc Ngọc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21-26</w:t>
            </w:r>
            <w:r>
              <w:rPr>
                <w:b/>
                <w:bCs/>
              </w:rPr>
            </w:r>
            <w:r>
              <w:rPr>
                <w:b/>
                <w:bCs/>
              </w:rPr>
            </w:r>
          </w:p>
        </w:tc>
      </w:tr>
      <w:tr>
        <w:trPr/>
        <w:tc>
          <w:tcPr>
            <w:tcBorders/>
            <w:tcMar>
              <w:left w:w="108" w:type="dxa"/>
              <w:top w:w="0" w:type="dxa"/>
              <w:right w:w="108" w:type="dxa"/>
              <w:bottom w:w="0" w:type="dxa"/>
            </w:tcMar>
            <w:tcW w:w="7280" w:type="dxa"/>
            <w:vAlign w:val="center"/>
            <w:vMerge w:val="restart"/>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3: Pháp lý tài sản</w:t>
            </w:r>
            <w:r>
              <w:rPr>
                <w:bCs/>
                <w:lang w:val="pt-BR"/>
              </w:rPr>
            </w:r>
            <w:r>
              <w:rPr>
                <w:bCs/>
                <w:lang w:val="pt-BR"/>
              </w:rPr>
            </w:r>
          </w:p>
        </w:tc>
        <w:tc>
          <w:tcPr>
            <w:tcBorders/>
            <w:tcMar>
              <w:left w:w="108" w:type="dxa"/>
              <w:top w:w="0" w:type="dxa"/>
              <w:right w:w="108" w:type="dxa"/>
              <w:bottom w:w="0" w:type="dxa"/>
            </w:tcMar>
            <w:tcW w:w="1520" w:type="dxa"/>
            <w:vAlign w:val="center"/>
            <w:vMerge w:val="restart"/>
            <w:textDirection w:val="lrTb"/>
            <w:noWrap w:val="false"/>
          </w:tcPr>
          <w:p>
            <w:pPr>
              <w:pBdr/>
              <w:spacing w:after="120" w:before="100" w:beforeAutospacing="1"/>
              <w:ind/>
              <w:jc w:val="right"/>
              <w:rPr>
                <w:b/>
                <w:bCs/>
              </w:rPr>
            </w:pPr>
            <w:r>
              <w:rPr>
                <w:b/>
                <w:bCs/>
              </w:rPr>
              <w:t xml:space="preserve">27-28</w:t>
            </w:r>
            <w:r>
              <w:rPr>
                <w:b/>
                <w:bCs/>
              </w:rPr>
            </w:r>
            <w:r>
              <w:rPr>
                <w:b/>
                <w:bCs/>
              </w:rPr>
            </w:r>
          </w:p>
        </w:tc>
      </w:tr>
      <w:tr>
        <w:trPr/>
        <w:tc>
          <w:tcPr>
            <w:tcBorders/>
            <w:tcMar>
              <w:left w:w="108" w:type="dxa"/>
              <w:top w:w="0" w:type="dxa"/>
              <w:right w:w="108" w:type="dxa"/>
              <w:bottom w:w="0" w:type="dxa"/>
            </w:tcMar>
            <w:tcW w:w="7280" w:type="dxa"/>
            <w:vAlign w:val="center"/>
            <w:vMerge w:val="restart"/>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4: Biên bản khảo sát</w:t>
            </w:r>
            <w:r>
              <w:rPr>
                <w:bCs/>
                <w:lang w:val="pt-BR"/>
              </w:rPr>
            </w:r>
            <w:r>
              <w:rPr>
                <w:bCs/>
                <w:lang w:val="pt-BR"/>
              </w:rPr>
            </w:r>
          </w:p>
        </w:tc>
        <w:tc>
          <w:tcPr>
            <w:tcBorders/>
            <w:tcMar>
              <w:left w:w="108" w:type="dxa"/>
              <w:top w:w="0" w:type="dxa"/>
              <w:right w:w="108" w:type="dxa"/>
              <w:bottom w:w="0" w:type="dxa"/>
            </w:tcMar>
            <w:tcW w:w="1520" w:type="dxa"/>
            <w:vAlign w:val="center"/>
            <w:vMerge w:val="restart"/>
            <w:textDirection w:val="lrTb"/>
            <w:noWrap w:val="false"/>
          </w:tcPr>
          <w:p>
            <w:pPr>
              <w:pBdr/>
              <w:spacing w:after="120" w:before="100" w:beforeAutospacing="1"/>
              <w:ind/>
              <w:jc w:val="right"/>
              <w:rPr>
                <w:b/>
                <w:bCs/>
              </w:rPr>
            </w:pPr>
            <w:r>
              <w:rPr>
                <w:b/>
                <w:bCs/>
              </w:rPr>
              <w:t xml:space="preserve">29</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8" w:type="dxa"/>
        <w:tblBorders/>
        <w:tblLayout w:type="fixed"/>
        <w:tblLook w:val="04A0" w:firstRow="1" w:lastRow="0" w:firstColumn="1" w:lastColumn="0" w:noHBand="0" w:noVBand="1"/>
      </w:tblPr>
      <w:tblGrid>
        <w:gridCol w:w="170"/>
        <w:gridCol w:w="1417"/>
        <w:gridCol w:w="2409"/>
        <w:gridCol w:w="5961"/>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7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88"/>
        </w:trPr>
        <w:tc>
          <w:tcPr>
            <w:gridSpan w:val="2"/>
            <w:shd w:val="clear" w:color="auto" w:fill="auto"/>
            <w:tcBorders/>
            <w:tcMar>
              <w:left w:w="108" w:type="dxa"/>
              <w:top w:w="0" w:type="dxa"/>
              <w:right w:w="108" w:type="dxa"/>
              <w:bottom w:w="0" w:type="dxa"/>
            </w:tcMar>
            <w:tcW w:w="382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275/2026/0247/VFI-CT.65.A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61"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02 tháng 02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 Bà</w:t>
      </w:r>
      <w:r>
        <w:rPr>
          <w:b/>
          <w:lang w:val="pt-BR"/>
        </w:rPr>
        <w:t xml:space="preserve"> </w:t>
      </w:r>
      <w:r>
        <w:rPr>
          <w:rFonts w:ascii="Times New Roman Bold" w:hAnsi="Times New Roman Bold"/>
          <w:b/>
          <w:color w:val="000000" w:themeColor="text1"/>
          <w:lang w:val="pt-BR"/>
        </w:rPr>
        <w:t xml:space="preserve">Nguyễn Thị Huyền Trang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275/2026/0247/VFI-HĐTĐ.65.A</w:t>
      </w:r>
      <w:r>
        <w:rPr>
          <w:spacing w:val="-4"/>
          <w:lang w:val="vi-VN"/>
        </w:rPr>
        <w:t xml:space="preserve"> ký ngày </w:t>
      </w:r>
      <w:r>
        <w:rPr>
          <w:color w:val="000000" w:themeColor="text1"/>
          <w:spacing w:val="-4"/>
        </w:rPr>
        <w:t xml:space="preserve">22 tháng 01 năm 2026</w:t>
      </w:r>
      <w:r>
        <w:rPr>
          <w:spacing w:val="-4"/>
          <w:lang w:val="vi-VN"/>
        </w:rPr>
        <w:t xml:space="preserve"> </w:t>
      </w:r>
      <w:r>
        <w:rPr>
          <w:spacing w:val="-4"/>
          <w:lang w:val="vi-VN"/>
        </w:rPr>
        <w:t xml:space="preserve">giữa Bà </w:t>
      </w:r>
      <w:r>
        <w:rPr>
          <w:color w:val="000000" w:themeColor="text1"/>
          <w:spacing w:val="-4"/>
        </w:rPr>
        <w:t xml:space="preserve">Nguyễn Thị Huyền Trang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275/2026/0247/VFI-BC.65.A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02 tháng 02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ind/>
              <w:rPr/>
            </w:pPr>
            <w:r>
              <w:rPr>
                <w:b/>
                <w:bCs/>
              </w:rPr>
              <w:t xml:space="preserve">Bà Nguyễn Thị Huyền Trang</w:t>
            </w: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001184007747</w:t>
            </w:r>
            <w:r>
              <w:rPr>
                <w:color w:val="ff0000"/>
                <w:lang w:val="pt-BR"/>
              </w:rPr>
            </w:r>
            <w:r>
              <w:rPr>
                <w:color w:val="ff0000"/>
                <w:lang w:val="pt-BR"/>
              </w:rPr>
            </w:r>
          </w:p>
        </w:tc>
      </w:tr>
      <w:tr>
        <w:trPr>
          <w:trHeight w:val="20"/>
        </w:trPr>
        <w:tc>
          <w:tcPr>
            <w:shd w:val="clear" w:color="ffffff" w:fill="ffffff"/>
            <w:tcBorders/>
            <w:tcW w:w="2113" w:type="dxa"/>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ffffff" w:fill="ffffff"/>
            <w:tcBorders/>
            <w:tcW w:w="472" w:type="dxa"/>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6940" w:type="dxa"/>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1984</w:t>
            </w:r>
            <w:r>
              <w:rPr>
                <w:color w:val="000000" w:themeColor="text1"/>
                <w:lang w:val="vi-VN"/>
              </w:rPr>
            </w:r>
            <w:r>
              <w:rPr>
                <w:color w:val="000000" w:themeColor="text1"/>
                <w:lang w:val="vi-VN"/>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Chợ, xã Bình Minh,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308, tờ bản đồ số 24 có địa chỉ: Thôn Cao Mật Thượng, xã Bình Minh, Thành phố Hà Nội theo Giấy chứng nhận quyền sử dụng đất, quyền sở hữu tài sản gắn liền với đất  số: AA 04486911, số vào sổ cấp GCN: CN 00658 do Chi nhán</w:t>
      </w:r>
      <w:r>
        <w:rPr>
          <w:rFonts w:ascii="Times New Roman" w:hAnsi="Times New Roman" w:eastAsia="Times New Roman" w:cs="Times New Roman"/>
          <w:color w:val="000000"/>
          <w:sz w:val="24"/>
        </w:rPr>
        <w:t xml:space="preserve">h Văn phòng đăng ký đất đai Hà Nội huyện Thanh Oai cấp ngày 27/12/2025; Chủ sử dụng đất là Bà Nguyễn Thị Huyền Trang và chồng: Nguyễn Quốc Ngọc</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517"/>
        <w:gridCol w:w="1802"/>
        <w:gridCol w:w="1951"/>
        <w:gridCol w:w="223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517"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95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270"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308, tờ bản đồ số 24 có địa chỉ: Thôn Cao Mật Thượng, xã Bình Minh, Thành phố Hà Nội theo Giấy chứng nhận quyền sử dụng đất, quyền sở hữu tài sản gắn liền với đất  số: AA 04486911, số vào sổ cấp GCN: CN 00658 do Chi nhán</w:t>
            </w:r>
            <w:r>
              <w:rPr>
                <w:rFonts w:ascii="Times New Roman" w:hAnsi="Times New Roman" w:eastAsia="Times New Roman" w:cs="Times New Roman"/>
                <w:b/>
                <w:bCs/>
                <w:color w:val="000000"/>
                <w:sz w:val="24"/>
              </w:rPr>
              <w:t xml:space="preserve">h Văn phòng đăng ký đất đai Hà Nội huyện Thanh Oai cấp ngày 27/12/2025; Chủ sử dụng đất là Bà Nguyễn Thị Huyền Trang và chồng: Nguyễn Quốc Ngọc</w:t>
            </w:r>
            <w:r>
              <w:rPr>
                <w:b/>
                <w:bCs/>
              </w:rPr>
              <w:t xml:space="preserve">.</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517"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69,0</w:t>
            </w:r>
            <w:r>
              <w:rPr>
                <w:color w:val="000000"/>
              </w:rPr>
            </w:r>
            <w:r>
              <w:rPr>
                <w:color w:val="000000"/>
              </w:rPr>
            </w:r>
          </w:p>
        </w:tc>
        <w:tc>
          <w:tcPr>
            <w:shd w:val="clear" w:color="000000" w:fill="ffffff"/>
            <w:tcBorders/>
            <w:tcW w:w="1951" w:type="dxa"/>
            <w:vAlign w:val="center"/>
            <w:textDirection w:val="lrTb"/>
            <w:noWrap w:val="false"/>
          </w:tcPr>
          <w:p>
            <w:pPr>
              <w:pBdr/>
              <w:spacing w:after="40" w:before="40" w:line="288" w:lineRule="auto"/>
              <w:ind/>
              <w:jc w:val="center"/>
              <w:rPr/>
            </w:pPr>
            <w:r>
              <w:rPr>
                <w:color w:val="000000" w:themeColor="text1"/>
              </w:rPr>
              <w:t xml:space="preserve">53.500.000</w:t>
            </w:r>
            <w:r/>
          </w:p>
        </w:tc>
        <w:tc>
          <w:tcPr>
            <w:shd w:val="clear" w:color="000000" w:fill="ffffff"/>
            <w:tcBorders/>
            <w:tcW w:w="2234" w:type="dxa"/>
            <w:vAlign w:val="center"/>
            <w:textDirection w:val="lrTb"/>
            <w:noWrap w:val="false"/>
          </w:tcPr>
          <w:p>
            <w:pPr>
              <w:pBdr/>
              <w:spacing w:after="40" w:before="40" w:line="288" w:lineRule="auto"/>
              <w:ind/>
              <w:jc w:val="center"/>
              <w:rPr/>
            </w:pPr>
            <w:r>
              <w:rPr>
                <w:color w:val="000000" w:themeColor="text1"/>
              </w:rPr>
              <w:t xml:space="preserve">3.691.500.000</w:t>
            </w:r>
            <w:r/>
          </w:p>
        </w:tc>
      </w:tr>
      <w:tr>
        <w:trPr>
          <w:trHeight w:val="20"/>
        </w:trPr>
        <w:tc>
          <w:tcPr>
            <w:gridSpan w:val="4"/>
            <w:tcBorders/>
            <w:tcW w:w="7223"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34" w:type="dxa"/>
            <w:vAlign w:val="center"/>
            <w:textDirection w:val="lrTb"/>
            <w:noWrap/>
          </w:tcPr>
          <w:p>
            <w:pPr>
              <w:pBdr/>
              <w:spacing w:after="40" w:before="40" w:line="288" w:lineRule="auto"/>
              <w:ind/>
              <w:jc w:val="center"/>
              <w:rPr>
                <w:b/>
                <w:bCs/>
                <w:color w:val="000000"/>
              </w:rPr>
            </w:pPr>
            <w:r>
              <w:rPr>
                <w:b/>
                <w:bCs/>
              </w:rPr>
              <w:t xml:space="preserve">3.691.500.000</w:t>
            </w:r>
            <w:r>
              <w:rPr>
                <w:b/>
                <w:bCs/>
                <w:color w:val="000000"/>
              </w:rPr>
            </w:r>
            <w:r>
              <w:rPr>
                <w:b/>
                <w:bCs/>
                <w:color w:val="000000"/>
              </w:rPr>
            </w:r>
          </w:p>
        </w:tc>
      </w:tr>
      <w:tr>
        <w:trPr>
          <w:trHeight w:val="20"/>
        </w:trPr>
        <w:tc>
          <w:tcPr>
            <w:gridSpan w:val="4"/>
            <w:tcBorders/>
            <w:tcW w:w="7223"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234" w:type="dxa"/>
            <w:vAlign w:val="center"/>
            <w:textDirection w:val="lrTb"/>
            <w:noWrap/>
          </w:tcPr>
          <w:p>
            <w:pPr>
              <w:pBdr/>
              <w:spacing w:after="40" w:before="40" w:line="288" w:lineRule="auto"/>
              <w:ind/>
              <w:jc w:val="center"/>
              <w:rPr>
                <w:b/>
                <w:bCs/>
                <w:color w:val="000000"/>
              </w:rPr>
            </w:pPr>
            <w:r>
              <w:rPr>
                <w:b/>
                <w:bCs/>
                <w:color w:val="000000"/>
              </w:rPr>
              <w:t xml:space="preserve">3.692.000.000</w:t>
            </w:r>
            <w:r>
              <w:rPr>
                <w:b/>
                <w:bCs/>
                <w:color w:val="000000"/>
              </w:rPr>
            </w:r>
            <w:r>
              <w:rPr>
                <w:b/>
                <w:bCs/>
                <w:color w:val="000000"/>
              </w:rPr>
            </w:r>
          </w:p>
        </w:tc>
      </w:tr>
      <w:tr>
        <w:trPr>
          <w:trHeight w:val="20"/>
        </w:trPr>
        <w:tc>
          <w:tcPr>
            <w:gridSpan w:val="5"/>
            <w:tcBorders/>
            <w:tcW w:w="9457"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sáu trăm chín mươi hai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78" w:type="dxa"/>
        <w:tblBorders/>
        <w:tblLayout w:type="fixed"/>
        <w:tblLook w:val="04A0" w:firstRow="1" w:lastRow="0" w:firstColumn="1" w:lastColumn="0" w:noHBand="0" w:noVBand="1"/>
      </w:tblPr>
      <w:tblGrid>
        <w:gridCol w:w="170"/>
        <w:gridCol w:w="1417"/>
        <w:gridCol w:w="2835"/>
        <w:gridCol w:w="5656"/>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9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42"/>
        </w:trPr>
        <w:tc>
          <w:tcPr>
            <w:gridSpan w:val="2"/>
            <w:shd w:val="clear" w:color="auto" w:fill="auto"/>
            <w:tcBorders/>
            <w:tcMar>
              <w:left w:w="108" w:type="dxa"/>
              <w:top w:w="0" w:type="dxa"/>
              <w:right w:w="108" w:type="dxa"/>
              <w:bottom w:w="0" w:type="dxa"/>
            </w:tcMar>
            <w:tcW w:w="4252"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275/2026/0247/VFI-CT.65.A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5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02 tháng 02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275/2026/0247/VFI-CT.65.A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02 tháng 02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b/>
                <w:color w:val="000000"/>
                <w:sz w:val="24"/>
              </w:rPr>
              <w:t xml:space="preserve">Bà Nguyễn Thị Huyền Trang</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001184007747</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color w:val="000000"/>
                <w:sz w:val="24"/>
              </w:rPr>
              <w:t xml:space="preserve">Năm sinh</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1984</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Thôn Chợ, xã Bình Minh, thành phố Hà Nội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308, tờ bản đồ số 24 có địa chỉ: Thôn Cao Mật Thượng, xã Bình Minh, Thành phố Hà Nội theo Giấy chứng nhận quyền sử dụng đất, quyền sở hữu tài sản gắn liền với đất  số: AA 04486911, số vào sổ cấp GCN: CN 00658 do Chi nhán</w:t>
            </w:r>
            <w:r>
              <w:rPr>
                <w:rFonts w:ascii="Times New Roman" w:hAnsi="Times New Roman" w:eastAsia="Times New Roman" w:cs="Times New Roman"/>
                <w:color w:val="000000"/>
                <w:sz w:val="24"/>
              </w:rPr>
              <w:t xml:space="preserve">h Văn phòng đăng ký đất đai Hà Nội huyện Thanh Oai cấp ngày 27/12/2025; Chủ sử dụng đất là Bà Nguyễn Thị Huyền Trang và chồng: Nguyễn Quốc Ngọc</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Cao Mật Thượng, xã Bình Minh,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20.88542500377602, 105.7447380750399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04486911, số vào sổ cấp GCN: CN 00658 do Chi nhánh Văn phòng đăng ký đất đai Hà Nội huyện Thanh Oai cấp ngày 27/12/2025; Chủ sử dụng đất là Bà Nguyễn Thị Huyền Trang và chồng</w:t>
      </w:r>
      <w:r>
        <w:rPr>
          <w:rFonts w:ascii="Times New Roman" w:hAnsi="Times New Roman" w:eastAsia="Times New Roman" w:cs="Times New Roman"/>
          <w:color w:val="000000"/>
          <w:sz w:val="24"/>
        </w:rPr>
        <w:t xml:space="preserve">: Nguyễn Quốc Ngọc</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275/2026/0247/VFI-HĐTĐ.65.A ngày 22/01/2026 giữa Bà Nguyễn Thị Huyền Trang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180" w:left="0"/>
        <w:jc w:val="both"/>
        <w:rPr/>
      </w:pPr>
      <w:r>
        <w:rPr>
          <w:iCs/>
          <w:highlight w:val="yellow"/>
        </w:rPr>
      </w:r>
      <w:r>
        <w:rPr>
          <w:rFonts w:ascii="Times New Roman" w:hAnsi="Times New Roman" w:eastAsia="Times New Roman" w:cs="Times New Roman"/>
          <w:color w:val="000000"/>
          <w:sz w:val="24"/>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sz w:val="24"/>
        </w:rPr>
        <w:t xml:space="preserve">ở thực, chất lượng dự án và năng lực doanh nghiệp làm trụ cột phát triển bền vững.</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rFonts w:ascii="Times New Roman" w:hAnsi="Times New Roman" w:eastAsia="Times New Roman" w:cs="Times New Roman"/>
          <w:color w:val="000000"/>
          <w:sz w:val="24"/>
        </w:rPr>
        <w:t xml:space="preserve">g sản.</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 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sz w:val="24"/>
        </w:rPr>
        <w:t xml:space="preserve"> có điều kiện kết nối thuận lợi hơn, qua đó gia tăng sức hấp dẫn với các dự án đô thị, khu nhà ở và dịch vụ.</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highlight w:val="white"/>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rFonts w:ascii="Times New Roman" w:hAnsi="Times New Roman" w:eastAsia="Times New Roman" w:cs="Times New Roman"/>
          <w:color w:val="000000"/>
          <w:sz w:val="24"/>
          <w:highlight w:val="white"/>
        </w:rPr>
        <w:t xml:space="preserve">quy hoạch rõ ràng, hạ tầng đồng bộ và nhu cầu ở thực ổn định.</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Huyện Thanh Oai nằm ở cửa ngõ phía Tây Nam của Thủ đô Hà Nội, là khu vực đang có tốc độ đô thị hóa nhanh và được quy hoạch trở thành vùng phát triển mở rộng của Hà Nội.</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Nhờ vị trí tiếp giáp các quận trung tâm như Hà Đông, Thanh Trì, Chương Mỹ, cùng hệ thống giao thông kết nối thuận tiện qua quốc lộ 21B, đường Vành đai 4 và Đại lộ Chu Văn An, Thanh Oai đang nổi lên như một điểm đến mới của thị trường bất động sản Hà Nội.</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 Những năm gần đây, Thanh Oai được hưởng lợi từ hàng loạt dự án hạ tầng trọng điểm, giúp diện mạo khu vực thay đổi rõ rệt.</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Hệ thống đường giao thông mở rộng, cầu cống, điện nước, trường học, trung tâm hành chính được đầu tư mạnh mẽ.</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Ngoài ra, các dự án lớn như Vành đai 4, khu đô thị Thanh Hà, khu đô thị Cự Khê, và nhiều khu dân cư quy hoạch mới đang tạo nên sức bật lớn cho thị trường mua bán đất Thanh Oai.</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So với các quận nội thành, giá đất Thanh Oai hiện vẫn còn ở mức hợp lý, phù hợp với nhiều đối tượng khách hàng — từ nhà đầu tư dài hạn cho đến người mua để ở.</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Những khu vực như Cự Khê, Thành Hà, Cao Viên, Kim Bài, Phương Trung đang trở thành “điểm nóng” nhờ quy hoạch bài bản, vị trí gần trung tâm và hạ tầng hoàn thiện từng ngày.</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Các loại hình bất động sản phổ biến gồm:</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 Đất nền thổ cư có sổ đỏ riêng</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 Đất dự án quy hoạch khu dân cư</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 Nhà liền kề, biệt thự trong khu đô thị mới</w:t>
      </w:r>
      <w:r/>
    </w:p>
    <w:p>
      <w:pPr>
        <w:pBdr>
          <w:top w:val="none" w:color="000000" w:sz="4" w:space="0"/>
          <w:left w:val="none" w:color="000000" w:sz="4" w:space="0"/>
          <w:bottom w:val="none" w:color="000000" w:sz="4" w:space="0"/>
          <w:right w:val="none" w:color="000000" w:sz="4" w:space="0"/>
        </w:pBdr>
        <w:spacing/>
        <w:ind w:right="0" w:firstLine="180" w:left="0"/>
        <w:jc w:val="both"/>
        <w:rPr/>
      </w:pPr>
      <w:r>
        <w:rPr>
          <w:rFonts w:ascii="Times New Roman" w:hAnsi="Times New Roman" w:eastAsia="Times New Roman" w:cs="Times New Roman"/>
          <w:color w:val="000000"/>
          <w:sz w:val="24"/>
        </w:rPr>
        <w:t xml:space="preserve">Với tốc độ phát triển hiện nay, Thanh Oai được xem là vùng đất vàng cho giới đầu tư bất động sản Hà Nội giai đoạn 2025 – 2030.</w:t>
      </w:r>
      <w:r/>
    </w:p>
    <w:p>
      <w:pPr>
        <w:pBdr>
          <w:top w:val="none" w:color="000000" w:sz="4" w:space="0"/>
          <w:left w:val="none" w:color="000000" w:sz="4" w:space="0"/>
          <w:bottom w:val="none" w:color="000000" w:sz="4" w:space="0"/>
          <w:right w:val="none" w:color="000000" w:sz="4" w:space="0"/>
        </w:pBdr>
        <w:tabs>
          <w:tab w:val="left" w:leader="none" w:pos="7966"/>
        </w:tabs>
        <w:spacing/>
        <w:ind w:right="0" w:firstLine="180" w:left="0"/>
        <w:jc w:val="both"/>
        <w:rPr/>
      </w:pPr>
      <w:r>
        <w:rPr>
          <w:rFonts w:ascii="Times New Roman" w:hAnsi="Times New Roman" w:eastAsia="Times New Roman" w:cs="Times New Roman"/>
          <w:color w:val="000000"/>
          <w:sz w:val="24"/>
        </w:rPr>
        <w:t xml:space="preserve">Không chỉ là nơi lý tưởng để đầu tư, Thanh Oai còn là vị trí lý tưởng để an cư.</w:t>
      </w:r>
      <w:r/>
    </w:p>
    <w:p>
      <w:pPr>
        <w:pBdr>
          <w:top w:val="none" w:color="000000" w:sz="4" w:space="0"/>
          <w:left w:val="none" w:color="000000" w:sz="4" w:space="0"/>
          <w:bottom w:val="none" w:color="000000" w:sz="4" w:space="0"/>
          <w:right w:val="none" w:color="000000" w:sz="4" w:space="0"/>
        </w:pBdr>
        <w:tabs>
          <w:tab w:val="left" w:leader="none" w:pos="7261"/>
        </w:tabs>
        <w:spacing/>
        <w:ind w:right="0" w:firstLine="180" w:left="0"/>
        <w:jc w:val="both"/>
        <w:rPr>
          <w:highlight w:val="none"/>
        </w:rPr>
      </w:pPr>
      <w:r>
        <w:rPr>
          <w:rFonts w:ascii="Times New Roman" w:hAnsi="Times New Roman" w:eastAsia="Times New Roman" w:cs="Times New Roman"/>
          <w:color w:val="000000"/>
          <w:sz w:val="24"/>
        </w:rPr>
        <w:t xml:space="preserve">Không khí trong lành, mật độ dân cư vừa phải, hạ tầng ngày càng hoàn thiện và giá nhà đất phù hợp giúp khu vực này trở thành lựa chọn hàng đầu của nhiều gia đình trẻ.</w:t>
      </w:r>
      <w:r>
        <w:rPr>
          <w:highlight w:val="none"/>
        </w:rPr>
      </w:r>
      <w:r>
        <w:rPr>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w:t>
      </w:r>
      <w:hyperlink r:id="rId17" w:tooltip="https://datthanhha.com.vn/bat-dong-san-thanh-oai-tiem-nang-vang-phia-tay-nam-thu-do-ha-noi/" w:history="1">
        <w:r>
          <w:rPr>
            <w:rStyle w:val="1015"/>
            <w:rFonts w:ascii="Times New Roman" w:hAnsi="Times New Roman" w:eastAsia="Times New Roman" w:cs="Times New Roman"/>
            <w:color w:val="000000" w:themeColor="text1"/>
            <w:sz w:val="24"/>
            <w:u w:val="single"/>
          </w:rPr>
          <w:t xml:space="preserve">https://datthanhha.com.vn/bat-dong-san-thanh-oai-tiem-nang-vang-phia-tay-nam-thu-do-ha-noi/</w:t>
        </w:r>
      </w:hyperlink>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p>
      <w:pPr>
        <w:pBdr/>
        <w:tabs>
          <w:tab w:val="left" w:leader="none" w:pos="426"/>
        </w:tabs>
        <w:spacing w:after="120" w:before="120" w:line="276" w:lineRule="auto"/>
        <w:ind/>
        <w:jc w:val="center"/>
        <w:rPr>
          <w:highlight w:val="yellow"/>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i/>
          <w:iCs/>
          <w:color w:val="000000" w:themeColor="text1"/>
          <w:sz w:val="24"/>
        </w:rPr>
        <w:t xml:space="preserve">Nguồn: https://</w:t>
      </w:r>
      <w:r>
        <w:rPr>
          <w:rFonts w:ascii="Times New Roman" w:hAnsi="Times New Roman" w:eastAsia="Times New Roman" w:cs="Times New Roman"/>
          <w:i/>
          <w:iCs/>
          <w:color w:val="000000"/>
          <w:sz w:val="24"/>
        </w:rPr>
        <w:t xml:space="preserve">thanglong.chinhphu.vn/buc-tranh-thi-truong-bat-dong-san-ha-noi-nam-2026-ha-tang-dan-dat-thi-truong-buoc-vao-chu-ky-tang-truong-moi-103260101181315972.htm)</w:t>
      </w:r>
      <w:r>
        <w:rPr>
          <w:highlight w:val="yellow"/>
        </w:rPr>
      </w:r>
      <w:r>
        <w:rPr>
          <w:highlight w:val="yellow"/>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129"/>
        <w:gridCol w:w="2519"/>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pPr>
            <w:r>
              <w:rPr>
                <w:rFonts w:ascii="Times New Roman" w:hAnsi="Times New Roman" w:eastAsia="Times New Roman" w:cs="Times New Roman"/>
                <w:b/>
                <w:color w:val="000000"/>
                <w:sz w:val="24"/>
              </w:rPr>
              <w:t xml:space="preserve">Quyền sử dụng đất tại thửa đất số: 308, tờ bản đồ số 24 có địa chỉ: Thôn Cao Mật Thượng, xã Bình Minh, Thành phố Hà Nội theo Giấy chứng nhận quyền sử dụng đất, quyền sở hữu tài sản gắn liền với đất  số: AA 04486911, số vào sổ cấp GCN: CN 00658 do Chi nhán</w:t>
            </w:r>
            <w:r>
              <w:rPr>
                <w:rFonts w:ascii="Times New Roman" w:hAnsi="Times New Roman" w:eastAsia="Times New Roman" w:cs="Times New Roman"/>
                <w:b/>
                <w:color w:val="000000"/>
                <w:sz w:val="24"/>
              </w:rPr>
              <w:t xml:space="preserve">h Văn phòng đăng ký đất đai Hà Nội huyện Thanh Oai cấp ngày 27/12/2025; Chủ sử dụng đất là Bà Nguyễn Thị Huyền Trang và chồng: Nguyễn Quốc Ngọc.</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themeColor="text1"/>
              </w:rPr>
              <w:t xml:space="preserve">308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652" w:type="dxa"/>
            <w:vAlign w:val="center"/>
            <w:textDirection w:val="lrTb"/>
            <w:noWrap w:val="false"/>
          </w:tcPr>
          <w:p>
            <w:pPr>
              <w:pBdr/>
              <w:spacing/>
              <w:ind/>
              <w:jc w:val="both"/>
              <w:rPr>
                <w:color w:val="000000"/>
              </w:rPr>
            </w:pPr>
            <w:r>
              <w:rPr>
                <w:color w:val="000000"/>
              </w:rPr>
              <w:t xml:space="preserve">Thôn Cao Mật Thượng, xã Bình Minh,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rPr>
              <w:t xml:space="preserve">69,0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Ghi chú</w:t>
            </w:r>
            <w:r>
              <w:rPr>
                <w:color w:val="000000"/>
              </w:rPr>
              <w:t xml:space="preserve">:</w:t>
            </w:r>
            <w:r>
              <w:rPr>
                <w:color w:val="000000"/>
              </w:rPr>
            </w:r>
            <w:r>
              <w:rPr>
                <w:color w:val="000000"/>
              </w:rPr>
            </w:r>
          </w:p>
        </w:tc>
        <w:tc>
          <w:tcPr>
            <w:gridSpan w:val="3"/>
            <w:tcBorders/>
            <w:tcW w:w="6652" w:type="dxa"/>
            <w:vAlign w:val="center"/>
            <w:textDirection w:val="lrTb"/>
            <w:noWrap w:val="false"/>
          </w:tcPr>
          <w:p>
            <w:pPr>
              <w:pBdr/>
              <w:spacing/>
              <w:ind/>
              <w:jc w:val="both"/>
              <w:rPr>
                <w:bCs/>
                <w:i/>
                <w:color w:val="000000"/>
                <w:highlight w:val="none"/>
              </w:rPr>
            </w:pPr>
            <w:r>
              <w:rPr>
                <w:i/>
                <w:iCs/>
                <w:color w:val="000000"/>
              </w:rPr>
              <w:t xml:space="preserve">+ Số tờ bản đồ, số thửa xác định theo bản đồ địa chính do đo đạc tổng thể.</w:t>
            </w:r>
            <w:r>
              <w:rPr>
                <w:bCs/>
                <w:i/>
                <w:color w:val="000000"/>
                <w:highlight w:val="none"/>
              </w:rPr>
            </w:r>
            <w:r>
              <w:rPr>
                <w:bCs/>
                <w:i/>
                <w:color w:val="000000"/>
                <w:highlight w:val="none"/>
              </w:rPr>
            </w:r>
          </w:p>
          <w:p>
            <w:pPr>
              <w:pBdr/>
              <w:spacing/>
              <w:ind/>
              <w:jc w:val="both"/>
              <w:rPr>
                <w:bCs/>
                <w:i/>
                <w:color w:val="000000"/>
                <w:highlight w:val="none"/>
              </w:rPr>
            </w:pPr>
            <w:r>
              <w:rPr>
                <w:i/>
                <w:iCs/>
                <w:color w:val="000000"/>
                <w:highlight w:val="none"/>
              </w:rPr>
              <w:t xml:space="preserve">+Giấy chứng nhận này được cấp đổi từ Giấy chứng nhận số DO 913425 do Chi nhánh Văn phòng đăng ký đất đai Hà Nội huyện Thanh Oai cấp ngày 20/8/2024: theo hồ sơ số H26.103.25.25-251202-0052BDCD.</w:t>
            </w:r>
            <w:r>
              <w:rPr>
                <w:bCs/>
                <w:i/>
                <w:color w:val="000000"/>
                <w:highlight w:val="none"/>
              </w:rPr>
            </w:r>
            <w:r>
              <w:rPr>
                <w:bCs/>
                <w:i/>
                <w:color w:val="000000"/>
                <w:highlight w:val="none"/>
              </w:rPr>
            </w:r>
          </w:p>
          <w:p>
            <w:pPr>
              <w:pBdr/>
              <w:spacing/>
              <w:ind/>
              <w:jc w:val="both"/>
              <w:rPr>
                <w:bCs/>
                <w:i/>
                <w:color w:val="000000"/>
              </w:rPr>
            </w:pPr>
            <w:r>
              <w:rPr>
                <w:i/>
                <w:iCs/>
                <w:color w:val="000000"/>
                <w:highlight w:val="none"/>
              </w:rPr>
              <w:t xml:space="preserve">+Bản đồ đo đạc năm 1995-1997: Một phần thửa</w:t>
            </w:r>
            <w:r>
              <w:rPr>
                <w:i/>
                <w:iCs/>
                <w:color w:val="000000"/>
                <w:highlight w:val="none"/>
              </w:rPr>
              <w:t xml:space="preserve"> đất số 7 (1P); tờ bản đồ số 12 thuộc xã Thanh Cao, huyện Thanh Oai cũ.</w:t>
            </w:r>
            <w:r>
              <w:rPr>
                <w:bCs/>
                <w:i/>
                <w:color w:val="000000"/>
              </w:rPr>
            </w:r>
            <w:r>
              <w:rPr>
                <w:bCs/>
                <w:i/>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652" w:type="dxa"/>
            <w:vAlign w:val="center"/>
            <w:textDirection w:val="lrTb"/>
            <w:noWrap w:val="false"/>
          </w:tcPr>
          <w:p>
            <w:pPr>
              <w:pBdr/>
              <w:spacing/>
              <w:ind/>
              <w:jc w:val="both"/>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Tại thời điểm thẩm định giá, Tổ thẩm định không thu thập được các thông tin quy hoạch liên quan đến thửa đất thẩm định giá.</w:t>
            </w:r>
            <w:r>
              <w:rPr>
                <w:color w:val="000000"/>
                <w:sz w:val="24"/>
                <w:szCs w:val="24"/>
              </w:rPr>
            </w:r>
            <w:r>
              <w:rPr>
                <w:color w:val="000000"/>
                <w:sz w:val="24"/>
                <w:szCs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652"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tiếp giáp mặt ngõ cách đường Bình Minh - Thanh Cao khoảng 300m; cách QL21B khoảng 2,3km.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6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Hướng Bắc: Tiếp giáp với đường bê tông 4,5m;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pacing w:after="0"/>
              <w:ind w:right="0" w:firstLine="0" w:left="0"/>
              <w:jc w:val="both"/>
              <w:rPr>
                <w:sz w:val="22"/>
                <w:szCs w:val="22"/>
              </w:rPr>
            </w:pPr>
            <w:r>
              <w:rPr>
                <w:rFonts w:ascii="Times New Roman" w:hAnsi="Times New Roman" w:eastAsia="Times New Roman" w:cs="Times New Roman"/>
                <w:color w:val="000000"/>
                <w:sz w:val="24"/>
              </w:rPr>
              <w:t xml:space="preserve">+ Các hướng khác: Tiếp giáp các thửa đất khác.</w:t>
            </w:r>
            <w:r>
              <w:rPr>
                <w:sz w:val="22"/>
                <w:szCs w:val="22"/>
              </w:rPr>
            </w:r>
            <w:r>
              <w:rPr>
                <w:sz w:val="22"/>
                <w:szCs w:val="22"/>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tabs>
                <w:tab w:val="left" w:leader="none" w:pos="7454"/>
              </w:tabs>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20.88542500377602, 105.7447380750399</w:t>
            </w:r>
            <w:r>
              <w:rPr>
                <w:color w:val="000000"/>
              </w:rPr>
              <w:t xml:space="preserve">)     </w:t>
            </w:r>
            <w:r>
              <w:rPr>
                <w:color w:val="000000"/>
              </w:rPr>
              <w:tab/>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85470" cy="293080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8932" name=""/>
                              <pic:cNvPicPr>
                                <a:picLocks noChangeAspect="1"/>
                              </pic:cNvPicPr>
                              <pic:nvPr/>
                            </pic:nvPicPr>
                            <pic:blipFill rotWithShape="1">
                              <a:blip r:embed="rId18"/>
                              <a:stretch/>
                            </pic:blipFill>
                            <pic:spPr bwMode="auto">
                              <a:xfrm flipH="0" flipV="0">
                                <a:off x="0" y="0"/>
                                <a:ext cx="5485469" cy="29308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1.93pt;height:230.77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themeColor="text1"/>
              </w:rPr>
              <w:t xml:space="preserve">69,0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themeColor="text1"/>
              </w:rPr>
              <w:t xml:space="preserve">4,1</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w:t>
            </w:r>
            <w:r>
              <w:rPr>
                <w:color w:val="000000" w:themeColor="text1"/>
              </w:rPr>
              <w:t xml:space="preserve">,8</w:t>
            </w:r>
            <w:r>
              <w:rPr>
                <w:color w:val="000000" w:themeColor="text1"/>
              </w:rPr>
              <w:t xml:space="preserve">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519"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6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6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129"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51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Thích hợp để ở</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Đất trống.</w:t>
            </w:r>
            <w:r>
              <w:rPr>
                <w:b/>
                <w:bCs/>
                <w:color w:val="000000"/>
              </w:rPr>
            </w:r>
            <w:r>
              <w:rPr>
                <w:b/>
                <w:bCs/>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706"/>
        <w:gridCol w:w="1559"/>
        <w:gridCol w:w="2694"/>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55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2694"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269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bCs/>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bCs/>
          <w:lang w:val="nl-NL"/>
        </w:rPr>
      </w:r>
      <w:r>
        <w:rPr>
          <w:b/>
          <w:bCs/>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Bình Minh, Thành phố Hà Nội</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Cao, Huyện Thanh Oai, Thành phố Hà Nội </w:t>
            </w:r>
            <w:r>
              <w:rPr>
                <w:i/>
                <w:iCs/>
                <w:color w:val="000000" w:themeColor="text1"/>
                <w:sz w:val="22"/>
                <w:szCs w:val="22"/>
              </w:rPr>
              <w:t xml:space="preserve">(nay là xã Bình Minh, thành phố Hà Nội</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Xã Thanh Cao, Huyện Thanh Oai, Thành phố Hà Nội (</w:t>
            </w:r>
            <w:r>
              <w:rPr>
                <w:i/>
                <w:iCs/>
                <w:color w:val="000000" w:themeColor="text1"/>
                <w:sz w:val="22"/>
                <w:szCs w:val="22"/>
              </w:rPr>
              <w:t xml:space="preserve">nay là xã Bình Minh, thành phố Hà Nội)</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Cs/>
                <w:i/>
              </w:rPr>
            </w:pPr>
            <w:r>
              <w:rPr>
                <w:color w:val="000000" w:themeColor="text1"/>
                <w:sz w:val="22"/>
                <w:szCs w:val="22"/>
              </w:rPr>
              <w:t xml:space="preserve">Xã Thanh Cao, Huyện Thanh Oai, Thành phố Hà Nội (</w:t>
            </w:r>
            <w:r>
              <w:rPr>
                <w:i/>
                <w:iCs/>
                <w:color w:val="000000" w:themeColor="text1"/>
                <w:sz w:val="22"/>
                <w:szCs w:val="22"/>
              </w:rPr>
              <w:t xml:space="preserve">nay là xã Bình Minh, thành phố Hà Nội)</w:t>
            </w:r>
            <w:r>
              <w:rPr>
                <w:bCs/>
                <w:i/>
              </w:rPr>
            </w:r>
            <w:r>
              <w:rPr>
                <w:bCs/>
                <w:i/>
              </w:rPr>
            </w:r>
          </w:p>
        </w:tc>
      </w:tr>
      <w:tr>
        <w:trPr>
          <w:trHeight w:val="192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https://alonhadat.com.vn/67m-dat-thanh-cao-o-to-7-cho-chay-thong-gia-chi-31tr-m2-hang-hiem-alo-e-ngay-14936628.html</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https://alonhadat.com.vn/72m-tai-binh-minh-thanh-cao-cu-vi-tri-vip-17642074.html</w:t>
            </w:r>
            <w:r>
              <w:rPr>
                <w:sz w:val="22"/>
                <w:szCs w:val="22"/>
              </w:rPr>
            </w:r>
            <w:r>
              <w:rPr>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0989.535.239</w:t>
            </w:r>
            <w:r>
              <w:rPr>
                <w:sz w:val="22"/>
                <w:szCs w:val="22"/>
              </w:rPr>
              <w:t xml:space="preserve"> </w:t>
            </w:r>
            <w:r>
              <w:rPr>
                <w:sz w:val="22"/>
                <w:szCs w:val="22"/>
              </w:rPr>
              <w:br/>
              <w:t xml:space="preserve">(A</w:t>
            </w:r>
            <w:r>
              <w:rPr>
                <w:sz w:val="22"/>
                <w:szCs w:val="22"/>
              </w:rPr>
              <w:t xml:space="preserve">nh Giáp</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0961.235992</w:t>
            </w:r>
            <w:r>
              <w:rPr>
                <w:sz w:val="22"/>
                <w:szCs w:val="22"/>
              </w:rPr>
              <w:br/>
            </w:r>
            <w:r>
              <w:rPr>
                <w:sz w:val="22"/>
                <w:szCs w:val="22"/>
              </w:rPr>
              <w:t xml:space="preserve">(</w:t>
            </w:r>
            <w:r>
              <w:rPr>
                <w:sz w:val="22"/>
                <w:szCs w:val="22"/>
              </w:rPr>
              <w:t xml:space="preserve">Anh 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0915.002164</w:t>
            </w:r>
            <w:r>
              <w:rPr>
                <w:sz w:val="22"/>
                <w:szCs w:val="22"/>
              </w:rPr>
              <w:br/>
            </w:r>
            <w:r>
              <w:rPr>
                <w:sz w:val="22"/>
                <w:szCs w:val="22"/>
              </w:rPr>
              <w:t xml:space="preserve">(</w:t>
            </w:r>
            <w:r>
              <w:rPr>
                <w:sz w:val="22"/>
                <w:szCs w:val="22"/>
              </w:rPr>
              <w:t xml:space="preserve">Anh Duy</w:t>
            </w:r>
            <w:r>
              <w:rPr>
                <w:sz w:val="22"/>
                <w:szCs w:val="22"/>
              </w:rPr>
              <w:t xml:space="preserve">)</w:t>
            </w:r>
            <w:r>
              <w:rPr>
                <w:sz w:val="22"/>
                <w:szCs w:val="22"/>
              </w:rPr>
            </w:r>
            <w:r>
              <w:rPr>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3337"/>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Bình Minh Thành phố Hà Nội, </w:t>
            </w:r>
            <w:r>
              <w:rPr>
                <w:rFonts w:ascii="Times New Roman" w:hAnsi="Times New Roman" w:eastAsia="Times New Roman" w:cs="Times New Roman"/>
                <w:color w:val="000000"/>
                <w:sz w:val="24"/>
              </w:rPr>
              <w:t xml:space="preserve">cách đường Bình Minh-Thanh Cao khoảng 300m; cách QL21B khoảng 2,3km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ài sản tại: Xã Thanh Cao, Huyện Thanh Oai, Thành phố Hà Nội </w:t>
            </w:r>
            <w:r>
              <w:rPr>
                <w:color w:val="000000" w:themeColor="text1"/>
                <w:sz w:val="22"/>
                <w:szCs w:val="22"/>
              </w:rPr>
              <w:t xml:space="preserve">(nay là xã Bình Minh, thành phố Hà Nội)</w:t>
            </w:r>
            <w:r>
              <w:rPr>
                <w:color w:val="000000" w:themeColor="text1"/>
                <w:sz w:val="22"/>
                <w:szCs w:val="22"/>
              </w:rPr>
              <w:t xml:space="preserve">, cách đường Bình Minh-Thanh Cao khoảng 300m, cách QL21B khoảng 3km</w:t>
              <w:b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Cao, Huyện Thanh Oai, Thành phố Hà Nội </w:t>
            </w:r>
            <w:r>
              <w:rPr>
                <w:color w:val="000000" w:themeColor="text1"/>
                <w:sz w:val="22"/>
                <w:szCs w:val="22"/>
              </w:rPr>
              <w:t xml:space="preserve">(nay là xã Bình Minh, thành phố Hà Nội)</w:t>
            </w:r>
            <w:r>
              <w:rPr>
                <w:color w:val="000000" w:themeColor="text1"/>
                <w:sz w:val="22"/>
                <w:szCs w:val="22"/>
              </w:rPr>
              <w:t xml:space="preserve">, cách đường liên thôn khoảng 50m, cách QL21B khoảng 2km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Cao, Huyện Thanh Oai, Thành phố Hà Nội </w:t>
            </w:r>
            <w:r>
              <w:rPr>
                <w:color w:val="000000" w:themeColor="text1"/>
                <w:sz w:val="22"/>
                <w:szCs w:val="22"/>
              </w:rPr>
              <w:t xml:space="preserve">(nay là xã Bình Minh, thành phố Hà Nội)</w:t>
            </w:r>
            <w:r>
              <w:rPr>
                <w:color w:val="000000" w:themeColor="text1"/>
                <w:sz w:val="22"/>
                <w:szCs w:val="22"/>
              </w:rPr>
              <w:t xml:space="preserve">, cách đường liên thôn khoảng 200m, cách QL21B khoảng 1,5km</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641"/>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72,4</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16,83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16,75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13,16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Không có bất lợi thương mại</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Không có bất lợi thương mại</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4.176.000.000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3.375.000.000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3.735.000.000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3.758.400.000</w:t>
            </w:r>
            <w:r>
              <w:rPr>
                <w:color w:val="000000"/>
                <w:sz w:val="22"/>
                <w:szCs w:val="22"/>
              </w:rPr>
            </w:r>
            <w:r>
              <w:rPr>
                <w:color w:val="000000"/>
                <w:sz w:val="22"/>
                <w:szCs w:val="22"/>
              </w:rPr>
            </w:r>
          </w:p>
        </w:tc>
      </w:tr>
      <w:tr>
        <w:trPr>
          <w:trHeight w:val="31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3.375.000.000</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3.735.000.000</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3.758.400.000</w:t>
            </w:r>
            <w:r>
              <w:rPr>
                <w:b/>
                <w:bCs/>
                <w:color w:val="000000"/>
                <w:sz w:val="22"/>
                <w:szCs w:val="22"/>
              </w:rPr>
            </w:r>
            <w:r>
              <w:rPr>
                <w:b/>
                <w:bCs/>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62.040.441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55.746.269</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51.911.602</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32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324" w:lineRule="auto"/>
        <w:ind/>
        <w:jc w:val="both"/>
        <w:rPr>
          <w:highlight w:val="none"/>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highlight w:val="none"/>
          <w:lang w:val="it-IT"/>
        </w:rPr>
      </w:r>
      <w:r>
        <w:rPr>
          <w:highlight w:val="none"/>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3.375.000.000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3.735.000.000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3.758.400.000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62.040.441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55.746.269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51.911.602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62.040.441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55.746.269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51.911.602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Bình Minh Thành phố Hà Nội, </w:t>
            </w:r>
            <w:r>
              <w:rPr>
                <w:rFonts w:ascii="Times New Roman" w:hAnsi="Times New Roman" w:eastAsia="Times New Roman" w:cs="Times New Roman"/>
                <w:color w:val="000000"/>
                <w:sz w:val="24"/>
              </w:rPr>
              <w:t xml:space="preserve">cách đường Bình Minh-Thanh Cao khoảng 300m; cách QL21B khoảng 2,3km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Thanh Cao, Huyện Thanh Oai, Thành phố Hà Nội (nay là xã Bình Minh, thành phố Hà Nội), cách đường Bình Minh-Thanh Cao khoảng 300m, cách QL21B khoảng 3km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Thanh Cao, Huyện Thanh Oai, Thành phố Hà Nội (nay là xã Bình Minh, thành phố Hà Nội), cách đường liên thôn khoảng 50m, cách QL21B khoảng 2km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Xã Thanh Cao, Huyện Thanh Oai, Thành phố Hà Nội (nay là xã Bình Minh, thành phố Hà Nội), cách đường liên thôn khoảng 200m, cách QL21B khoảng 1,5km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1.861.213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63.901.654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55.746.269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51.911.602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-4.342.831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2.787.313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59.558.823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58.533.582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51.911.602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-3.102.022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56.456.801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58.533.582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51.911.602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-1.557.348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56.456.801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58.533.582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50.354.254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3.633.812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56.456.801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58.533.582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53.988.066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-3.102.022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-2.787.313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-2.595.580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53.354.779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55.746.269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51.392.486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53.354.779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55.746.269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51.392.486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53.497.845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12.408.088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5.574.626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7.786.740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8.685.662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519.116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0,27</w:t>
      </w:r>
      <w:r>
        <w:t xml:space="preserve">% </w:t>
      </w:r>
      <w:r>
        <w:t xml:space="preserve">đến</w:t>
      </w:r>
      <w:r>
        <w:t xml:space="preserve"> </w:t>
      </w:r>
      <w:r>
        <w:t xml:space="preserve"> </w:t>
      </w:r>
      <w:r>
        <w:t xml:space="preserve">4,2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highlight w:val="none"/>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highlight w:val="none"/>
          <w:u w:val="single"/>
        </w:rPr>
      </w:r>
      <w:r>
        <w:rPr>
          <w:b/>
          <w:bCs/>
          <w:i/>
          <w:iCs/>
          <w:highlight w:val="none"/>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53.354.779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17.788.483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55.746.269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18.580.231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51.392.486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17.129.116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53.497.830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53.500.000</w:t>
            </w:r>
            <w:r>
              <w:rPr>
                <w:b/>
                <w:bCs/>
                <w:color w:val="000000"/>
              </w:rPr>
            </w:r>
            <w:r>
              <w:rPr>
                <w:b/>
                <w:bCs/>
                <w:color w:val="000000"/>
              </w:rPr>
            </w:r>
          </w:p>
        </w:tc>
      </w:tr>
    </w:tbl>
    <w:p>
      <w:pPr>
        <w:pBdr/>
        <w:spacing w:after="120" w:before="120" w:line="324"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53.500.000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324"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324"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p>
      <w:pPr>
        <w:pStyle w:val="1025"/>
        <w:pBdr/>
        <w:tabs>
          <w:tab w:val="left" w:leader="none" w:pos="993"/>
        </w:tabs>
        <w:spacing w:after="120" w:before="120" w:line="324" w:lineRule="auto"/>
        <w:ind w:left="0"/>
        <w:jc w:val="both"/>
        <w:rPr>
          <w:highlight w:val="none"/>
        </w:rPr>
      </w:pPr>
      <w:r>
        <w:rPr>
          <w:highlight w:val="none"/>
        </w:rPr>
      </w:r>
      <w:r>
        <w:rPr>
          <w:highlight w:val="none"/>
        </w:rPr>
      </w:r>
      <w:r>
        <w:rPr>
          <w:highlight w:val="none"/>
        </w:rPr>
      </w:r>
    </w:p>
    <w:tbl>
      <w:tblPr>
        <w:tblW w:w="4964"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517"/>
        <w:gridCol w:w="1802"/>
        <w:gridCol w:w="2269"/>
        <w:gridCol w:w="1917"/>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517"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917"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88"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308, tờ bản đồ số 24 có địa chỉ: Thôn Cao Mật Thượng, xã Bình Minh, Thành phố Hà Nội theo Giấy chứng nhận quyền sử dụng đất, quyền sở hữu tài sản gắn liền với đất  số: AA 04486911, số vào sổ cấp GCN: CN 00658 do Chi nhán</w:t>
            </w:r>
            <w:r>
              <w:rPr>
                <w:rFonts w:ascii="Times New Roman" w:hAnsi="Times New Roman" w:eastAsia="Times New Roman" w:cs="Times New Roman"/>
                <w:b/>
                <w:bCs/>
                <w:color w:val="000000"/>
                <w:sz w:val="24"/>
              </w:rPr>
              <w:t xml:space="preserve">h Văn phòng đăng ký đất đai Hà Nội huyện Thanh Oai cấp ngày 27/12/2025; Chủ sử dụng đất là Bà Nguyễn Thị Huyền Trang và chồng: Nguyễn Quốc Ngọc</w:t>
            </w:r>
            <w:r>
              <w:rPr>
                <w:b/>
                <w:bCs/>
              </w:rPr>
              <w:t xml:space="preserve">.</w:t>
            </w:r>
            <w:r>
              <w:rPr>
                <w:b/>
                <w:bCs/>
              </w:rPr>
            </w:r>
            <w:r>
              <w:rPr>
                <w:b/>
                <w:bCs/>
              </w:rPr>
            </w:r>
          </w:p>
        </w:tc>
        <w:tc>
          <w:tcPr>
            <w:shd w:val="clear" w:color="000000" w:fill="ffffff"/>
            <w:tcBorders/>
            <w:tcW w:w="1917"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517"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69,0</w:t>
            </w:r>
            <w:r>
              <w:rPr>
                <w:color w:val="000000"/>
              </w:rPr>
            </w:r>
            <w:r>
              <w:rPr>
                <w:color w:val="000000"/>
              </w:rPr>
            </w:r>
          </w:p>
        </w:tc>
        <w:tc>
          <w:tcPr>
            <w:shd w:val="clear" w:color="000000" w:fill="ffffff"/>
            <w:tcBorders/>
            <w:tcW w:w="2269" w:type="dxa"/>
            <w:vAlign w:val="center"/>
            <w:textDirection w:val="lrTb"/>
            <w:noWrap w:val="false"/>
          </w:tcPr>
          <w:p>
            <w:pPr>
              <w:pBdr/>
              <w:spacing w:after="40" w:before="40" w:line="288" w:lineRule="auto"/>
              <w:ind/>
              <w:jc w:val="center"/>
              <w:rPr/>
            </w:pPr>
            <w:r>
              <w:rPr>
                <w:color w:val="000000" w:themeColor="text1"/>
              </w:rPr>
              <w:t xml:space="preserve">53.500.000</w:t>
            </w:r>
            <w:r/>
          </w:p>
        </w:tc>
        <w:tc>
          <w:tcPr>
            <w:shd w:val="clear" w:color="000000" w:fill="ffffff"/>
            <w:tcBorders/>
            <w:tcW w:w="1917" w:type="dxa"/>
            <w:vAlign w:val="center"/>
            <w:textDirection w:val="lrTb"/>
            <w:noWrap w:val="false"/>
          </w:tcPr>
          <w:p>
            <w:pPr>
              <w:pBdr/>
              <w:spacing w:after="40" w:before="40" w:line="288" w:lineRule="auto"/>
              <w:ind/>
              <w:jc w:val="center"/>
              <w:rPr/>
            </w:pPr>
            <w:r>
              <w:rPr>
                <w:color w:val="000000" w:themeColor="text1"/>
              </w:rPr>
              <w:t xml:space="preserve">3.691.500.000</w:t>
            </w: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17" w:type="dxa"/>
            <w:vAlign w:val="center"/>
            <w:textDirection w:val="lrTb"/>
            <w:noWrap/>
          </w:tcPr>
          <w:p>
            <w:pPr>
              <w:pBdr/>
              <w:spacing w:after="40" w:before="40" w:line="288" w:lineRule="auto"/>
              <w:ind/>
              <w:jc w:val="center"/>
              <w:rPr>
                <w:b/>
                <w:bCs/>
                <w:color w:val="000000"/>
              </w:rPr>
            </w:pPr>
            <w:r>
              <w:rPr>
                <w:b/>
                <w:bCs/>
              </w:rPr>
              <w:t xml:space="preserve">3.691.500.000</w:t>
            </w:r>
            <w:r>
              <w:rPr>
                <w:b/>
                <w:bCs/>
                <w:color w:val="000000"/>
              </w:rPr>
            </w:r>
            <w:r>
              <w:rPr>
                <w:b/>
                <w:bCs/>
                <w:color w:val="000000"/>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917" w:type="dxa"/>
            <w:vAlign w:val="center"/>
            <w:textDirection w:val="lrTb"/>
            <w:noWrap/>
          </w:tcPr>
          <w:p>
            <w:pPr>
              <w:pBdr/>
              <w:spacing w:after="40" w:before="40" w:line="288" w:lineRule="auto"/>
              <w:ind/>
              <w:jc w:val="center"/>
              <w:rPr>
                <w:b/>
                <w:bCs/>
                <w:color w:val="000000"/>
              </w:rPr>
            </w:pPr>
            <w:r>
              <w:rPr>
                <w:b/>
                <w:bCs/>
                <w:color w:val="000000"/>
              </w:rPr>
              <w:t xml:space="preserve">3.692.000.000</w:t>
            </w:r>
            <w:r>
              <w:rPr>
                <w:b/>
                <w:bCs/>
                <w:color w:val="000000"/>
              </w:rPr>
            </w:r>
            <w:r>
              <w:rPr>
                <w:b/>
                <w:bCs/>
                <w:color w:val="000000"/>
              </w:rPr>
            </w:r>
          </w:p>
        </w:tc>
      </w:tr>
      <w:tr>
        <w:trPr>
          <w:trHeight w:val="20"/>
        </w:trPr>
        <w:tc>
          <w:tcPr>
            <w:gridSpan w:val="5"/>
            <w:tcBorders/>
            <w:tcW w:w="9456"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sáu trăm chín mươi hai triệu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300"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300"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300"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300"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300"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300"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300"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300"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300"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300"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300"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300"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300"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300"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300"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300"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300"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300"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300"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300"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300"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300"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300"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300"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300"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300"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275/2026/0247/VFI-CT.65.A</w:t>
      </w:r>
      <w:r>
        <w:rPr>
          <w:color w:val="ff0000"/>
          <w:lang w:val="vi-VN"/>
        </w:rPr>
        <w:t xml:space="preserve"> </w:t>
      </w:r>
      <w:r>
        <w:rPr>
          <w:color w:val="000000" w:themeColor="text1"/>
        </w:rPr>
        <w:t xml:space="preserve">ngày 02 tháng 02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left"/>
        <w:rPr>
          <w:b/>
          <w:sz w:val="2"/>
          <w:szCs w:val="2"/>
          <w:u w:val="single"/>
        </w:rPr>
      </w:pPr>
      <w:r>
        <w:rPr>
          <w:b/>
          <w:sz w:val="2"/>
          <w:szCs w:val="2"/>
          <w:u w:val="single"/>
          <w:lang w:val="vi-VN"/>
        </w:rPr>
      </w:r>
      <w:r>
        <w:rPr>
          <w:b/>
          <w:sz w:val="2"/>
          <w:szCs w:val="2"/>
          <w:u w:val="single"/>
        </w:rPr>
      </w:r>
      <w:r>
        <w:rPr>
          <w:b/>
          <w:sz w:val="2"/>
          <w:szCs w:val="2"/>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275/2026/0247/VFI-BC.65.A ngày</w:t>
      </w:r>
      <w:r>
        <w:rPr>
          <w:i/>
          <w:lang w:val="pt-BR"/>
        </w:rPr>
        <w:t xml:space="preserve"> </w:t>
      </w:r>
      <w:r>
        <w:rPr>
          <w:i/>
          <w:lang w:val="pt-BR"/>
        </w:rPr>
        <w:t xml:space="preserve">02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997"/>
        <w:gridCol w:w="5518"/>
      </w:tblGrid>
      <w:tr>
        <w:trPr/>
        <w:tc>
          <w:tcPr>
            <w:tcBorders/>
            <w:tcW w:w="3997"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551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r>
      <w:tr>
        <w:trPr/>
        <w:tc>
          <w:tcPr>
            <w:tcBorders/>
            <w:tcW w:w="399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32742" cy="235508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1394" name=""/>
                              <pic:cNvPicPr>
                                <a:picLocks noChangeAspect="1"/>
                              </pic:cNvPicPr>
                              <pic:nvPr/>
                            </pic:nvPicPr>
                            <pic:blipFill rotWithShape="1">
                              <a:blip r:embed="rId19"/>
                              <a:stretch/>
                            </pic:blipFill>
                            <pic:spPr bwMode="auto">
                              <a:xfrm flipH="0" flipV="0">
                                <a:off x="0" y="0"/>
                                <a:ext cx="1932741" cy="23550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2.18pt;height:185.4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551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24234" cy="23431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60296" name=""/>
                              <pic:cNvPicPr>
                                <a:picLocks noChangeAspect="1"/>
                              </pic:cNvPicPr>
                              <pic:nvPr/>
                            </pic:nvPicPr>
                            <pic:blipFill rotWithShape="1">
                              <a:blip r:embed="rId20"/>
                              <a:stretch/>
                            </pic:blipFill>
                            <pic:spPr bwMode="auto">
                              <a:xfrm flipH="0" flipV="0">
                                <a:off x="0" y="0"/>
                                <a:ext cx="3124233" cy="23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6.00pt;height:184.5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4847"/>
        <w:gridCol w:w="4668"/>
      </w:tblGrid>
      <w:tr>
        <w:trPr/>
        <w:tc>
          <w:tcPr>
            <w:tcBorders/>
            <w:tcW w:w="4847"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668"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84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9542" cy="218215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25495" name=""/>
                              <pic:cNvPicPr>
                                <a:picLocks noChangeAspect="1"/>
                              </pic:cNvPicPr>
                              <pic:nvPr/>
                            </pic:nvPicPr>
                            <pic:blipFill rotWithShape="1">
                              <a:blip r:embed="rId21"/>
                              <a:stretch/>
                            </pic:blipFill>
                            <pic:spPr bwMode="auto">
                              <a:xfrm flipH="0" flipV="0">
                                <a:off x="0" y="0"/>
                                <a:ext cx="2909541" cy="21821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9.10pt;height:171.8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66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8117" cy="220358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80496" name=""/>
                              <pic:cNvPicPr>
                                <a:picLocks noChangeAspect="1"/>
                              </pic:cNvPicPr>
                              <pic:nvPr/>
                            </pic:nvPicPr>
                            <pic:blipFill rotWithShape="1">
                              <a:blip r:embed="rId22"/>
                              <a:stretch/>
                            </pic:blipFill>
                            <pic:spPr bwMode="auto">
                              <a:xfrm flipH="0" flipV="0">
                                <a:off x="0" y="0"/>
                                <a:ext cx="2938116" cy="22035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1.35pt;height:173.5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84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668"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rHeight w:val="398"/>
        </w:trPr>
        <w:tc>
          <w:tcPr>
            <w:tcBorders/>
            <w:tcW w:w="484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1015" cy="216076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74823" name=""/>
                              <pic:cNvPicPr>
                                <a:picLocks noChangeAspect="1"/>
                              </pic:cNvPicPr>
                              <pic:nvPr/>
                            </pic:nvPicPr>
                            <pic:blipFill rotWithShape="1">
                              <a:blip r:embed="rId23"/>
                              <a:stretch/>
                            </pic:blipFill>
                            <pic:spPr bwMode="auto">
                              <a:xfrm flipH="0" flipV="0">
                                <a:off x="0" y="0"/>
                                <a:ext cx="2881014" cy="21607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85pt;height:170.1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66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12765" cy="218457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151423" name=""/>
                              <pic:cNvPicPr>
                                <a:picLocks noChangeAspect="1"/>
                              </pic:cNvPicPr>
                              <pic:nvPr/>
                            </pic:nvPicPr>
                            <pic:blipFill rotWithShape="1">
                              <a:blip r:embed="rId24"/>
                              <a:stretch/>
                            </pic:blipFill>
                            <pic:spPr bwMode="auto">
                              <a:xfrm flipH="0" flipV="0">
                                <a:off x="0" y="0"/>
                                <a:ext cx="2912764" cy="21845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35pt;height:172.0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275/2026/0247/VFI-BC.65.A</w:t>
      </w:r>
      <w:r>
        <w:rPr>
          <w:i/>
          <w:lang w:val="pt-BR"/>
        </w:rPr>
        <w:t xml:space="preserve"> </w:t>
      </w:r>
      <w:r>
        <w:rPr>
          <w:i/>
          <w:lang w:val="pt-BR"/>
        </w:rPr>
        <w:t xml:space="preserve">ngày 02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0989.535.239</w:t>
            </w:r>
            <w:r>
              <w:rPr>
                <w:sz w:val="22"/>
                <w:szCs w:val="22"/>
              </w:rPr>
              <w:t xml:space="preserve"> </w:t>
            </w:r>
            <w:r>
              <w:rPr>
                <w:sz w:val="22"/>
                <w:szCs w:val="22"/>
              </w:rPr>
              <w:br/>
              <w:t xml:space="preserve">(Anh Giáp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tại: Xã Thanh Cao, Huyện Thanh Oai, Thành phố Hà Nội (nay là xã Bình Minh, thành phố Hà Nội), cách đường Bình Minh-Thanh Cao khoảng 300m, cách QL21B khoảng 3km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0261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693656038" name="" descr=""/>
                              <pic:cNvPicPr/>
                              <pic:nvPr/>
                            </pic:nvPicPr>
                            <pic:blipFill rotWithShape="1">
                              <a:blip r:embed="rId25"/>
                              <a:stretch/>
                            </pic:blipFill>
                            <pic:spPr bwMode="auto">
                              <a:xfrm flipH="0" flipV="0">
                                <a:off x="0" y="0"/>
                                <a:ext cx="55026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33.28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30790" cy="309826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330789" cy="30982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3.53pt;height:243.96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49603" cy="2752725"/>
                      <wp:effectExtent l="0" t="0" r="0" b="0"/>
                      <wp:docPr id="14" name=""/>
                      <wp:cNvGraphicFramePr/>
                      <a:graphic xmlns:a="http://schemas.openxmlformats.org/drawingml/2006/main">
                        <a:graphicData uri="http://schemas.openxmlformats.org/drawingml/2006/picture">
                          <pic:pic xmlns:pic="http://schemas.openxmlformats.org/drawingml/2006/picture">
                            <pic:nvPicPr>
                              <pic:cNvPr id="1266920422" name="" descr=""/>
                              <pic:cNvPicPr/>
                              <pic:nvPr/>
                            </pic:nvPicPr>
                            <pic:blipFill rotWithShape="1">
                              <a:blip r:embed="rId27"/>
                              <a:stretch/>
                            </pic:blipFill>
                            <pic:spPr bwMode="auto">
                              <a:xfrm rot="0" flipH="0" flipV="0">
                                <a:off x="0" y="0"/>
                                <a:ext cx="3149603" cy="27527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48.00pt;height:216.75pt;mso-wrap-distance-left:0.00pt;mso-wrap-distance-top:0.00pt;mso-wrap-distance-right:0.00pt;mso-wrap-distance-bottom:0.00pt;rotation:0;z-index:1;" stroked="false">
                      <v:imagedata r:id="rId2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https://alonhadat.com.vn/67m-dat-thanh-cao-o-to-7-cho-chay-thong-gia-chi-31tr-m2-hang-hiem-alo-e-ngay-14936628.html</w:t>
            </w:r>
            <w:r>
              <w:rPr>
                <w:color w:val="000000" w:themeColor="text1"/>
                <w:sz w:val="22"/>
                <w:szCs w:val="22"/>
              </w:rPr>
              <w:br/>
              <w:t xml:space="preserve">0961.235992</w:t>
            </w:r>
            <w:r>
              <w:rPr>
                <w:sz w:val="22"/>
                <w:szCs w:val="22"/>
              </w:rPr>
              <w:t xml:space="preserve"> </w:t>
            </w:r>
            <w:r>
              <w:rPr>
                <w:sz w:val="22"/>
                <w:szCs w:val="22"/>
              </w:rPr>
              <w:br/>
              <w:t xml:space="preserve">(Anh 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3.735.000.000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sz w:val="22"/>
              </w:rPr>
              <w:t xml:space="preserve">Tài sản tại: Xã Thanh Cao, Huyện Thanh Oai, Thành phố Hà Nội (nay là xã Bình Minh, thành phố Hà Nội), cách đường liên thôn khoảng 50m, cách QL21B khoảng 2km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50240" cy="3553340"/>
                      <wp:effectExtent l="0" t="0" r="0" b="0"/>
                      <wp:docPr id="15" name=""/>
                      <wp:cNvGraphicFramePr/>
                      <a:graphic xmlns:a="http://schemas.openxmlformats.org/drawingml/2006/main">
                        <a:graphicData uri="http://schemas.openxmlformats.org/drawingml/2006/picture">
                          <pic:pic xmlns:pic="http://schemas.openxmlformats.org/drawingml/2006/picture">
                            <pic:nvPicPr>
                              <pic:cNvPr id="842454610" name="" descr=""/>
                              <pic:cNvPicPr/>
                              <pic:nvPr/>
                            </pic:nvPicPr>
                            <pic:blipFill rotWithShape="1">
                              <a:blip r:embed="rId28"/>
                              <a:stretch/>
                            </pic:blipFill>
                            <pic:spPr bwMode="auto">
                              <a:xfrm flipH="0" flipV="0">
                                <a:off x="0" y="0"/>
                                <a:ext cx="5550239" cy="35533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7.03pt;height:279.79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026115" cy="3267947"/>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3026115" cy="32679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8.28pt;height:257.32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https://alonhadat.com.vn/72m-tai-binh-minh-thanh-cao-cu-vi-tri-vip-17642074.html</w:t>
            </w:r>
            <w:r>
              <w:rPr>
                <w:color w:val="000000" w:themeColor="text1"/>
                <w:sz w:val="22"/>
                <w:szCs w:val="22"/>
              </w:rPr>
              <w:br/>
            </w:r>
            <w:r>
              <w:rPr>
                <w:sz w:val="22"/>
                <w:szCs w:val="22"/>
              </w:rPr>
              <w:t xml:space="preserve">SĐT: </w:t>
            </w:r>
            <w:r>
              <w:rPr>
                <w:color w:val="000000" w:themeColor="text1"/>
                <w:sz w:val="22"/>
                <w:szCs w:val="22"/>
              </w:rPr>
              <w:t xml:space="preserve">0915.002164</w:t>
            </w:r>
            <w:r>
              <w:rPr>
                <w:sz w:val="22"/>
                <w:szCs w:val="22"/>
              </w:rPr>
              <w:t xml:space="preserve"> </w:t>
            </w:r>
            <w:r>
              <w:rPr>
                <w:sz w:val="22"/>
                <w:szCs w:val="22"/>
              </w:rPr>
              <w:br/>
              <w:t xml:space="preserve">(Anh Duy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4.176.000.000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3.758.400.000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(72,4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Thanh Cao, Huyện Thanh Oai, Thành phố Hà Nội, đường thanh thần, độ rộng đường trước mặt tài sản 4m, cách đương Liên thôn khoảng 200m, cách QL21B khoảng 1,5km, mặt tiền 5.5m, 20.88327287610844, 105.75241449906267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78815" cy="3393535"/>
                      <wp:effectExtent l="0" t="0" r="0" b="0"/>
                      <wp:docPr id="17" name=""/>
                      <wp:cNvGraphicFramePr/>
                      <a:graphic xmlns:a="http://schemas.openxmlformats.org/drawingml/2006/main">
                        <a:graphicData uri="http://schemas.openxmlformats.org/drawingml/2006/picture">
                          <pic:pic xmlns:pic="http://schemas.openxmlformats.org/drawingml/2006/picture">
                            <pic:nvPicPr>
                              <pic:cNvPr id="1981504772" name="" descr=""/>
                              <pic:cNvPicPr/>
                              <pic:nvPr/>
                            </pic:nvPicPr>
                            <pic:blipFill rotWithShape="1">
                              <a:blip r:embed="rId30"/>
                              <a:stretch/>
                            </pic:blipFill>
                            <pic:spPr bwMode="auto">
                              <a:xfrm flipH="0" flipV="0">
                                <a:off x="0" y="0"/>
                                <a:ext cx="5578814" cy="3393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39.28pt;height:267.21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2140290" cy="3391772"/>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140290" cy="33917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68.53pt;height:267.07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84527" cy="3422650"/>
                      <wp:effectExtent l="0" t="0" r="0" b="0"/>
                      <wp:docPr id="19" name=""/>
                      <wp:cNvGraphicFramePr/>
                      <a:graphic xmlns:a="http://schemas.openxmlformats.org/drawingml/2006/main">
                        <a:graphicData uri="http://schemas.openxmlformats.org/drawingml/2006/picture">
                          <pic:pic xmlns:pic="http://schemas.openxmlformats.org/drawingml/2006/picture">
                            <pic:nvPicPr>
                              <pic:cNvPr id="894657221" name="" descr=""/>
                              <pic:cNvPicPr/>
                              <pic:nvPr/>
                            </pic:nvPicPr>
                            <pic:blipFill rotWithShape="1">
                              <a:blip r:embed="rId32"/>
                              <a:stretch/>
                            </pic:blipFill>
                            <pic:spPr bwMode="auto">
                              <a:xfrm rot="0" flipH="0" flipV="0">
                                <a:off x="0" y="0"/>
                                <a:ext cx="3184525" cy="34226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50.75pt;height:269.50pt;mso-wrap-distance-left:0.00pt;mso-wrap-distance-top:0.00pt;mso-wrap-distance-right:0.00pt;mso-wrap-distance-bottom:0.00pt;rotation:0;z-index:1;" stroked="false">
                      <v:imagedata r:id="rId32" o:title=""/>
                      <o:lock v:ext="edit" rotation="t"/>
                    </v:shape>
                  </w:pict>
                </mc:Fallback>
              </mc:AlternateConten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02615" cy="3078751"/>
                      <wp:effectExtent l="0" t="0" r="0" b="0"/>
                      <wp:docPr id="20" name=""/>
                      <wp:cNvGraphicFramePr/>
                      <a:graphic xmlns:a="http://schemas.openxmlformats.org/drawingml/2006/main">
                        <a:graphicData uri="http://schemas.openxmlformats.org/drawingml/2006/picture">
                          <pic:pic xmlns:pic="http://schemas.openxmlformats.org/drawingml/2006/picture">
                            <pic:nvPicPr>
                              <pic:cNvPr id="559776932" name="" descr=""/>
                              <pic:cNvPicPr/>
                              <pic:nvPr/>
                            </pic:nvPicPr>
                            <pic:blipFill rotWithShape="1">
                              <a:blip r:embed="rId33"/>
                              <a:stretch/>
                            </pic:blipFill>
                            <pic:spPr bwMode="auto">
                              <a:xfrm flipH="0" flipV="0">
                                <a:off x="0" y="0"/>
                                <a:ext cx="5502614" cy="30787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33.28pt;height:242.42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highlight w:val="none"/>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highlight w:val="none"/>
              </w:rPr>
            </w:r>
            <w:r>
              <w:rPr>
                <w:b/>
                <w:bCs/>
                <w:highlight w:val="none"/>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highlight w:val="none"/>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tc>
      </w:tr>
    </w:tbl>
    <w:p>
      <w:pPr>
        <w:pBdr/>
        <w:spacing w:after="200" w:line="276" w:lineRule="auto"/>
        <w:ind/>
        <w:rPr>
          <w:iCs/>
          <w:highlight w:val="none"/>
        </w:rPr>
      </w:pPr>
      <w:r>
        <w:rPr>
          <w:iCs/>
          <w:lang w:val="pt-BR"/>
        </w:rPr>
      </w:r>
      <w:r>
        <mc:AlternateContent>
          <mc:Choice Requires="wpg">
            <w:drawing>
              <wp:inline xmlns:wp="http://schemas.openxmlformats.org/drawingml/2006/wordprocessingDrawing" distT="0" distB="0" distL="0" distR="0">
                <wp:extent cx="6234284" cy="88862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46738" name=""/>
                        <pic:cNvPicPr>
                          <a:picLocks noChangeAspect="1"/>
                        </pic:cNvPicPr>
                        <pic:nvPr/>
                      </pic:nvPicPr>
                      <pic:blipFill rotWithShape="1">
                        <a:blip r:embed="rId34"/>
                        <a:stretch/>
                      </pic:blipFill>
                      <pic:spPr bwMode="auto">
                        <a:xfrm flipH="0" flipV="0">
                          <a:off x="0" y="0"/>
                          <a:ext cx="6234284" cy="88862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90.89pt;height:699.71pt;mso-wrap-distance-left:0.00pt;mso-wrap-distance-top:0.00pt;mso-wrap-distance-right:0.00pt;mso-wrap-distance-bottom:0.00pt;z-index:1;" stroked="false">
                <v:imagedata r:id="rId34" o:title=""/>
                <o:lock v:ext="edit" rotation="t"/>
              </v:shape>
            </w:pict>
          </mc:Fallback>
        </mc:AlternateContent>
      </w:r>
      <w:r>
        <w:rPr>
          <w:iCs/>
          <w:highlight w:val="none"/>
        </w:rPr>
      </w:r>
      <w:r>
        <w:rPr>
          <w:iCs/>
          <w:highlight w:val="none"/>
        </w:rPr>
      </w:r>
    </w:p>
    <w:p>
      <w:pPr>
        <w:pBdr/>
        <w:spacing w:after="200" w:line="276" w:lineRule="auto"/>
        <w:ind/>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207985" cy="882913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32913" name=""/>
                        <pic:cNvPicPr>
                          <a:picLocks noChangeAspect="1"/>
                        </pic:cNvPicPr>
                        <pic:nvPr/>
                      </pic:nvPicPr>
                      <pic:blipFill rotWithShape="1">
                        <a:blip r:embed="rId35"/>
                        <a:stretch/>
                      </pic:blipFill>
                      <pic:spPr bwMode="auto">
                        <a:xfrm flipH="0" flipV="0">
                          <a:off x="0" y="0"/>
                          <a:ext cx="6207985" cy="88291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88.82pt;height:695.21pt;mso-wrap-distance-left:0.00pt;mso-wrap-distance-top:0.00pt;mso-wrap-distance-right:0.00pt;mso-wrap-distance-bottom:0.00pt;z-index:1;" stroked="false">
                <v:imagedata r:id="rId35"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highlight w:val="none"/>
          <w:lang w:val="pt-BR" w:bidi="pt-BR"/>
        </w:rPr>
      </w:r>
      <w:r>
        <mc:AlternateContent>
          <mc:Choice Requires="wpg">
            <w:drawing>
              <wp:inline xmlns:wp="http://schemas.openxmlformats.org/drawingml/2006/wordprocessingDrawing" distT="0" distB="0" distL="0" distR="0">
                <wp:extent cx="6174271" cy="843861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32060" name=""/>
                        <pic:cNvPicPr>
                          <a:picLocks noChangeAspect="1"/>
                        </pic:cNvPicPr>
                        <pic:nvPr/>
                      </pic:nvPicPr>
                      <pic:blipFill rotWithShape="1">
                        <a:blip r:embed="rId36"/>
                        <a:stretch/>
                      </pic:blipFill>
                      <pic:spPr bwMode="auto">
                        <a:xfrm flipH="0" flipV="0">
                          <a:off x="0" y="0"/>
                          <a:ext cx="6174271" cy="8438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86.16pt;height:664.46pt;mso-wrap-distance-left:0.00pt;mso-wrap-distance-top:0.00pt;mso-wrap-distance-right:0.00pt;mso-wrap-distance-bottom:0.00pt;z-index:1;" stroked="false">
                <v:imagedata r:id="rId36"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datthanhha.com.vn/bat-dong-san-thanh-oai-tiem-nang-vang-phia-tay-nam-thu-do-ha-noi/"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278</cp:revision>
  <dcterms:created xsi:type="dcterms:W3CDTF">2025-09-15T09:58:00Z</dcterms:created>
  <dcterms:modified xsi:type="dcterms:W3CDTF">2026-02-03T03:16:57Z</dcterms:modified>
</cp:coreProperties>
</file>