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96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96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275/2026/0148/VFI-CT.44.A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Điện tử và Công nghệ Nam Phát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dụ</w:t>
                            </w:r>
                            <w:r>
                              <w:rPr>
                                <w:color w:val="000000"/>
                              </w:rPr>
                              <w:t xml:space="preserve">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275/2026/0148/VFI-CT.44.A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Điện tử và Công nghệ Nam Phát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dụ</w:t>
                      </w:r>
                      <w:r>
                        <w:rPr>
                          <w:color w:val="000000"/>
                        </w:rPr>
                        <w:t xml:space="preserve">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26-31</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275/2026/0148/VFI-CT.44.A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20 tháng 1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Điện tử và Công nghệ Nam Phát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275/2026/0148/VFI-HĐTĐ.44.A</w:t>
      </w:r>
      <w:r>
        <w:rPr>
          <w:spacing w:val="-4"/>
          <w:lang w:val="vi-VN"/>
        </w:rPr>
        <w:t xml:space="preserve"> ký ngày </w:t>
      </w:r>
      <w:r>
        <w:rPr>
          <w:color w:val="000000" w:themeColor="text1"/>
          <w:spacing w:val="-4"/>
        </w:rPr>
        <w:t xml:space="preserve">10 tháng 1 năm 2026</w:t>
      </w:r>
      <w:r>
        <w:rPr>
          <w:spacing w:val="-4"/>
          <w:lang w:val="vi-VN"/>
        </w:rPr>
        <w:t xml:space="preserve"> </w:t>
      </w:r>
      <w:r>
        <w:rPr>
          <w:spacing w:val="-4"/>
          <w:lang w:val="vi-VN"/>
        </w:rPr>
        <w:t xml:space="preserve">giữa </w:t>
      </w:r>
      <w:r>
        <w:rPr>
          <w:color w:val="000000" w:themeColor="text1"/>
          <w:spacing w:val="-4"/>
        </w:rPr>
        <w:t xml:space="preserve">Công ty TNHH Điện tử và Công nghệ Nam Phát Việt Nam</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275/2026/0148/VFI-BC.44.A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2"/>
        <w:gridCol w:w="6633"/>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pPr>
              <w:pBdr/>
              <w:spacing/>
              <w:ind/>
              <w:rPr>
                <w:rFonts w:ascii="Times New Roman" w:hAnsi="Times New Roman" w:cs="Times New Roman"/>
                <w:b/>
                <w:bCs/>
                <w:sz w:val="24"/>
                <w:szCs w:val="24"/>
              </w:rPr>
            </w:pPr>
            <w:r>
              <w:rPr>
                <w:rFonts w:ascii="Times New Roman" w:hAnsi="Times New Roman" w:eastAsia="Times New Roman" w:cs="Times New Roman"/>
                <w:b/>
                <w:bCs/>
                <w:sz w:val="24"/>
                <w:szCs w:val="24"/>
              </w:rPr>
            </w:r>
            <w:r>
              <w:rPr>
                <w:rFonts w:ascii="Times New Roman" w:hAnsi="Times New Roman" w:eastAsia="Times New Roman" w:cs="Times New Roman"/>
                <w:b/>
                <w:bCs/>
                <w:color w:val="081b3a"/>
                <w:spacing w:val="3"/>
                <w:sz w:val="24"/>
                <w:szCs w:val="24"/>
                <w:highlight w:val="white"/>
              </w:rPr>
              <w:t xml:space="preserve">CÔNG TY TNHH ĐIỆN TỬ VÀ CÔNG NGHỆ NAM PHÁT VIỆT NAM</w:t>
            </w:r>
            <w:r>
              <w:rPr>
                <w:rFonts w:ascii="Times New Roman" w:hAnsi="Times New Roman" w:cs="Times New Roman"/>
                <w:b/>
                <w:bCs/>
                <w:sz w:val="24"/>
                <w:szCs w:val="24"/>
              </w:rPr>
            </w:r>
            <w:r>
              <w:rPr>
                <w:rFonts w:ascii="Times New Roman" w:hAnsi="Times New Roman" w:cs="Times New Roman"/>
                <w:b/>
                <w:bCs/>
                <w:sz w:val="24"/>
                <w:szCs w:val="24"/>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0106681101</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6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3"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Xóm 5, thôn Phương Quế, xã Hồng Vân, thành phố Hà Nội</w:t>
            </w:r>
            <w:r>
              <w:rPr>
                <w:rFonts w:ascii="Times New Roman" w:hAnsi="Times New Roman" w:cs="Times New Roman"/>
                <w:color w:val="ff0000"/>
                <w:sz w:val="24"/>
                <w:szCs w:val="24"/>
              </w:rPr>
            </w:r>
            <w:r>
              <w:rPr>
                <w:rFonts w:ascii="Times New Roman" w:hAnsi="Times New Roman" w:cs="Times New Roman"/>
                <w:color w:val="ff0000"/>
                <w:sz w:val="24"/>
                <w:szCs w:val="24"/>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highlight w:val="white"/>
              </w:rPr>
            </w:pPr>
            <w:r>
              <w:rPr>
                <w:bCs/>
                <w:highlight w:val="white"/>
              </w:rPr>
              <w:t xml:space="preserve">Số</w:t>
            </w:r>
            <w:r>
              <w:rPr>
                <w:bCs/>
                <w:highlight w:val="white"/>
              </w:rPr>
              <w:t xml:space="preserve"> 1294/TB-BTC </w:t>
            </w:r>
            <w:r>
              <w:rPr>
                <w:bCs/>
                <w:highlight w:val="white"/>
              </w:rPr>
              <w:t xml:space="preserve">ngày</w:t>
            </w:r>
            <w:r>
              <w:rPr>
                <w:bCs/>
                <w:highlight w:val="white"/>
              </w:rPr>
              <w:t xml:space="preserve"> 31/12/2025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w:t>
      </w:r>
      <w:r>
        <w:rPr>
          <w:color w:val="000000" w:themeColor="text1"/>
        </w:rPr>
        <w:t xml:space="preserve">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dụ</w:t>
      </w:r>
      <w:r>
        <w:rPr>
          <w:color w:val="000000" w:themeColor="text1"/>
        </w:rPr>
        <w:t xml:space="preserve">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29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8"/>
        <w:gridCol w:w="1951"/>
        <w:gridCol w:w="1559"/>
        <w:gridCol w:w="3543"/>
        <w:gridCol w:w="2268"/>
      </w:tblGrid>
      <w:tr>
        <w:trPr>
          <w:trHeight w:val="20"/>
        </w:trPr>
        <w:tc>
          <w:tcPr>
            <w:shd w:val="clear" w:color="000000" w:fill="ffffff"/>
            <w:tcBorders/>
            <w:tcW w:w="768"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951"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3543"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68"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53" w:type="dxa"/>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dụ</w:t>
            </w:r>
            <w:r>
              <w:rPr>
                <w:color w:val="000000"/>
              </w:rPr>
              <w:t xml:space="preserve">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rPr>
                <w:b/>
                <w:bCs/>
              </w:rPr>
              <w:t xml:space="preserve">.</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8" w:type="dxa"/>
            <w:vAlign w:val="center"/>
            <w:textDirection w:val="lrTb"/>
            <w:noWrap w:val="false"/>
          </w:tcPr>
          <w:p>
            <w:pPr>
              <w:pBdr/>
              <w:spacing w:after="40" w:before="40" w:line="276" w:lineRule="auto"/>
              <w:ind/>
              <w:jc w:val="center"/>
              <w:rPr/>
            </w:pPr>
            <w:r>
              <w:rPr>
                <w:b/>
                <w:bCs/>
              </w:rPr>
              <w:t xml:space="preserve">1</w:t>
            </w:r>
            <w:r/>
          </w:p>
        </w:tc>
        <w:tc>
          <w:tcPr>
            <w:shd w:val="clear" w:color="000000" w:fill="ffffff"/>
            <w:tcBorders/>
            <w:tcW w:w="1951" w:type="dxa"/>
            <w:vAlign w:val="center"/>
            <w:textDirection w:val="lrTb"/>
            <w:noWrap w:val="false"/>
          </w:tcPr>
          <w:p>
            <w:pPr>
              <w:pBdr/>
              <w:spacing w:after="40" w:before="40" w:line="276" w:lineRule="auto"/>
              <w:ind/>
              <w:rPr/>
            </w:pPr>
            <w:r>
              <w:rPr>
                <w:b/>
                <w:bCs/>
              </w:rPr>
              <w:t xml:space="preserve">Đất ở tại đô thị</w:t>
            </w:r>
            <w:r/>
          </w:p>
        </w:tc>
        <w:tc>
          <w:tcPr>
            <w:tcBorders/>
            <w:tcW w:w="1559" w:type="dxa"/>
            <w:vAlign w:val="center"/>
            <w:textDirection w:val="lrTb"/>
            <w:noWrap/>
          </w:tcPr>
          <w:p>
            <w:pPr>
              <w:pBdr/>
              <w:spacing w:after="40" w:before="40" w:line="276" w:lineRule="auto"/>
              <w:ind/>
              <w:jc w:val="center"/>
              <w:rPr>
                <w:color w:val="000000"/>
              </w:rPr>
            </w:pPr>
            <w:r>
              <w:rPr>
                <w:color w:val="000000" w:themeColor="text1"/>
              </w:rPr>
              <w:t xml:space="preserve">70</w:t>
            </w:r>
            <w:r>
              <w:rPr>
                <w:color w:val="000000"/>
              </w:rPr>
            </w:r>
            <w:r>
              <w:rPr>
                <w:color w:val="000000"/>
              </w:rPr>
            </w:r>
          </w:p>
        </w:tc>
        <w:tc>
          <w:tcPr>
            <w:shd w:val="clear" w:color="000000" w:fill="ffffff"/>
            <w:tcBorders/>
            <w:tcW w:w="3543" w:type="dxa"/>
            <w:vAlign w:val="center"/>
            <w:textDirection w:val="lrTb"/>
            <w:noWrap w:val="false"/>
          </w:tcPr>
          <w:p>
            <w:pPr>
              <w:pBdr/>
              <w:spacing w:after="40" w:before="40" w:line="276" w:lineRule="auto"/>
              <w:ind/>
              <w:jc w:val="center"/>
              <w:rPr/>
            </w:pPr>
            <w:r>
              <w:rPr>
                <w:color w:val="000000" w:themeColor="text1"/>
              </w:rPr>
              <w:t xml:space="preserve">302.000.000</w:t>
            </w:r>
            <w:r/>
          </w:p>
        </w:tc>
        <w:tc>
          <w:tcPr>
            <w:shd w:val="clear" w:color="000000" w:fill="ffffff"/>
            <w:tcBorders/>
            <w:tcW w:w="2268" w:type="dxa"/>
            <w:vAlign w:val="center"/>
            <w:textDirection w:val="lrTb"/>
            <w:noWrap w:val="false"/>
          </w:tcPr>
          <w:p>
            <w:pPr>
              <w:pBdr/>
              <w:spacing w:after="40" w:before="40" w:line="276" w:lineRule="auto"/>
              <w:ind/>
              <w:jc w:val="center"/>
              <w:rPr/>
            </w:pPr>
            <w:r>
              <w:rPr>
                <w:color w:val="000000" w:themeColor="text1"/>
              </w:rPr>
              <w:t xml:space="preserve">21.140.000.000</w:t>
            </w:r>
            <w:r/>
          </w:p>
        </w:tc>
      </w:tr>
      <w:tr>
        <w:trPr>
          <w:trHeight w:val="20"/>
        </w:trPr>
        <w:tc>
          <w:tcPr>
            <w:shd w:val="clear" w:color="000000" w:fill="ffffff"/>
            <w:tcBorders/>
            <w:tcW w:w="768" w:type="dxa"/>
            <w:vAlign w:val="center"/>
            <w:textDirection w:val="lrTb"/>
            <w:noWrap w:val="false"/>
          </w:tcPr>
          <w:p>
            <w:pPr>
              <w:pBdr/>
              <w:spacing w:after="40" w:before="40" w:line="276" w:lineRule="auto"/>
              <w:ind/>
              <w:jc w:val="center"/>
              <w:rPr>
                <w:highlight w:val="white"/>
              </w:rPr>
            </w:pPr>
            <w:r>
              <w:rPr>
                <w:b/>
                <w:bCs/>
                <w:highlight w:val="white"/>
              </w:rPr>
              <w:t xml:space="preserve">2</w:t>
            </w:r>
            <w:r>
              <w:rPr>
                <w:highlight w:val="white"/>
              </w:rPr>
            </w:r>
            <w:r>
              <w:rPr>
                <w:highlight w:val="white"/>
              </w:rPr>
            </w:r>
          </w:p>
        </w:tc>
        <w:tc>
          <w:tcPr>
            <w:shd w:val="clear" w:color="000000" w:fill="ffffff"/>
            <w:tcBorders/>
            <w:tcW w:w="1951" w:type="dxa"/>
            <w:vAlign w:val="center"/>
            <w:textDirection w:val="lrTb"/>
            <w:noWrap w:val="false"/>
          </w:tcPr>
          <w:p>
            <w:pPr>
              <w:pBdr/>
              <w:spacing w:after="40" w:before="40" w:line="276" w:lineRule="auto"/>
              <w:ind/>
              <w:rPr>
                <w:highlight w:val="white"/>
              </w:rPr>
            </w:pPr>
            <w:r>
              <w:rPr>
                <w:b/>
                <w:bCs/>
                <w:highlight w:val="white"/>
              </w:rPr>
              <w:t xml:space="preserve">Nhà 03 tầng + 01 tum</w:t>
            </w:r>
            <w:r>
              <w:rPr>
                <w:highlight w:val="white"/>
              </w:rPr>
            </w:r>
            <w:r>
              <w:rPr>
                <w:highlight w:val="white"/>
              </w:rPr>
            </w:r>
          </w:p>
        </w:tc>
        <w:tc>
          <w:tcPr>
            <w:tcBorders/>
            <w:tcW w:w="1559" w:type="dxa"/>
            <w:vAlign w:val="center"/>
            <w:textDirection w:val="lrTb"/>
            <w:noWrap/>
          </w:tcPr>
          <w:p>
            <w:pPr>
              <w:pBdr/>
              <w:spacing w:after="40" w:before="40" w:line="276" w:lineRule="auto"/>
              <w:ind/>
              <w:jc w:val="center"/>
              <w:rPr>
                <w:color w:val="000000"/>
                <w:highlight w:val="white"/>
              </w:rPr>
            </w:pPr>
            <w:r>
              <w:rPr>
                <w:color w:val="000000" w:themeColor="text1"/>
                <w:highlight w:val="white"/>
              </w:rPr>
              <w:t xml:space="preserve">209</w:t>
            </w:r>
            <w:r>
              <w:rPr>
                <w:color w:val="000000"/>
                <w:highlight w:val="white"/>
              </w:rPr>
            </w:r>
            <w:r>
              <w:rPr>
                <w:color w:val="000000"/>
                <w:highlight w:val="white"/>
              </w:rPr>
            </w:r>
          </w:p>
        </w:tc>
        <w:tc>
          <w:tcPr>
            <w:shd w:val="clear" w:color="000000" w:fill="ffffff"/>
            <w:tcBorders/>
            <w:tcW w:w="3543" w:type="dxa"/>
            <w:vAlign w:val="center"/>
            <w:textDirection w:val="lrTb"/>
            <w:noWrap w:val="false"/>
          </w:tcPr>
          <w:p>
            <w:pPr>
              <w:pBdr/>
              <w:spacing w:after="40" w:before="40" w:line="276" w:lineRule="auto"/>
              <w:ind/>
              <w:jc w:val="center"/>
              <w:rPr>
                <w:highlight w:val="white"/>
              </w:rPr>
            </w:pPr>
            <w:r>
              <w:rPr>
                <w:color w:val="000000" w:themeColor="text1"/>
                <w:highlight w:val="white"/>
              </w:rPr>
            </w:r>
            <w:r>
              <w:rPr>
                <w:color w:val="000000" w:themeColor="text1"/>
                <w:highlight w:val="white"/>
              </w:rPr>
            </w:r>
            <w:r>
              <w:rPr>
                <w:highlight w:val="white"/>
              </w:rPr>
            </w:r>
          </w:p>
        </w:tc>
        <w:tc>
          <w:tcPr>
            <w:shd w:val="clear" w:color="000000" w:fill="ffffff"/>
            <w:tcBorders/>
            <w:tcW w:w="2268" w:type="dxa"/>
            <w:vAlign w:val="center"/>
            <w:textDirection w:val="lrTb"/>
            <w:noWrap w:val="false"/>
          </w:tcPr>
          <w:p>
            <w:pPr>
              <w:pBdr/>
              <w:spacing w:after="0" w:before="0" w:line="276" w:lineRule="auto"/>
              <w:ind/>
              <w:jc w:val="right"/>
              <w:rPr>
                <w:highlight w:val="white"/>
              </w:rPr>
            </w:pPr>
            <w:r>
              <w:rPr>
                <w:rFonts w:ascii="Times New Roman" w:hAnsi="Times New Roman" w:eastAsia="Times New Roman" w:cs="Times New Roman"/>
                <w:color w:val="000000"/>
                <w:sz w:val="24"/>
                <w:highlight w:val="white"/>
              </w:rPr>
              <w:t xml:space="preserve">1.329.106.240</w:t>
            </w:r>
            <w:r>
              <w:rPr>
                <w:highlight w:val="white"/>
              </w:rPr>
            </w:r>
            <w:r>
              <w:rPr>
                <w:highlight w:val="white"/>
              </w:rPr>
            </w:r>
          </w:p>
        </w:tc>
      </w:tr>
      <w:tr>
        <w:trPr>
          <w:trHeight w:val="20"/>
        </w:trPr>
        <w:tc>
          <w:tcPr>
            <w:gridSpan w:val="4"/>
            <w:tcBorders/>
            <w:tcW w:w="7821"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268"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4"/>
              </w:rPr>
              <w:t xml:space="preserve">22.469.106.240</w:t>
            </w:r>
            <w:r/>
          </w:p>
        </w:tc>
      </w:tr>
      <w:tr>
        <w:trPr>
          <w:trHeight w:val="20"/>
        </w:trPr>
        <w:tc>
          <w:tcPr>
            <w:gridSpan w:val="4"/>
            <w:tcBorders/>
            <w:tcW w:w="7821"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2268" w:type="dxa"/>
            <w:vAlign w:val="center"/>
            <w:textDirection w:val="lrTb"/>
            <w:noWrap/>
          </w:tcPr>
          <w:p>
            <w:pPr>
              <w:pBdr/>
              <w:spacing w:after="0" w:before="0" w:line="276" w:lineRule="auto"/>
              <w:ind/>
              <w:jc w:val="right"/>
              <w:rPr/>
            </w:pPr>
            <w:r>
              <w:rPr>
                <w:rFonts w:ascii="Times New Roman" w:hAnsi="Times New Roman" w:eastAsia="Times New Roman" w:cs="Times New Roman"/>
                <w:color w:val="000000"/>
                <w:sz w:val="24"/>
              </w:rPr>
              <w:t xml:space="preserve">22.469.000.000</w:t>
            </w:r>
            <w:r/>
          </w:p>
        </w:tc>
      </w:tr>
      <w:tr>
        <w:trPr>
          <w:trHeight w:val="20"/>
        </w:trPr>
        <w:tc>
          <w:tcPr>
            <w:gridSpan w:val="5"/>
            <w:tcBorders/>
            <w:tcW w:w="10089"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Hai mươi hai tỷ bốn trăm sáu mươi chín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275/2026/0148/VFI-CT.44.A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20 tháng 1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275/2026/0148/VFI-CT.44.A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rFonts w:ascii="Times New Roman" w:hAnsi="Times New Roman" w:cs="Times New Roman"/>
                <w:b/>
                <w:bCs/>
                <w:sz w:val="24"/>
                <w:szCs w:val="24"/>
              </w:rPr>
            </w:pPr>
            <w:r>
              <w:rPr>
                <w:rFonts w:ascii="Times New Roman" w:hAnsi="Times New Roman" w:eastAsia="Times New Roman" w:cs="Times New Roman"/>
                <w:b/>
                <w:bCs/>
                <w:sz w:val="24"/>
                <w:szCs w:val="24"/>
              </w:rPr>
            </w:r>
            <w:r>
              <w:rPr>
                <w:rFonts w:ascii="Times New Roman" w:hAnsi="Times New Roman" w:eastAsia="Times New Roman" w:cs="Times New Roman"/>
                <w:b/>
                <w:bCs/>
                <w:color w:val="081b3a"/>
                <w:spacing w:val="3"/>
                <w:sz w:val="24"/>
                <w:szCs w:val="24"/>
                <w:highlight w:val="white"/>
              </w:rPr>
              <w:t xml:space="preserve">CÔNG TY TNHH ĐIỆN TỬ VÀ CÔNG NGHỆ NAM PHÁT VIỆT NAM</w:t>
            </w:r>
            <w:r>
              <w:rPr>
                <w:rFonts w:ascii="Times New Roman" w:hAnsi="Times New Roman" w:cs="Times New Roman"/>
                <w:b/>
                <w:bCs/>
                <w:sz w:val="24"/>
                <w:szCs w:val="24"/>
              </w:rPr>
            </w:r>
            <w:r>
              <w:rPr>
                <w:rFonts w:ascii="Times New Roman" w:hAnsi="Times New Roman" w:cs="Times New Roman"/>
                <w:b/>
                <w:bCs/>
                <w:sz w:val="24"/>
                <w:szCs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0106681101</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ff0000"/>
                <w:sz w:val="24"/>
                <w:szCs w:val="24"/>
              </w:rPr>
            </w:pPr>
            <w:r>
              <w:rPr>
                <w:rFonts w:ascii="Times New Roman" w:hAnsi="Times New Roman" w:eastAsia="Times New Roman" w:cs="Times New Roman"/>
                <w:color w:val="000000" w:themeColor="text1"/>
                <w:sz w:val="24"/>
                <w:szCs w:val="24"/>
                <w:lang w:val="vi-VN"/>
              </w:rPr>
              <w:t xml:space="preserve">Xóm 5, thôn Phương Quế, xã Hồng Vân, thành phố Hà Nội</w:t>
            </w:r>
            <w:r>
              <w:rPr>
                <w:rFonts w:ascii="Times New Roman" w:hAnsi="Times New Roman" w:cs="Times New Roman"/>
                <w:color w:val="ff0000"/>
                <w:sz w:val="24"/>
                <w:szCs w:val="24"/>
              </w:rPr>
            </w:r>
            <w:r>
              <w:rPr>
                <w:rFonts w:ascii="Times New Roman" w:hAnsi="Times New Roman" w:cs="Times New Roman"/>
                <w:color w:val="ff0000"/>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w:t>
            </w:r>
            <w:r>
              <w:rPr>
                <w:bCs/>
                <w:color w:val="000000" w:themeColor="text1"/>
                <w:lang w:val="pt-BR"/>
              </w:rPr>
              <w:t xml:space="preserve">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dụ</w:t>
            </w:r>
            <w:r>
              <w:rPr>
                <w:bCs/>
                <w:color w:val="000000" w:themeColor="text1"/>
                <w:lang w:val="pt-BR"/>
              </w:rPr>
              <w:t xml:space="preserve">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Thịnh Liệt, Quận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(20.974801083022, 105.85328406719)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Tài sản tại: Phường Thịnh Liệt, Quận Hoàng Mai, Thành phố Hà Nội, khoảng cách ra đường chính Cách đường Ao Sào khoảng khoảng 100m, độ rộng đường trước mặt tài sản 7m, mặt tiền 5m, 20.974801083022, 105.85328406719</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HSTD-20260113-0029/HĐTĐ-VFI ngày 20/01/2026 giữa Vũ Văn Tĩnh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rPr>
          <w:rFonts w:ascii="Times New Roman" w:hAnsi="Times New Roman" w:eastAsia="Times New Roman" w:cs="Times New Roman"/>
          <w:sz w:val="24"/>
        </w:rPr>
      </w:r>
      <w:r/>
    </w:p>
    <w:p>
      <w:pPr>
        <w:pStyle w:val="1031"/>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0"/>
        <w:gridCol w:w="2439"/>
        <w:gridCol w:w="2399"/>
      </w:tblGrid>
      <w:tr>
        <w:trPr>
          <w:trHeight w:val="1819"/>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w:t>
            </w:r>
            <w:r>
              <w:rPr>
                <w:rFonts w:ascii="Times New Roman" w:hAnsi="Times New Roman" w:eastAsia="Times New Roman" w:cs="Times New Roman"/>
                <w:b/>
                <w:color w:val="000000"/>
                <w:sz w:val="24"/>
              </w:rPr>
              <w:t xml:space="preserve">ụng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12A-TT3-2</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12A-TT3-2, Khu chức năng đô thị tại Ao Sào, phường Thịnh Liệt, quận Hoàng Mai (nay là phường Hoàng Mai),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18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Số tờ số thửa và sơ đồ sẽ được điều chỉnh khi có bản đồ địa chính chính quy</w:t>
            </w:r>
            <w:r/>
          </w:p>
        </w:tc>
      </w:tr>
      <w:tr>
        <w:trPr>
          <w:trHeight w:val="62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12A-TT3-2, Khu chức năng đô thị tại Ao Sào, phường Hoàng Mai,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nội khu</w:t>
            </w:r>
            <w:r/>
          </w:p>
        </w:tc>
        <w:tc>
          <w:tcPr>
            <w:tcBorders>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126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Cách đường Ao Sào khoảng 100m</w:t>
            </w:r>
            <w:r/>
          </w:p>
        </w:tc>
      </w:tr>
      <w:tr>
        <w:trPr>
          <w:trHeight w:val="68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78"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Tây Bắc: Tiếp giáp đường nội khu rộng 7,5m;</w:t>
              <w:br/>
              <w:t xml:space="preserve">Hướng Tây Nam: Tiếp giáp đường nội khu rộng 4m;</w:t>
              <w:br/>
              <w:t xml:space="preserve">Các hướng khác: Tiếp giáp các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498739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808356451" name="" descr=""/>
                              <pic:cNvPicPr/>
                              <pic:nvPr/>
                            </pic:nvPicPr>
                            <pic:blipFill rotWithShape="1">
                              <a:blip r:embed="rId17"/>
                              <a:stretch/>
                            </pic:blipFill>
                            <pic:spPr bwMode="auto">
                              <a:xfrm rot="0" flipH="0" flipV="0">
                                <a:off x="0" y="0"/>
                                <a:ext cx="4987395"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71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chữ nhật</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7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4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9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109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Tại thời điểm khảo sát, trên đất có công trình Nhà 03 tầng + 1tum, diện tích xây dựng khoảng 58, tổng diện tích sàn khoảng 209 m2. Công trình hoàn thiện năm 2016. Công trình đã được công nhận trên GCN QSDĐ số: CK 299284</w:t>
            </w:r>
            <w:r>
              <w:rPr>
                <w:color w:val="000000" w:themeColor="text1"/>
              </w:rPr>
            </w:r>
            <w:r>
              <w:rPr>
                <w:color w:val="000000" w:themeColor="text1"/>
              </w:rPr>
            </w:r>
          </w:p>
        </w:tc>
      </w:tr>
    </w:tbl>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sz w:val="22"/>
                <w:szCs w:val="22"/>
              </w:rPr>
            </w:r>
            <w:r>
              <w:rPr>
                <w:sz w:val="22"/>
                <w:szCs w:val="22"/>
              </w:rPr>
            </w:r>
          </w:p>
        </w:tc>
      </w:tr>
      <w:tr>
        <w:trPr>
          <w:trHeight w:val="190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https://www.facebook.com/groups/2266242860178341/permalink/3872866509515960/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https://www.facebook.com/groups/2266242860178341/permalink/3842571529212125/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0382889789</w:t>
            </w:r>
            <w:r>
              <w:rPr>
                <w:sz w:val="22"/>
                <w:szCs w:val="22"/>
              </w:rPr>
              <w:t xml:space="preserve"> </w:t>
            </w:r>
            <w:r>
              <w:rPr>
                <w:sz w:val="22"/>
                <w:szCs w:val="22"/>
              </w:rPr>
              <w:br/>
              <w:t xml:space="preserve">(</w:t>
            </w:r>
            <w:r>
              <w:rPr>
                <w:sz w:val="22"/>
                <w:szCs w:val="22"/>
              </w:rPr>
              <w:t xml:space="preserve">Hoa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0972067843</w:t>
            </w:r>
            <w:r>
              <w:rPr>
                <w:sz w:val="22"/>
                <w:szCs w:val="22"/>
              </w:rPr>
              <w:br/>
            </w:r>
            <w:r>
              <w:rPr>
                <w:sz w:val="22"/>
                <w:szCs w:val="22"/>
              </w:rPr>
              <w:t xml:space="preserve">(</w:t>
            </w:r>
            <w:r>
              <w:rPr>
                <w:sz w:val="22"/>
                <w:szCs w:val="22"/>
              </w:rPr>
              <w:t xml:space="preserve">Hoàn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0348749776</w:t>
            </w:r>
            <w:r>
              <w:rPr>
                <w:sz w:val="22"/>
                <w:szCs w:val="22"/>
              </w:rPr>
              <w:br/>
            </w:r>
            <w:r>
              <w:rPr>
                <w:sz w:val="22"/>
                <w:szCs w:val="22"/>
              </w:rPr>
              <w:t xml:space="preserve">(</w:t>
            </w:r>
            <w:r>
              <w:rPr>
                <w:sz w:val="22"/>
                <w:szCs w:val="22"/>
              </w:rPr>
              <w:t xml:space="preserve">Tô Đạt</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p>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đường Ao Sào khoảng khoảng 100m, độ rộng đường trước mặt tài sản 7m, mặt tiền 5m, 20.974801083022, 105.85328406719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đường Ao Sào khoảng 50m, độ rộng đường trước mặt tài sản 7m, mặt tiền 5m, 20.974948827280787, 105.85183053947476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đường Ao Sào khoảng 100m, độ rộng đường trước mặt tài sản 7m, mặt tiền 5m, 20.975006511577593, 105.85119044965796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trục chính Ao Sào khoảng 50mm, độ rộng đường trước mặt tài sản 7.5m, mặt tiền 5m, Cách trục chính Ao Sào khoảng 50m, 20.974365302807332, 105.85247940448556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21.250.000.000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1.329.106.240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1.329.106.240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1.329.106.240</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7.949.200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7.949.200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7.949.200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20.270.893.760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20.270.893.760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19.920.893.760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289.584.197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289.584.197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284.584.197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20.270.893.760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20.270.893.760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19.920.893.760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289.584.197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289.584.197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284.584.197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đường Ao Sào khoảng khoảng 100m, độ rộng đường trước mặt tài sản 7m, mặt tiền 5m, 20.974801083022, 105.85328406719</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đường Ao Sào khoảng 50m, độ rộng đường trước mặt tài sản 7m, mặt tiền 5m, 20.974948827280787, 105.85183053947476</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đường Ao Sào khoảng 100m, độ rộng đường trước mặt tài sản 7m, mặt tiền 5m, 20.975006511577593, 105.85119044965796</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Khu chức năng đô thị tại Ao Sào, phường Hoàng Mai</w:t>
            </w:r>
            <w:r>
              <w:rPr>
                <w:color w:val="000000" w:themeColor="text1"/>
                <w:sz w:val="22"/>
                <w:szCs w:val="22"/>
              </w:rPr>
              <w:t xml:space="preserve">, Thành phố Hà Nội</w:t>
            </w:r>
            <w:r>
              <w:rPr>
                <w:color w:val="000000" w:themeColor="text1"/>
                <w:sz w:val="22"/>
                <w:szCs w:val="22"/>
              </w:rPr>
              <w:t xml:space="preserve">, khoảng cách ra đường chính Cách trục chính Ao Sào khoảng 50mm, độ rộng đường trước mặt tài sản 7.5m, mặt tiền 5m, Cách trục chính Ao Sào khoảng 50m, 20.974365302807332, 105.85247940448556</w:t>
            </w:r>
            <w:r>
              <w:rPr>
                <w:sz w:val="22"/>
                <w:szCs w:val="22"/>
              </w:rPr>
            </w:r>
            <w:r>
              <w:rPr>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Đường lát gạch</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293.381.643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288.381.643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14.669.082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14.669.082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14.419.082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308.050.725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308.050.725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302.800.725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308.050.725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308.050.725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302.800.725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308.050.725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308.050.725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302.800.725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304.253.279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304.253.279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299.003.279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302.503.279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14.669.082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14.669.082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14.419.082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14.669.082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14.669.082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14.419.082</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-1.16</w:t>
      </w:r>
      <w:r>
        <w:t xml:space="preserve">% </w:t>
      </w:r>
      <w:r>
        <w:t xml:space="preserve">đến</w:t>
      </w:r>
      <w:r>
        <w:t xml:space="preserve"> </w:t>
      </w:r>
      <w:r>
        <w:t xml:space="preserve">0.58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after="120" w:before="120" w:line="276" w:lineRule="auto"/>
        <w:ind/>
        <w:jc w:val="right"/>
        <w:rPr>
          <w:b/>
          <w:bCs/>
          <w:i/>
          <w:highlight w:val="none"/>
          <w:u w:val="single"/>
        </w:rPr>
      </w:pPr>
      <w:r>
        <w:rPr>
          <w:b/>
          <w:bCs/>
          <w:i/>
          <w:u w:val="single"/>
        </w:rPr>
      </w: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b/>
          <w:bCs/>
          <w:i/>
          <w:highlight w:val="none"/>
          <w:u w:val="single"/>
        </w:rPr>
      </w:r>
      <w:r>
        <w:rPr>
          <w:b/>
          <w:bCs/>
          <w:i/>
          <w:highlight w:val="none"/>
          <w:u w:val="singl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304.253.279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101.438.043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304.253.279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101.407.618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299.003.279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99.657.793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302.503.454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302.000.000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302.000.000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0"/>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1035"/>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37808"/>
        <w:gridCol w:w="10537"/>
        <w:gridCol w:w="32530"/>
        <w:gridCol w:w="9064"/>
        <w:gridCol w:w="49073"/>
      </w:tblGrid>
      <w:tr>
        <w:trPr/>
        <w:tc>
          <w:tcPr>
            <w:tcBorders/>
            <w:tcMar>
              <w:left w:w="0" w:type="dxa"/>
              <w:top w:w="0" w:type="dxa"/>
              <w:right w:w="0" w:type="dxa"/>
              <w:bottom w:w="0" w:type="dxa"/>
            </w:tcMar>
            <w:tcW w:w="37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10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32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90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490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pPr>
        <w:numPr>
          <w:ilvl w:val="0"/>
          <w:numId w:val="39"/>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chi phí thay thế</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ở 04 tầng + 1tum, cân nhắc và xem xét với mức độ hoàn thiện của công trình xây dựng hiện có, Tổ thẩm định nhận thấy đơn giá vận dụng theo Quyết định số 409/QĐ-BXD ngày 11 tháng 4 năm 2</w:t>
      </w:r>
      <w:r>
        <w:rPr>
          <w:rFonts w:ascii="Times New Roman" w:hAnsi="Times New Roman" w:eastAsia="Times New Roman" w:cs="Times New Roman"/>
          <w:color w:val="000000"/>
          <w:sz w:val="24"/>
        </w:rPr>
        <w:t xml:space="preserve">025 của Bộ Xây dựng về việc công bố suất vốn đầu tư xây dựng và giá xây dựng tổng hợp bộ phận kết cấu công trình năm 2024 là khá phù hợp với thị trường, theo đó: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i/>
          <w:color w:val="000000"/>
          <w:sz w:val="24"/>
        </w:rPr>
        <w:t xml:space="preserve">Nhà 4 đến 5 tầng, kết cấu khung chịu lực BTCT; tường bao xây gạch; sàn, mái BTCT đổ tại chỗ không có tầng hầm có diện tích xây dựng từ 50 m² đến dưới 70m² là 8.350.000 đồng/m² sàn, hệ số vùng 7 – TP Hà Nội là 0,952, tương đương đơn giá: 7.949.200 đồng/m²</w:t>
      </w:r>
      <w:r>
        <w:rPr>
          <w:rFonts w:ascii="Times New Roman" w:hAnsi="Times New Roman" w:eastAsia="Times New Roman" w:cs="Times New Roman"/>
          <w:color w:val="000000"/>
          <w:sz w:val="24"/>
        </w:rPr>
        <w:t xml:space="preserve">. </w:t>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03 tầng + 01 tum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209</w:t>
            </w: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i/>
                <w:color w:val="000000"/>
                <w:sz w:val="24"/>
              </w:rPr>
              <w:t xml:space="preserve">7.949.200</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pPr>
              <w:pBdr/>
              <w:spacing w:after="60" w:before="60"/>
              <w:ind/>
              <w:jc w:val="center"/>
              <w:rPr>
                <w:sz w:val="22"/>
                <w:szCs w:val="22"/>
              </w:rPr>
            </w:pPr>
            <w:r>
              <w:rPr>
                <w:sz w:val="22"/>
                <w:szCs w:val="22"/>
              </w:rPr>
              <w:t xml:space="preserve">1.661.382.800</w:t>
            </w:r>
            <w:r>
              <w:rPr>
                <w:sz w:val="22"/>
                <w:szCs w:val="22"/>
              </w:rPr>
            </w:r>
            <w:r>
              <w:rPr>
                <w:sz w:val="22"/>
                <w:szCs w:val="22"/>
              </w:rPr>
            </w:r>
          </w:p>
        </w:tc>
      </w:tr>
    </w:tbl>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hoàn thiện năm 2016, do đó, Tổ thẩm định ước tính tuổi đời hiệu quả của công trình là khoảng 10 năm.</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pacing w:val="2"/>
          <w:sz w:val="24"/>
        </w:rPr>
        <w:t xml:space="preserve">ông trình, Tổ thẩm định xác định tuổi đời kinh tế của tài sản thẩm định là 50 năm</w:t>
      </w:r>
      <w:r>
        <w:rPr>
          <w:rFonts w:ascii="Times New Roman" w:hAnsi="Times New Roman" w:eastAsia="Times New Roman" w:cs="Times New Roman"/>
          <w:color w:val="000000"/>
          <w:sz w:val="24"/>
        </w:rPr>
        <w:t xml:space="preserve">.</w:t>
      </w: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4669"/>
        <w:gridCol w:w="24669"/>
        <w:gridCol w:w="24699"/>
        <w:gridCol w:w="24669"/>
        <w:gridCol w:w="24669"/>
        <w:gridCol w:w="24700"/>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70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03 tầng + 01 tum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700" w:type="dxa"/>
            <w:vAlign w:val="top"/>
            <w:textDirection w:val="lrTb"/>
            <w:noWrap w:val="false"/>
          </w:tcPr>
          <w:p>
            <w:pPr>
              <w:pBdr/>
              <w:spacing w:after="0" w:before="0" w:line="276" w:lineRule="auto"/>
              <w:ind/>
              <w:jc w:val="left"/>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332.276.560</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spacing/>
              <w:ind/>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numPr>
          <w:ilvl w:val="0"/>
          <w:numId w:val="41"/>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rPr>
          <w:rFonts w:ascii="Times New Roman" w:hAnsi="Times New Roman" w:eastAsia="Times New Roman" w:cs="Times New Roman"/>
          <w:sz w:val="24"/>
        </w:rPr>
      </w: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w:t>
            </w:r>
            <w:r>
              <w:rPr>
                <w:b/>
                <w:bCs/>
                <w:sz w:val="22"/>
                <w:szCs w:val="22"/>
              </w:rPr>
              <w:t xml:space="preserve"> </w:t>
            </w:r>
            <w:r>
              <w:rPr>
                <w:b/>
                <w:bCs/>
                <w:sz w:val="22"/>
                <w:szCs w:val="22"/>
              </w:rPr>
              <w:t xml:space="preserve">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w:t>
            </w:r>
            <w:r>
              <w:rPr>
                <w:b/>
                <w:bCs/>
                <w:sz w:val="22"/>
                <w:szCs w:val="22"/>
              </w:rPr>
              <w:t xml:space="preserve"> </w:t>
            </w:r>
            <w:r>
              <w:rPr>
                <w:b/>
                <w:bCs/>
                <w:sz w:val="22"/>
                <w:szCs w:val="22"/>
              </w:rPr>
              <w:t xml:space="preserve">tích</w:t>
            </w:r>
            <w:r>
              <w:rPr>
                <w:b/>
                <w:bCs/>
                <w:sz w:val="22"/>
                <w:szCs w:val="22"/>
              </w:rPr>
              <w:t xml:space="preserve"> </w:t>
            </w:r>
            <w:r>
              <w:rPr>
                <w:b/>
                <w:bCs/>
                <w:sz w:val="22"/>
                <w:szCs w:val="22"/>
              </w:rPr>
              <w:t xml:space="preserve">sàn</w:t>
            </w:r>
            <w:r>
              <w:rPr>
                <w:b/>
                <w:bCs/>
                <w:sz w:val="22"/>
                <w:szCs w:val="22"/>
              </w:rPr>
              <w:t xml:space="preserve">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xây</w:t>
            </w:r>
            <w:r>
              <w:rPr>
                <w:b/>
                <w:bCs/>
                <w:sz w:val="22"/>
                <w:szCs w:val="22"/>
              </w:rPr>
              <w:t xml:space="preserve"> </w:t>
            </w:r>
            <w:r>
              <w:rPr>
                <w:b/>
                <w:bCs/>
                <w:sz w:val="22"/>
                <w:szCs w:val="22"/>
              </w:rPr>
              <w:t xml:space="preserve">dựng</w:t>
            </w:r>
            <w:r>
              <w:rPr>
                <w:b/>
                <w:bCs/>
                <w:sz w:val="22"/>
                <w:szCs w:val="22"/>
              </w:rPr>
              <w:t xml:space="preserve"> </w:t>
            </w:r>
            <w:r>
              <w:rPr>
                <w:b/>
                <w:bCs/>
                <w:sz w:val="22"/>
                <w:szCs w:val="22"/>
              </w:rPr>
              <w:t xml:space="preserve">mới</w:t>
            </w:r>
            <w:r>
              <w:rPr>
                <w:b/>
                <w:bCs/>
                <w:sz w:val="22"/>
                <w:szCs w:val="22"/>
              </w:rPr>
              <w:t xml:space="preserve"> (</w:t>
            </w:r>
            <w:r>
              <w:rPr>
                <w:b/>
                <w:bCs/>
                <w:sz w:val="22"/>
                <w:szCs w:val="22"/>
              </w:rPr>
              <w:t xml:space="preserve">đồng</w:t>
            </w:r>
            <w:r>
              <w:rPr>
                <w:b/>
                <w:bCs/>
                <w:sz w:val="22"/>
                <w:szCs w:val="22"/>
              </w:rPr>
              <w:t xml:space="preserve">/m² </w:t>
            </w:r>
            <w:r>
              <w:rPr>
                <w:b/>
                <w:bCs/>
                <w:sz w:val="22"/>
                <w:szCs w:val="22"/>
              </w:rPr>
              <w:t xml:space="preserve">sàn</w:t>
            </w:r>
            <w:r>
              <w:rPr>
                <w:b/>
                <w:bCs/>
                <w:sz w:val="22"/>
                <w:szCs w:val="22"/>
              </w:rPr>
              <w:t xml:space="preserve">)</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w:t>
            </w:r>
            <w:r>
              <w:rPr>
                <w:b/>
                <w:bCs/>
                <w:sz w:val="22"/>
                <w:szCs w:val="22"/>
              </w:rPr>
              <w:t xml:space="preserve">phí</w:t>
            </w:r>
            <w:r>
              <w:rPr>
                <w:b/>
                <w:bCs/>
                <w:sz w:val="22"/>
                <w:szCs w:val="22"/>
              </w:rPr>
              <w:t xml:space="preserve"> </w:t>
            </w:r>
            <w:r>
              <w:rPr>
                <w:b/>
                <w:bCs/>
                <w:sz w:val="22"/>
                <w:szCs w:val="22"/>
              </w:rPr>
              <w:t xml:space="preserve">thay</w:t>
            </w:r>
            <w:r>
              <w:rPr>
                <w:b/>
                <w:bCs/>
                <w:sz w:val="22"/>
                <w:szCs w:val="22"/>
              </w:rPr>
              <w:t xml:space="preserve"> </w:t>
            </w:r>
            <w:r>
              <w:rPr>
                <w:b/>
                <w:bCs/>
                <w:sz w:val="22"/>
                <w:szCs w:val="22"/>
              </w:rPr>
              <w:t xml:space="preserve">thế</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w:t>
            </w:r>
            <w:r>
              <w:rPr>
                <w:b/>
                <w:bCs/>
                <w:sz w:val="22"/>
                <w:szCs w:val="22"/>
              </w:rPr>
              <w:t xml:space="preserve"> </w:t>
            </w:r>
            <w:r>
              <w:rPr>
                <w:b/>
                <w:bCs/>
                <w:sz w:val="22"/>
                <w:szCs w:val="22"/>
              </w:rPr>
              <w:t xml:space="preserve">lệ</w:t>
            </w:r>
            <w:r>
              <w:rPr>
                <w:b/>
                <w:bCs/>
                <w:sz w:val="22"/>
                <w:szCs w:val="22"/>
              </w:rPr>
              <w:t xml:space="preserve"> hao </w:t>
            </w:r>
            <w:r>
              <w:rPr>
                <w:b/>
                <w:bCs/>
                <w:sz w:val="22"/>
                <w:szCs w:val="22"/>
              </w:rPr>
              <w:t xml:space="preserve">mòn</w:t>
            </w:r>
            <w:r>
              <w:rPr>
                <w:b/>
                <w:bCs/>
                <w:sz w:val="22"/>
                <w:szCs w:val="22"/>
              </w:rPr>
              <w:t xml:space="preserve">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hao </w:t>
            </w:r>
            <w:r>
              <w:rPr>
                <w:b/>
                <w:bCs/>
                <w:sz w:val="22"/>
                <w:szCs w:val="22"/>
              </w:rPr>
              <w:t xml:space="preserve">mòn</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w:t>
            </w:r>
            <w:r>
              <w:rPr>
                <w:b/>
                <w:bCs/>
                <w:sz w:val="22"/>
                <w:szCs w:val="22"/>
              </w:rPr>
              <w:t xml:space="preserve"> </w:t>
            </w:r>
            <w:r>
              <w:rPr>
                <w:b/>
                <w:bCs/>
                <w:sz w:val="22"/>
                <w:szCs w:val="22"/>
              </w:rPr>
              <w:t xml:space="preserve">trị</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tại</w:t>
            </w:r>
            <w:r>
              <w:rPr>
                <w:b/>
                <w:bCs/>
                <w:sz w:val="22"/>
                <w:szCs w:val="22"/>
              </w:rPr>
              <w:t xml:space="preserve"> </w:t>
            </w:r>
            <w:r>
              <w:rPr>
                <w:b/>
                <w:bCs/>
                <w:sz w:val="22"/>
                <w:szCs w:val="22"/>
              </w:rPr>
              <w:t xml:space="preserve">thời</w:t>
            </w:r>
            <w:r>
              <w:rPr>
                <w:b/>
                <w:bCs/>
                <w:sz w:val="22"/>
                <w:szCs w:val="22"/>
              </w:rPr>
              <w:t xml:space="preserve"> </w:t>
            </w:r>
            <w:r>
              <w:rPr>
                <w:b/>
                <w:bCs/>
                <w:sz w:val="22"/>
                <w:szCs w:val="22"/>
              </w:rPr>
              <w:t xml:space="preserve">điểm</w:t>
            </w:r>
            <w:r>
              <w:rPr>
                <w:b/>
                <w:bCs/>
                <w:sz w:val="22"/>
                <w:szCs w:val="22"/>
              </w:rPr>
              <w:t xml:space="preserve"> </w:t>
            </w:r>
            <w:r>
              <w:rPr>
                <w:b/>
                <w:bCs/>
                <w:sz w:val="22"/>
                <w:szCs w:val="22"/>
              </w:rPr>
              <w:t xml:space="preserve">thẩm</w:t>
            </w:r>
            <w:r>
              <w:rPr>
                <w:b/>
                <w:bCs/>
                <w:sz w:val="22"/>
                <w:szCs w:val="22"/>
              </w:rPr>
              <w:t xml:space="preserve"> </w:t>
            </w:r>
            <w:r>
              <w:rPr>
                <w:b/>
                <w:bCs/>
                <w:sz w:val="22"/>
                <w:szCs w:val="22"/>
              </w:rPr>
              <w:t xml:space="preserve">định</w:t>
            </w:r>
            <w:r>
              <w:rPr>
                <w:b/>
                <w:bCs/>
                <w:sz w:val="22"/>
                <w:szCs w:val="22"/>
              </w:rPr>
              <w:t xml:space="preserve"> </w:t>
            </w:r>
            <w:r>
              <w:rPr>
                <w:b/>
                <w:bCs/>
                <w:sz w:val="22"/>
                <w:szCs w:val="22"/>
              </w:rPr>
              <w:t xml:space="preserve">giá</w:t>
            </w:r>
            <w:r>
              <w:rPr>
                <w:b/>
                <w:bCs/>
                <w:sz w:val="22"/>
                <w:szCs w:val="22"/>
              </w:rPr>
              <w:t xml:space="preserve"> (</w:t>
            </w:r>
            <w:r>
              <w:rPr>
                <w:b/>
                <w:bCs/>
                <w:sz w:val="22"/>
                <w:szCs w:val="22"/>
              </w:rPr>
              <w:t xml:space="preserve">đồng</w:t>
            </w:r>
            <w:r>
              <w:rPr>
                <w:b/>
                <w:bCs/>
                <w:sz w:val="22"/>
                <w:szCs w:val="22"/>
              </w:rPr>
              <w:t xml:space="preserve">)</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03 tầng + 01 tum</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209</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7.949.200</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1.661.382.800</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20%</w:t>
            </w:r>
            <w:r>
              <w:rPr>
                <w:sz w:val="22"/>
                <w:szCs w:val="22"/>
              </w:rPr>
            </w:r>
            <w:r>
              <w:rPr>
                <w:sz w:val="22"/>
                <w:szCs w:val="22"/>
              </w:rPr>
            </w:r>
          </w:p>
        </w:tc>
        <w:tc>
          <w:tcPr>
            <w:tcBorders/>
            <w:tcW w:w="1559" w:type="dxa"/>
            <w:vAlign w:val="center"/>
            <w:textDirection w:val="lrTb"/>
            <w:noWrap/>
          </w:tcPr>
          <w:p>
            <w:pPr>
              <w:pBdr/>
              <w:spacing w:after="0" w:before="0" w:line="276" w:lineRule="auto"/>
              <w:ind/>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332.276.560</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c>
          <w:tcPr>
            <w:tcBorders/>
            <w:tcW w:w="1968"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1.329.106.240</w:t>
            </w:r>
            <w:r/>
          </w:p>
        </w:tc>
      </w:tr>
    </w:tbl>
    <w:p>
      <w:pPr>
        <w:pStyle w:val="1031"/>
        <w:pBdr/>
        <w:spacing w:after="120" w:before="120" w:line="276" w:lineRule="auto"/>
        <w:ind w:left="357"/>
        <w:jc w:val="both"/>
        <w:rPr>
          <w:b/>
          <w:lang w:val="pt-BR"/>
        </w:rPr>
      </w:pPr>
      <w:r>
        <w:rPr>
          <w:b/>
          <w:lang w:val="pt-BR"/>
        </w:rPr>
      </w:r>
      <w:r>
        <w:rPr>
          <w:b/>
          <w:lang w:val="pt-BR"/>
        </w:rPr>
      </w:r>
      <w:r>
        <w:rPr>
          <w:b/>
          <w:lang w:val="pt-BR"/>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uyền sử dụng đất và tài sản gắn liện với đất tại thửa đất số: 12A-TT3-2, tờ bản đồ số -/- có địa chỉ: 12A-TT3-2, Khu chức năng đô thị tại Ao Sào, phường Thịnh Liệt, quận Hoàng Mai (nay là phường Hoàng Mai), thành phố Hà Nội theo Giấy chứng nhận quyền sử dụ</w:t>
            </w:r>
            <w:r>
              <w:rPr>
                <w:color w:val="000000"/>
              </w:rPr>
              <w:t xml:space="preserve">ng đất, quyền sở hữu nhà ở và tài sản khác gắn liền với đất  số: CK 299284, số vào sổ cấp GCN: CS43320 do Sở tài nguyên và môi trường thành phố Hà Nội cấp ngày 03/11/2017; Chủ sử dụng đất là Ông Vũ Văn Tĩnh và Bà Bùi Thị Đào</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302.000.000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21.140.000.000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03 tầng + 01 tum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209</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r>
            <w:r/>
          </w:p>
        </w:tc>
        <w:tc>
          <w:tcPr>
            <w:shd w:val="clear" w:color="000000" w:fill="ffffff"/>
            <w:tcBorders/>
            <w:tcW w:w="1136" w:type="pct"/>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1.329.106.240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22.469.106.240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22.469.000.000</w:t>
            </w:r>
            <w:r/>
          </w:p>
        </w:tc>
      </w:tr>
      <w:tr>
        <w:trPr>
          <w:trHeight w:val="20"/>
        </w:trPr>
        <w:tc>
          <w:tcPr>
            <w:gridSpan w:val="5"/>
            <w:tcBorders/>
            <w:tcW w:w="5000" w:type="pct"/>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Hai mươi hai tỷ bốn trăm sáu mươi chín triệu đồng chẵn./.)</w:t>
            </w:r>
            <w:r/>
          </w:p>
        </w:tc>
      </w:tr>
    </w:tbl>
    <w:p>
      <w:pPr>
        <w:pStyle w:val="1031"/>
        <w:pBdr/>
        <w:tabs>
          <w:tab w:val="left" w:leader="none" w:pos="993"/>
        </w:tabs>
        <w:spacing w:after="120" w:before="120" w:line="276" w:lineRule="auto"/>
        <w:ind w:left="0"/>
        <w:jc w:val="both"/>
        <w:rPr/>
      </w:pPr>
      <w:r/>
      <w:r/>
    </w:p>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275/2026/0148/VFI-CT.44.A</w:t>
      </w:r>
      <w:r>
        <w:rPr>
          <w:color w:val="ff0000"/>
          <w:lang w:val="vi-VN"/>
        </w:rPr>
        <w:t xml:space="preserve"> </w:t>
      </w:r>
      <w:r>
        <w:rPr>
          <w:color w:val="000000" w:themeColor="text1"/>
        </w:rPr>
        <w:t xml:space="preserve">ngày 20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275/2026/0148/VFI-BC.44.A</w:t>
      </w:r>
      <w:r>
        <w:rPr>
          <w:i/>
        </w:rPr>
        <w:t xml:space="preserve"> </w:t>
      </w:r>
      <w:r>
        <w:rPr>
          <w:i/>
        </w:rPr>
        <w:t xml:space="preserve">ngày</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93"/>
        <w:gridCol w:w="4932"/>
      </w:tblGrid>
      <w:tr>
        <w:trPr/>
        <w:tc>
          <w:tcPr>
            <w:tcBorders/>
            <w:tcW w:w="4593"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236137" cy="16771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00586" name=""/>
                              <pic:cNvPicPr>
                                <a:picLocks noChangeAspect="1"/>
                              </pic:cNvPicPr>
                              <pic:nvPr/>
                            </pic:nvPicPr>
                            <pic:blipFill rotWithShape="1">
                              <a:blip r:embed="rId18"/>
                              <a:stretch/>
                            </pic:blipFill>
                            <pic:spPr bwMode="auto">
                              <a:xfrm flipH="0" flipV="0">
                                <a:off x="0" y="0"/>
                                <a:ext cx="2236136" cy="16771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76.07pt;height:132.06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932"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94377" cy="138732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78153" name=""/>
                              <pic:cNvPicPr>
                                <a:picLocks noChangeAspect="1"/>
                              </pic:cNvPicPr>
                              <pic:nvPr/>
                            </pic:nvPicPr>
                            <pic:blipFill rotWithShape="1">
                              <a:blip r:embed="rId19"/>
                              <a:stretch/>
                            </pic:blipFill>
                            <pic:spPr bwMode="auto">
                              <a:xfrm flipH="0" flipV="0">
                                <a:off x="0" y="0"/>
                                <a:ext cx="2994377" cy="1387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5.78pt;height:109.2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593"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93880" cy="164541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668763" name=""/>
                              <pic:cNvPicPr>
                                <a:picLocks noChangeAspect="1"/>
                              </pic:cNvPicPr>
                              <pic:nvPr/>
                            </pic:nvPicPr>
                            <pic:blipFill rotWithShape="1">
                              <a:blip r:embed="rId20"/>
                              <a:stretch/>
                            </pic:blipFill>
                            <pic:spPr bwMode="auto">
                              <a:xfrm flipH="0" flipV="0">
                                <a:off x="0" y="0"/>
                                <a:ext cx="2193879" cy="16454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2.75pt;height:129.5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932"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61816" cy="184636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61087" name=""/>
                              <pic:cNvPicPr>
                                <a:picLocks noChangeAspect="1"/>
                              </pic:cNvPicPr>
                              <pic:nvPr/>
                            </pic:nvPicPr>
                            <pic:blipFill rotWithShape="1">
                              <a:blip r:embed="rId21"/>
                              <a:stretch/>
                            </pic:blipFill>
                            <pic:spPr bwMode="auto">
                              <a:xfrm flipH="0" flipV="0">
                                <a:off x="0" y="0"/>
                                <a:ext cx="2461816" cy="18463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3.84pt;height:145.3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593" w:type="dxa"/>
            <w:vAlign w:val="center"/>
            <w:textDirection w:val="lrTb"/>
            <w:noWrap w:val="false"/>
          </w:tcPr>
          <w:p>
            <w:pPr>
              <w:pBdr/>
              <w:tabs>
                <w:tab w:val="left" w:leader="none" w:pos="3253"/>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63815" cy="207286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76165" name=""/>
                              <pic:cNvPicPr>
                                <a:picLocks noChangeAspect="1"/>
                              </pic:cNvPicPr>
                              <pic:nvPr/>
                            </pic:nvPicPr>
                            <pic:blipFill rotWithShape="1">
                              <a:blip r:embed="rId22"/>
                              <a:stretch/>
                            </pic:blipFill>
                            <pic:spPr bwMode="auto">
                              <a:xfrm flipH="0" flipV="0">
                                <a:off x="0" y="0"/>
                                <a:ext cx="2763814" cy="20728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62pt;height:163.2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932"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93065" cy="194479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21945" name=""/>
                              <pic:cNvPicPr>
                                <a:picLocks noChangeAspect="1"/>
                              </pic:cNvPicPr>
                              <pic:nvPr/>
                            </pic:nvPicPr>
                            <pic:blipFill rotWithShape="1">
                              <a:blip r:embed="rId23"/>
                              <a:stretch/>
                            </pic:blipFill>
                            <pic:spPr bwMode="auto">
                              <a:xfrm flipH="0" flipV="0">
                                <a:off x="0" y="0"/>
                                <a:ext cx="2593064" cy="1944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4.18pt;height:153.13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PHÁP LÝ</w:t>
      </w:r>
      <w:r>
        <w:rPr>
          <w:b/>
          <w:bCs/>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3229595" cy="44334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67378" name=""/>
                        <pic:cNvPicPr>
                          <a:picLocks noChangeAspect="1"/>
                        </pic:cNvPicPr>
                        <pic:nvPr/>
                      </pic:nvPicPr>
                      <pic:blipFill rotWithShape="1">
                        <a:blip r:embed="rId24"/>
                        <a:stretch/>
                      </pic:blipFill>
                      <pic:spPr bwMode="auto">
                        <a:xfrm flipH="0" flipV="0">
                          <a:off x="0" y="0"/>
                          <a:ext cx="3229594" cy="44334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54.30pt;height:349.09pt;mso-wrap-distance-left:0.00pt;mso-wrap-distance-top:0.00pt;mso-wrap-distance-right:0.00pt;mso-wrap-distance-bottom:0.00pt;z-index:1;" stroked="false">
                <v:imagedata r:id="rId24"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5295900" cy="37623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797860" name=""/>
                        <pic:cNvPicPr>
                          <a:picLocks noChangeAspect="1"/>
                        </pic:cNvPicPr>
                        <pic:nvPr/>
                      </pic:nvPicPr>
                      <pic:blipFill rotWithShape="1">
                        <a:blip r:embed="rId25"/>
                        <a:stretch/>
                      </pic:blipFill>
                      <pic:spPr bwMode="auto">
                        <a:xfrm>
                          <a:off x="0" y="0"/>
                          <a:ext cx="5295899" cy="3762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7.00pt;height:296.25pt;mso-wrap-distance-left:0.00pt;mso-wrap-distance-top:0.00pt;mso-wrap-distance-right:0.00pt;mso-wrap-distance-bottom:0.00pt;z-index:1;" stroked="false">
                <v:imagedata r:id="rId25" o:title=""/>
                <o:lock v:ext="edit" rotation="t"/>
              </v:shape>
            </w:pict>
          </mc:Fallback>
        </mc:AlternateContent>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275/2026/0148/VFI-BC.44.A</w:t>
      </w:r>
      <w:r>
        <w:rPr>
          <w:i/>
        </w:rPr>
        <w:t xml:space="preserve"> </w:t>
      </w:r>
      <w:r>
        <w:rPr>
          <w:i/>
        </w:rPr>
        <w:t xml:space="preserve">ngày</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https://www.facebook.com/groups/2266242860178341/permalink/3872866509515960/</w:t>
            </w:r>
            <w:r>
              <w:rPr>
                <w:color w:val="000000" w:themeColor="text1"/>
                <w:sz w:val="22"/>
                <w:szCs w:val="22"/>
              </w:rPr>
              <w:br/>
              <w:t xml:space="preserve">0382889789</w:t>
            </w:r>
            <w:r>
              <w:rPr>
                <w:sz w:val="22"/>
                <w:szCs w:val="22"/>
              </w:rPr>
              <w:t xml:space="preserve"> </w:t>
            </w:r>
            <w:r>
              <w:rPr>
                <w:sz w:val="22"/>
                <w:szCs w:val="22"/>
              </w:rPr>
              <w:br/>
              <w:t xml:space="preserve">(Hoa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Thịnh Liệt, Quận Hoàng Mai, Thành phố Hà Nội, khoảng cách ra đường chính Cách đường Ao Sào khoảng 50m, độ rộng đường trước mặt tài sản 7m, mặt tiền 5m, 20.974948827280787, 105.85183053947476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8687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28687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0.0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4332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0433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9.63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3695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30369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9.1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Lê Thị Hồng Ngọc</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https://www.facebook.com/groups/2266242860178341/permalink/3842571529212125/</w:t>
            </w:r>
            <w:r>
              <w:rPr>
                <w:color w:val="000000" w:themeColor="text1"/>
                <w:sz w:val="22"/>
                <w:szCs w:val="22"/>
              </w:rPr>
              <w:br/>
              <w:t xml:space="preserve">0972067843</w:t>
            </w:r>
            <w:r>
              <w:rPr>
                <w:sz w:val="22"/>
                <w:szCs w:val="22"/>
              </w:rPr>
              <w:t xml:space="preserve"> </w:t>
            </w:r>
            <w:r>
              <w:rPr>
                <w:sz w:val="22"/>
                <w:szCs w:val="22"/>
              </w:rPr>
              <w:br/>
              <w:t xml:space="preserve">(Hoàn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Thịnh Liệt, Quận Hoàng Mai, Thành phố Hà Nội, khoảng cách ra đường chính Cách đường Ao Sào khoảng 100m, độ rộng đường trước mặt tài sản 7m, mặt tiền 5m, 20.975006511577593, 105.85119044965796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788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2978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0.9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4622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04622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9.8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Lê Thị Hồng Ngọc</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0348749776</w:t>
            </w:r>
            <w:r>
              <w:rPr>
                <w:sz w:val="22"/>
                <w:szCs w:val="22"/>
              </w:rPr>
              <w:t xml:space="preserve"> </w:t>
            </w:r>
            <w:r>
              <w:rPr>
                <w:sz w:val="22"/>
                <w:szCs w:val="22"/>
              </w:rPr>
              <w:br/>
              <w:t xml:space="preserve">(Tô 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Thịnh Liệt, Quận Hoàng Mai, Thành phố Hà Nội, khoảng cách ra đường chính Cách trục chính Ao Sào khoảng 50mm, độ rộng đường trước mặt tài sản 7.5m, mặt tiền 5m, Cách trục chính Ao Sào khoảng 50m, 20.974365302807332, 105.85247940448556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74164" cy="263059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574163" cy="2630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2.69pt;height:207.13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left"/>
              <w:rPr/>
            </w:pPr>
            <w:r/>
            <w:r/>
          </w:p>
          <w:p>
            <w:pPr>
              <w:pBdr/>
              <w:spacing/>
              <w:ind/>
              <w:jc w:val="center"/>
              <w:rPr/>
            </w:pPr>
            <w:r>
              <w:t xml:space="preserve">Lê Đình Duy</w:t>
            </w:r>
            <w:r/>
          </w:p>
        </w:tc>
      </w:tr>
    </w:tbl>
    <w:p>
      <w:pPr>
        <w:pBdr/>
        <w:spacing w:after="200" w:line="276" w:lineRule="auto"/>
        <w:ind/>
        <w:jc w:val="center"/>
        <w:rPr>
          <w:iCs/>
          <w:lang w:val="pt-BR"/>
        </w:rPr>
      </w:pPr>
      <w:r>
        <w:rPr>
          <w:iCs/>
          <w:lang w:val="pt-BR"/>
        </w:rPr>
      </w:r>
      <w:r>
        <w:rPr>
          <w:iCs/>
          <w:lang w:val="pt-BR"/>
        </w:rPr>
        <w:t xml:space="preserve">BIÊN BẢN KHẢO SÁT</w: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66768E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2443EBE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321CEE6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510</cp:revision>
  <dcterms:created xsi:type="dcterms:W3CDTF">2025-09-15T02:01:00Z</dcterms:created>
  <dcterms:modified xsi:type="dcterms:W3CDTF">2026-01-22T04:57:29Z</dcterms:modified>
</cp:coreProperties>
</file>