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921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921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275/2026/0146/VFI-CT.63.A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Nguyễn Bá Đạo</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và tài sản gắn liền với đất tại thửa đất số: 163, tờ bản đồ số: 17, có địa chỉ: Xã An Tiến, huyện Mỹ Đức, thành phố Hà Nội (nay là xã Hương Sơn, thành phố Hà Nội) theo Giấy chứng</w:t>
                            </w:r>
                            <w:r>
                              <w:rPr>
                                <w:color w:val="000000"/>
                              </w:rPr>
                              <w:t xml:space="preserve"> nhận quyền sử dụng đất, quyền sở hữu nhà ở và tài sản khác gắn liền với đất  số: CX 538494, Số vào sổ cấp GCN: CS-MĐ 11360 do Sở tài nguyên và Môi trường thành phố Hà Nội cấp ngày 30/10/2020; chủ sử dụng đất là Ông Nguyễn Bá Đạo (cập nhật ngày 21/06/2021)</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82.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275/2026/0146/VFI-CT.63.A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Nguyễn Bá Đạo</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và tài sản gắn liền với đất tại thửa đất số: 163, tờ bản đồ số: 17, có địa chỉ: Xã An Tiến, huyện Mỹ Đức, thành phố Hà Nội (nay là xã Hương Sơn, thành phố Hà Nội) theo Giấy chứng</w:t>
                      </w:r>
                      <w:r>
                        <w:rPr>
                          <w:color w:val="000000"/>
                        </w:rPr>
                        <w:t xml:space="preserve"> nhận quyền sử dụng đất, quyền sở hữu nhà ở và tài sản khác gắn liền với đất  số: CX 538494, Số vào sổ cấp GCN: CS-MĐ 11360 do Sở tài nguyên và Môi trường thành phố Hà Nội cấp ngày 30/10/2020; chủ sử dụng đất là Ông Nguyễn Bá Đạo (cập nhật ngày 21/06/2021)</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8"/>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w:t>
            </w:r>
            <w:r>
              <w:rPr>
                <w:b/>
                <w:bCs/>
              </w:rPr>
            </w:r>
            <w:r>
              <w:rPr>
                <w:b/>
                <w:bCs/>
              </w:rPr>
            </w:r>
          </w:p>
        </w:tc>
      </w:tr>
      <w:tr>
        <w:trPr/>
        <w:tc>
          <w:tcPr>
            <w:tcBorders/>
            <w:tcMar>
              <w:left w:w="108" w:type="dxa"/>
              <w:right w:w="108" w:type="dxa"/>
            </w:tcMar>
            <w:tcW w:w="7280" w:type="dxa"/>
            <w:vAlign w:val="center"/>
            <w:textDirection w:val="lrTb"/>
            <w:noWrap w:val="false"/>
          </w:tcPr>
          <w:p>
            <w:pPr>
              <w:pStyle w:val="1028"/>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22-30</w:t>
            </w:r>
            <w:r>
              <w:rPr>
                <w:b/>
                <w:bCs/>
              </w:rPr>
            </w:r>
            <w:r>
              <w:rPr>
                <w:b/>
                <w:bCs/>
              </w:rPr>
            </w:r>
          </w:p>
        </w:tc>
      </w:tr>
    </w:tbl>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7"/>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88975" name="Picture 3" descr="Logo, company name&#10;&#10;Description automatically generated"/>
                              <pic:cNvPicPr>
                                <a:picLocks noChangeAspect="1"/>
                              </pic:cNvPicPr>
                              <pic:nvPr/>
                            </pic:nvPicPr>
                            <pic:blipFill rotWithShape="1">
                              <a:blip r:embed="rId14"/>
                              <a:stretch/>
                            </pic:blipFill>
                            <pic:spPr bwMode="auto">
                              <a:xfrm>
                                <a:off x="0" y="0"/>
                                <a:ext cx="1017904" cy="922019"/>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8"/>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ffffff" w:fill="ffffff"/>
            <w:tcBorders/>
            <w:tcMar>
              <w:left w:w="108" w:type="dxa"/>
              <w:top w:w="0" w:type="dxa"/>
              <w:right w:w="108" w:type="dxa"/>
              <w:bottom w:w="0" w:type="dxa"/>
            </w:tcMar>
            <w:tcW w:w="3996" w:type="dxa"/>
            <w:textDirection w:val="lrTb"/>
            <w:noWrap w:val="false"/>
          </w:tcPr>
          <w:p>
            <w:pPr>
              <w:pStyle w:val="1027"/>
              <w:pBdr/>
              <w:spacing w:after="60"/>
              <w:ind/>
              <w:rPr>
                <w:color w:val="000000" w:themeColor="text1"/>
                <w:sz w:val="24"/>
                <w:szCs w:val="24"/>
              </w:rPr>
            </w:pPr>
            <w:r>
              <w:rPr>
                <w:rStyle w:val="1026"/>
                <w:rFonts w:ascii="Times New Roman" w:hAnsi="Times New Roman"/>
                <w:color w:val="000000" w:themeColor="text1"/>
                <w:lang w:val="pt-BR"/>
              </w:rPr>
              <w:t xml:space="preserve">Số</w:t>
            </w:r>
            <w:r>
              <w:rPr>
                <w:rStyle w:val="1026"/>
                <w:rFonts w:ascii="Times New Roman" w:hAnsi="Times New Roman"/>
                <w:color w:val="000000" w:themeColor="text1"/>
                <w:lang w:val="pt-BR"/>
              </w:rPr>
              <w:t xml:space="preserve">: </w:t>
            </w:r>
            <w:r>
              <w:rPr>
                <w:rStyle w:val="1026"/>
                <w:rFonts w:ascii="Times New Roman" w:hAnsi="Times New Roman"/>
                <w:color w:val="000000" w:themeColor="text1"/>
                <w:lang w:val="pt-BR"/>
              </w:rPr>
              <w:t xml:space="preserve">275/2026/0146/VFI-CT.63.A</w:t>
            </w:r>
            <w:r>
              <w:rPr>
                <w:color w:val="000000" w:themeColor="text1"/>
                <w:sz w:val="24"/>
                <w:szCs w:val="24"/>
              </w:rPr>
            </w:r>
            <w:r>
              <w:rPr>
                <w:color w:val="000000" w:themeColor="text1"/>
                <w:sz w:val="24"/>
                <w:szCs w:val="24"/>
              </w:rPr>
            </w:r>
          </w:p>
        </w:tc>
        <w:tc>
          <w:tcPr>
            <w:shd w:val="clear" w:color="ffffff" w:fill="ffffff"/>
            <w:tcBorders/>
            <w:tcMar>
              <w:left w:w="108" w:type="dxa"/>
              <w:top w:w="0" w:type="dxa"/>
              <w:right w:w="108" w:type="dxa"/>
              <w:bottom w:w="0" w:type="dxa"/>
            </w:tcMar>
            <w:tcW w:w="5536" w:type="dxa"/>
            <w:textDirection w:val="lrTb"/>
            <w:noWrap w:val="false"/>
          </w:tcPr>
          <w:p>
            <w:pPr>
              <w:pStyle w:val="1027"/>
              <w:pBdr/>
              <w:spacing w:after="60"/>
              <w:ind w:right="-56"/>
              <w:jc w:val="right"/>
              <w:rPr>
                <w:color w:val="000000" w:themeColor="text1"/>
                <w:sz w:val="24"/>
                <w:szCs w:val="24"/>
                <w:lang w:val="vi-VN"/>
              </w:rPr>
            </w:pPr>
            <w:r>
              <w:rPr>
                <w:rStyle w:val="1026"/>
                <w:rFonts w:ascii="Times New Roman" w:hAnsi="Times New Roman"/>
                <w:i/>
                <w:color w:val="auto"/>
              </w:rPr>
              <w:t xml:space="preserve">TP. </w:t>
            </w:r>
            <w:r>
              <w:rPr>
                <w:rStyle w:val="1026"/>
                <w:rFonts w:ascii="Times New Roman" w:hAnsi="Times New Roman"/>
                <w:i/>
                <w:color w:val="auto"/>
              </w:rPr>
              <w:t xml:space="preserve">Hà</w:t>
            </w:r>
            <w:r>
              <w:rPr>
                <w:rStyle w:val="1026"/>
                <w:rFonts w:ascii="Times New Roman" w:hAnsi="Times New Roman"/>
                <w:i/>
                <w:color w:val="auto"/>
              </w:rPr>
              <w:t xml:space="preserve"> </w:t>
            </w:r>
            <w:r>
              <w:rPr>
                <w:rStyle w:val="1026"/>
                <w:rFonts w:ascii="Times New Roman" w:hAnsi="Times New Roman"/>
                <w:i/>
                <w:color w:val="auto"/>
              </w:rPr>
              <w:t xml:space="preserve">Nội</w:t>
            </w:r>
            <w:r>
              <w:rPr>
                <w:rStyle w:val="1026"/>
                <w:rFonts w:ascii="Times New Roman" w:hAnsi="Times New Roman"/>
                <w:i/>
                <w:color w:val="auto"/>
                <w:lang w:val="vi-VN"/>
              </w:rPr>
              <w:t xml:space="preserve">, </w:t>
            </w:r>
            <w:r>
              <w:rPr>
                <w:rStyle w:val="1026"/>
                <w:rFonts w:ascii="Times New Roman" w:hAnsi="Times New Roman"/>
                <w:i/>
                <w:color w:val="000000" w:themeColor="text1"/>
                <w:lang w:val="vi-VN"/>
              </w:rPr>
              <w:t xml:space="preserve">ngày 20 tháng 1 năm 2026</w:t>
            </w:r>
            <w:r>
              <w:rPr>
                <w:color w:val="000000" w:themeColor="text1"/>
                <w:sz w:val="24"/>
                <w:szCs w:val="24"/>
                <w:lang w:val="vi-VN"/>
              </w:rPr>
            </w:r>
            <w:r>
              <w:rPr>
                <w:color w:val="000000" w:themeColor="text1"/>
                <w:sz w:val="24"/>
                <w:szCs w:val="24"/>
                <w:lang w:val="vi-VN"/>
              </w:rPr>
            </w:r>
          </w:p>
        </w:tc>
      </w:tr>
    </w:tbl>
    <w:p>
      <w:pPr>
        <w:pStyle w:val="1027"/>
        <w:pBdr/>
        <w:spacing w:after="120" w:before="200" w:line="288" w:lineRule="auto"/>
        <w:ind/>
        <w:jc w:val="center"/>
        <w:rPr>
          <w:rStyle w:val="1026"/>
          <w:rFonts w:ascii="Times New Roman" w:hAnsi="Times New Roman"/>
          <w:b/>
          <w:bCs/>
          <w:color w:val="auto"/>
          <w:sz w:val="30"/>
          <w:szCs w:val="30"/>
          <w:highlight w:val="none"/>
          <w:lang w:val="vi-VN"/>
        </w:rPr>
      </w:pPr>
      <w:r>
        <w:rPr>
          <w:rStyle w:val="1026"/>
          <w:rFonts w:ascii="Times New Roman" w:hAnsi="Times New Roman"/>
          <w:b/>
          <w:bCs/>
          <w:color w:val="auto"/>
          <w:sz w:val="30"/>
          <w:szCs w:val="30"/>
          <w:lang w:val="vi-VN"/>
        </w:rPr>
        <w:t xml:space="preserve">CHỨNG THƯ THẨM ĐỊNH GIÁ</w:t>
      </w:r>
      <w:r>
        <w:rPr>
          <w:rStyle w:val="1026"/>
          <w:rFonts w:ascii="Times New Roman" w:hAnsi="Times New Roman"/>
          <w:b/>
          <w:bCs/>
          <w:color w:val="auto"/>
          <w:sz w:val="30"/>
          <w:szCs w:val="30"/>
          <w:lang w:val="vi-VN"/>
        </w:rPr>
      </w:r>
      <w:r>
        <w:rPr>
          <w:rStyle w:val="1026"/>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Ông </w:t>
      </w:r>
      <w:r>
        <w:rPr>
          <w:rFonts w:ascii="Times New Roman Bold" w:hAnsi="Times New Roman Bold"/>
          <w:b/>
          <w:color w:val="000000" w:themeColor="text1"/>
          <w:lang w:val="pt-BR"/>
        </w:rPr>
        <w:t xml:space="preserve">Nguyễn Bá Đạo</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275/2026/0146/VFI-HĐTĐ.63.A</w:t>
      </w:r>
      <w:r>
        <w:rPr>
          <w:spacing w:val="-4"/>
          <w:lang w:val="vi-VN"/>
        </w:rPr>
        <w:t xml:space="preserve"> ký ngày </w:t>
      </w:r>
      <w:r>
        <w:rPr>
          <w:color w:val="000000" w:themeColor="text1"/>
          <w:spacing w:val="-4"/>
        </w:rPr>
        <w:t xml:space="preserve">16 tháng 1 năm 2026</w:t>
      </w:r>
      <w:r>
        <w:rPr>
          <w:spacing w:val="-4"/>
          <w:lang w:val="vi-VN"/>
        </w:rPr>
        <w:t xml:space="preserve"> </w:t>
      </w:r>
      <w:r>
        <w:rPr>
          <w:spacing w:val="-4"/>
          <w:lang w:val="vi-VN"/>
        </w:rPr>
        <w:t xml:space="preserve">giữa </w:t>
      </w:r>
      <w:r>
        <w:rPr>
          <w:color w:val="000000" w:themeColor="text1"/>
          <w:spacing w:val="-4"/>
        </w:rPr>
        <w:t xml:space="preserve">Ông Nguyễn Bá Đạo</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275/2026/0146/VFI-BC.63.A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20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Nguyễn Bá Đạo</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001096037197</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1996</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Thôn An Đà, An Tiến, Mỹ Đức, Hà Nội</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bCs/>
              </w:rPr>
              <w:t xml:space="preserve">Số</w:t>
            </w:r>
            <w:r>
              <w:rPr>
                <w:bCs/>
              </w:rPr>
              <w:t xml:space="preserve"> 1294/TB-BTC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và tài sản gắn liền với đất tại thửa đất số: 163, tờ bản đồ số: 17, có địa chỉ: Xã An Tiến, huyện Mỹ Đức, thành phố Hà Nội (nay là xã Hương Sơn, thành phố Hà Nội) theo Giấy chứng</w:t>
      </w:r>
      <w:r>
        <w:rPr>
          <w:color w:val="000000" w:themeColor="text1"/>
        </w:rPr>
        <w:t xml:space="preserve"> nhận quyền sử dụng đất, quyền sở hữu nhà ở và tài sản khác gắn liền với đất  số: CX 538494, Số vào sổ cấp GCN: CS-MĐ 11360 do Sở tài nguyên và Môi trường thành phố Hà Nội cấp ngày 30/10/2020; chủ sử dụng đất là Ông Nguyễn Bá Đạo (cập nhật ngày 21/06/2021)</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Quyền sử dụng đất và tài sản gắn liền với đất tại thửa đất số: 163, tờ bản đồ số: 17, có địa chỉ: Xã An Tiến, huyện Mỹ Đức, thành phố Hà Nội (nay là xã Hương Sơn, thành phố Hà Nội) theo Giấy chứng</w:t>
            </w:r>
            <w:r>
              <w:rPr>
                <w:color w:val="000000"/>
              </w:rPr>
              <w:t xml:space="preserve"> nhận quyền sử dụng đất, quyền sở hữu nhà ở và tài sản khác gắn liền với đất  số: CX 538494, Số vào sổ cấp GCN: CS-MĐ 11360 do Sở tài nguyên và Môi trường thành phố Hà Nội cấp ngày 30/10/2020; chủ sử dụng đất là Ông Nguyễn Bá Đạo (cập nhật ngày 21/06/2021)</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nông thôn</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144.9</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15.300.000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2.216.970.000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2.216.970.000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Hai tỷ hai trăm mười bảy triệu</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VIII13.721</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665181" name="Picture 3" descr="Logo, company name&#10;&#10;Description automatically generated"/>
                              <pic:cNvPicPr>
                                <a:picLocks noChangeAspect="1"/>
                              </pic:cNvPicPr>
                              <pic:nvPr/>
                            </pic:nvPicPr>
                            <pic:blipFill rotWithShape="1">
                              <a:blip r:embed="rId14"/>
                              <a:stretch/>
                            </pic:blipFill>
                            <pic:spPr bwMode="auto">
                              <a:xfrm>
                                <a:off x="0" y="0"/>
                                <a:ext cx="1017904" cy="922019"/>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8"/>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ffffff" w:fill="ffffff"/>
            <w:tcBorders/>
            <w:tcMar>
              <w:left w:w="108" w:type="dxa"/>
              <w:top w:w="0" w:type="dxa"/>
              <w:right w:w="108" w:type="dxa"/>
              <w:bottom w:w="0" w:type="dxa"/>
            </w:tcMar>
            <w:tcW w:w="3996" w:type="dxa"/>
            <w:textDirection w:val="lrTb"/>
            <w:noWrap w:val="false"/>
          </w:tcPr>
          <w:p>
            <w:pPr>
              <w:pStyle w:val="1027"/>
              <w:pBdr/>
              <w:spacing w:after="60"/>
              <w:ind/>
              <w:rPr>
                <w:color w:val="000000" w:themeColor="text1"/>
                <w:sz w:val="24"/>
                <w:szCs w:val="24"/>
              </w:rPr>
            </w:pPr>
            <w:r>
              <w:rPr>
                <w:rStyle w:val="1026"/>
                <w:rFonts w:ascii="Times New Roman" w:hAnsi="Times New Roman"/>
                <w:color w:val="000000" w:themeColor="text1"/>
                <w:lang w:val="pt-BR"/>
              </w:rPr>
              <w:t xml:space="preserve">Số</w:t>
            </w:r>
            <w:r>
              <w:rPr>
                <w:rStyle w:val="1026"/>
                <w:rFonts w:ascii="Times New Roman" w:hAnsi="Times New Roman"/>
                <w:color w:val="000000" w:themeColor="text1"/>
                <w:lang w:val="pt-BR"/>
              </w:rPr>
              <w:t xml:space="preserve">: </w:t>
            </w:r>
            <w:r>
              <w:rPr>
                <w:rStyle w:val="1026"/>
                <w:rFonts w:ascii="Times New Roman" w:hAnsi="Times New Roman"/>
                <w:color w:val="000000" w:themeColor="text1"/>
                <w:lang w:val="pt-BR"/>
              </w:rPr>
              <w:t xml:space="preserve">275/2026/0146/VFI-CT.63.A</w:t>
            </w:r>
            <w:r>
              <w:rPr>
                <w:color w:val="000000" w:themeColor="text1"/>
                <w:sz w:val="24"/>
                <w:szCs w:val="24"/>
              </w:rPr>
            </w:r>
            <w:r>
              <w:rPr>
                <w:color w:val="000000" w:themeColor="text1"/>
                <w:sz w:val="24"/>
                <w:szCs w:val="24"/>
              </w:rPr>
            </w:r>
          </w:p>
        </w:tc>
        <w:tc>
          <w:tcPr>
            <w:shd w:val="clear" w:color="ffffff" w:fill="ffffff"/>
            <w:tcBorders/>
            <w:tcMar>
              <w:left w:w="108" w:type="dxa"/>
              <w:top w:w="0" w:type="dxa"/>
              <w:right w:w="108" w:type="dxa"/>
              <w:bottom w:w="0" w:type="dxa"/>
            </w:tcMar>
            <w:tcW w:w="5536" w:type="dxa"/>
            <w:textDirection w:val="lrTb"/>
            <w:noWrap w:val="false"/>
          </w:tcPr>
          <w:p>
            <w:pPr>
              <w:pStyle w:val="1027"/>
              <w:pBdr/>
              <w:spacing w:after="60"/>
              <w:ind w:right="-56"/>
              <w:jc w:val="right"/>
              <w:rPr>
                <w:color w:val="000000" w:themeColor="text1"/>
                <w:sz w:val="24"/>
                <w:szCs w:val="24"/>
                <w:lang w:val="vi-VN"/>
              </w:rPr>
            </w:pPr>
            <w:r>
              <w:rPr>
                <w:rStyle w:val="1026"/>
                <w:rFonts w:ascii="Times New Roman" w:hAnsi="Times New Roman"/>
                <w:i/>
                <w:color w:val="auto"/>
              </w:rPr>
              <w:t xml:space="preserve">TP. </w:t>
            </w:r>
            <w:r>
              <w:rPr>
                <w:rStyle w:val="1026"/>
                <w:rFonts w:ascii="Times New Roman" w:hAnsi="Times New Roman"/>
                <w:i/>
                <w:color w:val="auto"/>
              </w:rPr>
              <w:t xml:space="preserve">Hà</w:t>
            </w:r>
            <w:r>
              <w:rPr>
                <w:rStyle w:val="1026"/>
                <w:rFonts w:ascii="Times New Roman" w:hAnsi="Times New Roman"/>
                <w:i/>
                <w:color w:val="auto"/>
              </w:rPr>
              <w:t xml:space="preserve"> </w:t>
            </w:r>
            <w:r>
              <w:rPr>
                <w:rStyle w:val="1026"/>
                <w:rFonts w:ascii="Times New Roman" w:hAnsi="Times New Roman"/>
                <w:i/>
                <w:color w:val="auto"/>
              </w:rPr>
              <w:t xml:space="preserve">Nội</w:t>
            </w:r>
            <w:r>
              <w:rPr>
                <w:rStyle w:val="1026"/>
                <w:rFonts w:ascii="Times New Roman" w:hAnsi="Times New Roman"/>
                <w:i/>
                <w:color w:val="auto"/>
                <w:lang w:val="vi-VN"/>
              </w:rPr>
              <w:t xml:space="preserve">, </w:t>
            </w:r>
            <w:r>
              <w:rPr>
                <w:rStyle w:val="1026"/>
                <w:rFonts w:ascii="Times New Roman" w:hAnsi="Times New Roman"/>
                <w:i/>
                <w:color w:val="000000" w:themeColor="text1"/>
                <w:lang w:val="vi-VN"/>
              </w:rPr>
              <w:t xml:space="preserve">ngày 20 tháng 1 năm 2026</w:t>
            </w:r>
            <w:r>
              <w:rPr>
                <w:color w:val="000000" w:themeColor="text1"/>
                <w:sz w:val="24"/>
                <w:szCs w:val="24"/>
                <w:lang w:val="vi-VN"/>
              </w:rPr>
            </w:r>
            <w:r>
              <w:rPr>
                <w:color w:val="000000" w:themeColor="text1"/>
                <w:sz w:val="24"/>
                <w:szCs w:val="24"/>
                <w:lang w:val="vi-VN"/>
              </w:rPr>
            </w:r>
          </w:p>
        </w:tc>
      </w:tr>
    </w:tbl>
    <w:p>
      <w:pPr>
        <w:pStyle w:val="1027"/>
        <w:pBdr/>
        <w:tabs>
          <w:tab w:val="left" w:leader="none" w:pos="5103"/>
        </w:tabs>
        <w:spacing w:before="200" w:line="340" w:lineRule="atLeast"/>
        <w:ind/>
        <w:jc w:val="center"/>
        <w:rPr>
          <w:b/>
          <w:bCs/>
          <w:iCs/>
          <w:sz w:val="30"/>
          <w:szCs w:val="30"/>
          <w:highlight w:val="none"/>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7"/>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275/2026/0146/VFI-CT.63.A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20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7"/>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8"/>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Nguyễn Bá Đạo</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001096037197</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1996</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Thôn An Đà, An Tiến, Mỹ Đức, Hà Nội</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và tài sản gắn liền với đất tại thửa đất số: 163, tờ bản đồ số: 17, có địa chỉ: Xã An Tiến, huyện Mỹ Đức, thành phố Hà Nội (nay là xã Hương Sơn, thành phố Hà Nội) theo Giấy chứng</w:t>
            </w:r>
            <w:r>
              <w:rPr>
                <w:bCs/>
                <w:color w:val="000000" w:themeColor="text1"/>
                <w:lang w:val="pt-BR"/>
              </w:rPr>
              <w:t xml:space="preserve"> nhận quyền sử dụng đất, quyền sở hữu nhà ở và tài sản khác gắn liền với đất  số: CX 538494, Số vào sổ cấp GCN: CS-MĐ 11360 do Sở tài nguyên và Môi trường thành phố Hà Nội cấp ngày 30/10/2020; chủ sử dụng đất là Ông Nguyễn Bá Đạo (cập nhật ngày 21/06/2021)</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An Tiến, Huyện Mỹ Đức,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8"/>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20.661333333333, 105.72486111111</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8"/>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8"/>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8"/>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8"/>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8"/>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8"/>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8"/>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8"/>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8"/>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8"/>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8"/>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28"/>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28"/>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8"/>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8"/>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8"/>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w:t>
      </w:r>
      <w:r>
        <w:rPr>
          <w:bCs/>
          <w:color w:val="000000" w:themeColor="text1"/>
          <w:lang w:val="pt-BR"/>
        </w:rPr>
        <w:t xml:space="preserve"> nhận quyền sử dụng đất, quyền sở hữu nhà ở và tài sản khác gắn liền với đất  số: CX 538494, Số vào sổ cấp GCN: CS-MĐ 11360 do Sở tài nguyên và Môi trường thành phố Hà Nội cấp ngày 30/10/2020; chủ sử dụng đất là Ông Nguyễn Bá Đạo (cập nhật ngày 21/06/2021)</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8"/>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275/2026/0146/VFI-HĐTĐ.63.A ngày 16/01/2026 giữa Ông Nguyễn Bá Đạo với Công ty Cổ phần Thẩm định và Đầu tư Tài chính Hoa Sen.</w:t>
      </w:r>
      <w:r>
        <w:rPr>
          <w:b/>
          <w:lang w:val="pt-BR"/>
        </w:rPr>
      </w:r>
      <w:r>
        <w:rPr>
          <w:b/>
          <w:lang w:val="pt-BR"/>
        </w:rPr>
      </w:r>
    </w:p>
    <w:p>
      <w:pPr>
        <w:pStyle w:val="1028"/>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t xml:space="preserve">Huyện Mỹ Đức nằm ở phía Tây Nam Hà Nội, giữ vai trò là khu vực cửa ngõ kết nối Thủ đô với các tỉnh như Hòa Bình và Hà Nam, đồng thời giáp ranh với các huyện ngoại thành khác như Ứng Hòa và Chương Mỹ. Nhờ vị trí</w:t>
      </w:r>
      <w:r>
        <w:rPr>
          <w:shd w:val="clear" w:color="auto" w:fill="ffffff"/>
        </w:rPr>
        <w:t xml:space="preserve"> này, Mỹ Đức có lợi thế lớn trong việc giao thương, phát triển kinh tế và mở rộng không gian đô thị. Trong những năm gần đây, hạ tầng giao thông của huyện được chú trọng đầu tư với nhiều tuyến đường quan trọng như Quốc lộ 6 và các trục kết nối liên vùng, đ</w:t>
      </w:r>
      <w:r>
        <w:rPr>
          <w:shd w:val="clear" w:color="auto" w:fill="ffffff"/>
        </w:rPr>
        <w:t xml:space="preserve">ặc biệt là định hướng phát triển tuyến Vành đai 4 của Hà Nội. Việc nâng cấp và hoàn thiện hệ thống giao thông đã giúp rút ngắn thời gian di chuyển từ Mỹ Đức vào trung tâm thành phố, tạo điều kiện thuận lợi cho việc đi lại, sinh sống và làm việc. Bên cạnh đ</w:t>
      </w:r>
      <w:r>
        <w:rPr>
          <w:shd w:val="clear" w:color="auto" w:fill="ffffff"/>
        </w:rPr>
        <w:t xml:space="preserve">ó, Mỹ Đức còn sở hữu lợi thế về không gian sống với cảnh quan thiên nhiên rộng mở, môi trường trong lành, phù hợp với xu hướng dịch chuyển ra khu vực ven đô của người dân đô thị. Những yếu tố này góp phần làm gia tăng sức hút cho thị trường bất động sản đị</w:t>
      </w:r>
      <w:r>
        <w:rPr>
          <w:shd w:val="clear" w:color="auto" w:fill="ffffff"/>
        </w:rPr>
        <w:t xml:space="preserve">a phương, đặc biệt trong bối cảnh Hà Nội đang có xu hướng giãn dân và phát triển các đô thị vệ tinh nhằm giảm tải cho khu vực nội đô.</w:t>
        <w:br/>
        <w:br/>
        <w:t xml:space="preserve">Về tiềm năng bất động sản, Mỹ Đức được đánh giá là thị trường còn nhiều dư địa phát triển nhờ mặt bằng giá đất tương đối </w:t>
      </w:r>
      <w:r>
        <w:rPr>
          <w:shd w:val="clear" w:color="auto" w:fill="ffffff"/>
        </w:rPr>
        <w:t xml:space="preserve">thấp so với các quận trung tâm và nhiều huyện ngoại thành đã phát triển trước đó. Giá đất tại khu vực này dao động ở nhiều mức khác nhau tùy vị trí, từ những khu vực nông thôn đến các điểm gần trục giao thông chính hoặc khu dân cư đông đúc, tạo cơ hội cho </w:t>
      </w:r>
      <w:r>
        <w:rPr>
          <w:shd w:val="clear" w:color="auto" w:fill="ffffff"/>
        </w:rPr>
        <w:t xml:space="preserve">cả người mua để ở và nhà đầu tư. Trong đó, phân khúc đất nền là loại hình nổi bật, được quan tâm nhiều nhờ tính linh hoạt, khả năng thanh khoản và tiềm năng tăng giá trong trung – dài hạn khi hạ tầng và quy hoạch được hoàn thiện. Song song với đó, Mỹ Đức c</w:t>
      </w:r>
      <w:r>
        <w:rPr>
          <w:shd w:val="clear" w:color="auto" w:fill="ffffff"/>
        </w:rPr>
        <w:t xml:space="preserve">ũng đang từng bước hình thành các khu dân cư mới, dự án nhà ở, nhà phố và biệt thự, đáp ứng nhu cầu an cư ngày càng tăng. Các tiện ích xã hội như trường học, cơ sở y tế, chợ và dịch vụ thương mại được đầu tư nâng cấp, góp phần cải thiện chất lượng sống cho</w:t>
      </w:r>
      <w:r>
        <w:rPr>
          <w:shd w:val="clear" w:color="auto" w:fill="ffffff"/>
        </w:rPr>
        <w:t xml:space="preserve"> người dân. Tuy nhiên, thị trường vẫn tồn tại một số thách thức như vấn đề pháp lý đất đai còn phức tạp và sự cạnh tranh từ các huyện lân cận. Dù vậy, với định hướng phát triển dài hạn, hạ tầng ngày càng hoàn thiện và tiềm năng trở thành đô thị vệ tinh của</w:t>
      </w:r>
      <w:r>
        <w:rPr>
          <w:shd w:val="clear" w:color="auto" w:fill="ffffff"/>
        </w:rPr>
        <w:t xml:space="preserve"> Hà Nội, bất động sản huyện Mỹ Đức vẫn được xem là điểm đến đáng cân nhắc cho những ai tìm kiếm cơ hội đầu tư bền vững hoặc không gian sống yên bình trong tương lai.</w:t>
        <w:br/>
        <w:t xml:space="preserve">(Nguồn: https://onehousing.vn/blog/bat-dong-san-huyen-my-duc-tiem-nang-va-vi-tri-dep-n17t)</w:t>
      </w:r>
      <w:r>
        <w:rPr>
          <w:i/>
          <w:iCs/>
          <w:lang w:val="pt-BR"/>
        </w:rPr>
      </w:r>
      <w:r>
        <w:rPr>
          <w:i/>
          <w:iCs/>
          <w:lang w:val="pt-BR"/>
        </w:rPr>
      </w:r>
    </w:p>
    <w:p>
      <w:pPr>
        <w:pStyle w:val="1028"/>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và tài sản gắn liền với đất tại thửa đất số: 163, tờ bản đồ số: 17, có địa chỉ: Xã An Tiến, huyện Mỹ Đức, thành phố Hà Nội (nay là xã Hương Sơn, thành phố Hà Nội) theo Giấy chứng</w:t>
            </w:r>
            <w:r>
              <w:rPr>
                <w:b/>
                <w:bCs/>
                <w:color w:val="000000"/>
              </w:rPr>
              <w:t xml:space="preserve"> nhận quyền sử dụng đất, quyền sở hữu nhà ở và tài sản khác gắn liền với đất  số: CX 538494, Số vào sổ cấp GCN: CS-MĐ 11360 do Sở tài nguyên và Môi trường thành phố Hà Nội cấp ngày 30/10/2020; chủ sử dụng đất là Ông Nguyễn Bá Đạo (cập nhật ngày 21/06/2021)</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163</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17</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Xã An Tiến, Huyện Mỹ Đức, Thành phố Hà Nội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144.9</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144.9 m2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Nhận thừa kế đất được công nhận QSD đất như giao đất có thu tiền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Tại thời điểm khảo sát, theo thông tin chủ tài sản cung cấp, Tổ thẩm định không thu được bất kỳ thông tin quy hoạch nào liên quan đến thửa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giao thông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6</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Cách DT419 khoảng 3600m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t xml:space="preserve">Hướng Bắc tiếp giáp với đường giao thông</w:t>
              <w:br/>
              <w:t xml:space="preserve">Các hướng còn lại tiếp giáp các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20.661333333333</w:t>
            </w:r>
            <w:r>
              <w:rPr>
                <w:color w:val="000000"/>
              </w:rPr>
              <w:t xml:space="preserve">, </w:t>
            </w:r>
            <w:r>
              <w:rPr>
                <w:color w:val="000000"/>
              </w:rPr>
              <w:t xml:space="preserve">105.72486111111</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8475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984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50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144.9</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5.45</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27.44</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Tự nhiên,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khu dân cư</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Không có lợi thế kinh doanh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Ổn</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Tại thời điểm thẩm định giá, theo sự hướng dẫn của chủ tài sản, Tổ thẩm định xác định trên đất có công trình xây dựng nhà C4, diện tích xây dựng khoảng 15m2, xây dựng đã lâu. CTXD chưa được công nhận trên GCN QSDĐ</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2"/>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560" w:type="dxa"/>
            <w:vAlign w:val="center"/>
            <w:textDirection w:val="lrTb"/>
            <w:noWrap w:val="false"/>
          </w:tcPr>
          <w:p>
            <w:pPr>
              <w:pBdr/>
              <w:spacing/>
              <w:ind/>
              <w:jc w:val="center"/>
              <w:rPr>
                <w:b/>
                <w:bCs/>
              </w:rPr>
            </w:pPr>
            <w:r>
              <w:rPr>
                <w:b/>
                <w:bCs/>
              </w:rPr>
              <w:t xml:space="preserve">Thông</w:t>
            </w:r>
            <w:r>
              <w:rPr>
                <w:b/>
                <w:bCs/>
              </w:rPr>
              <w:t xml:space="preserve"> tin TSTĐ</w:t>
            </w:r>
            <w:r>
              <w:rPr>
                <w:b/>
                <w:bCs/>
              </w:rPr>
            </w:r>
            <w:r>
              <w:rPr>
                <w:b/>
                <w:bCs/>
              </w:rPr>
            </w:r>
          </w:p>
        </w:tc>
        <w:tc>
          <w:tcPr>
            <w:tcBorders/>
            <w:tcW w:w="1605"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2149"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xã An Tiền, huyện Mỹ Đức, Thành phố Hà Nội</w:t>
            </w:r>
            <w:r/>
          </w:p>
        </w:tc>
        <w:tc>
          <w:tcPr>
            <w:tcBorders/>
            <w:tcW w:w="1605" w:type="dxa"/>
            <w:vAlign w:val="center"/>
            <w:textDirection w:val="lrTb"/>
            <w:noWrap w:val="false"/>
          </w:tcPr>
          <w:p>
            <w:pPr>
              <w:pBdr/>
              <w:spacing/>
              <w:ind/>
              <w:jc w:val="center"/>
              <w:rPr/>
            </w:pPr>
            <w:r>
              <w:t xml:space="preserve">Xã An Tiến, Huyện Mỹ Đức, Thành phố Hà Nội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Xã An Tiến, Huyện Mỹ Đức, Thành phố Hà Nội</w:t>
            </w:r>
            <w:r/>
          </w:p>
        </w:tc>
        <w:tc>
          <w:tcPr>
            <w:tcBorders/>
            <w:tcW w:w="1605" w:type="dxa"/>
            <w:vAlign w:val="center"/>
            <w:textDirection w:val="lrTb"/>
            <w:noWrap w:val="false"/>
          </w:tcPr>
          <w:p>
            <w:pPr>
              <w:pBdr/>
              <w:spacing/>
              <w:ind/>
              <w:jc w:val="center"/>
              <w:rPr/>
            </w:pPr>
            <w:r>
              <w:t xml:space="preserve">Xã An Tiến, Huyện Mỹ Đức, Thành phố Hà Nội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nông thôn</w:t>
            </w:r>
            <w:r/>
          </w:p>
        </w:tc>
        <w:tc>
          <w:tcPr>
            <w:tcBorders/>
            <w:tcW w:w="1605" w:type="dxa"/>
            <w:vAlign w:val="center"/>
            <w:textDirection w:val="lrTb"/>
            <w:noWrap w:val="false"/>
          </w:tcPr>
          <w:p>
            <w:pPr>
              <w:pBdr/>
              <w:spacing/>
              <w:ind/>
              <w:jc w:val="center"/>
              <w:rPr/>
            </w:pPr>
            <w:r>
              <w:t xml:space="preserve">Đất ở nông thôn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VT3</w:t>
            </w:r>
            <w:r/>
          </w:p>
        </w:tc>
        <w:tc>
          <w:tcPr>
            <w:tcBorders/>
            <w:tcW w:w="1605" w:type="dxa"/>
            <w:vAlign w:val="center"/>
            <w:textDirection w:val="lrTb"/>
            <w:noWrap w:val="false"/>
          </w:tcPr>
          <w:p>
            <w:pPr>
              <w:pBdr/>
              <w:spacing/>
              <w:ind/>
              <w:jc w:val="center"/>
              <w:rPr/>
            </w:pPr>
            <w:r>
              <w:t xml:space="preserve">VT3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bê tông</w:t>
            </w:r>
            <w:r/>
          </w:p>
        </w:tc>
        <w:tc>
          <w:tcPr>
            <w:tcBorders/>
            <w:tcW w:w="1605" w:type="dxa"/>
            <w:vAlign w:val="center"/>
            <w:textDirection w:val="lrTb"/>
            <w:noWrap w:val="false"/>
          </w:tcPr>
          <w:p>
            <w:pPr>
              <w:pBdr/>
              <w:spacing/>
              <w:ind/>
              <w:jc w:val="center"/>
              <w:rPr/>
            </w:pPr>
            <w:r>
              <w:t xml:space="preserve">Đường nhựa không có vỉa hè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6</w:t>
            </w:r>
            <w:r/>
          </w:p>
        </w:tc>
        <w:tc>
          <w:tcPr>
            <w:tcBorders/>
            <w:tcW w:w="1605" w:type="dxa"/>
            <w:vAlign w:val="center"/>
            <w:textDirection w:val="lrTb"/>
            <w:noWrap w:val="false"/>
          </w:tcPr>
          <w:p>
            <w:pPr>
              <w:pBdr/>
              <w:spacing/>
              <w:ind/>
              <w:jc w:val="center"/>
              <w:rPr/>
            </w:pPr>
            <w:r>
              <w:t xml:space="preserve">6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t xml:space="preserve">Hạ tầng khu dân cư thông thường</w:t>
            </w:r>
            <w:r/>
          </w:p>
        </w:tc>
        <w:tc>
          <w:tcPr>
            <w:tcBorders/>
            <w:tcW w:w="1605" w:type="dxa"/>
            <w:vAlign w:val="center"/>
            <w:textDirection w:val="lrTb"/>
            <w:noWrap w:val="false"/>
          </w:tcPr>
          <w:p>
            <w:pPr>
              <w:pBdr/>
              <w:spacing/>
              <w:ind/>
              <w:jc w:val="center"/>
              <w:rPr/>
            </w:pPr>
            <w:r>
              <w:t xml:space="preserve">Hạ tầng khu dân cư thông thường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t xml:space="preserve">Khá</w:t>
            </w:r>
            <w:r/>
          </w:p>
        </w:tc>
        <w:tc>
          <w:tcPr>
            <w:tcBorders/>
            <w:tcW w:w="1605" w:type="dxa"/>
            <w:vAlign w:val="center"/>
            <w:textDirection w:val="lrTb"/>
            <w:noWrap w:val="false"/>
          </w:tcPr>
          <w:p>
            <w:pPr>
              <w:pBdr/>
              <w:spacing/>
              <w:ind/>
              <w:jc w:val="center"/>
              <w:rPr/>
            </w:pPr>
            <w:r>
              <w:t xml:space="preserve">Khá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144.9</w:t>
            </w:r>
            <w:r/>
          </w:p>
        </w:tc>
        <w:tc>
          <w:tcPr>
            <w:tcBorders/>
            <w:tcW w:w="1605" w:type="dxa"/>
            <w:vAlign w:val="center"/>
            <w:textDirection w:val="lrTb"/>
            <w:noWrap w:val="false"/>
          </w:tcPr>
          <w:p>
            <w:pPr>
              <w:pBdr/>
              <w:spacing/>
              <w:ind/>
              <w:jc w:val="center"/>
              <w:rPr/>
            </w:pPr>
            <w:r>
              <w:t xml:space="preserve">144.9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5.45</w:t>
            </w:r>
            <w:r/>
          </w:p>
        </w:tc>
        <w:tc>
          <w:tcPr>
            <w:tcBorders/>
            <w:tcW w:w="1605" w:type="dxa"/>
            <w:vAlign w:val="center"/>
            <w:textDirection w:val="lrTb"/>
            <w:noWrap w:val="false"/>
          </w:tcPr>
          <w:p>
            <w:pPr>
              <w:pBdr/>
              <w:spacing/>
              <w:ind/>
              <w:jc w:val="center"/>
              <w:rPr/>
            </w:pPr>
            <w:r>
              <w:t xml:space="preserve">5.45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26.59</w:t>
            </w:r>
            <w:r/>
          </w:p>
        </w:tc>
        <w:tc>
          <w:tcPr>
            <w:tcBorders/>
            <w:tcW w:w="1605" w:type="dxa"/>
            <w:vAlign w:val="center"/>
            <w:textDirection w:val="lrTb"/>
            <w:noWrap w:val="false"/>
          </w:tcPr>
          <w:p>
            <w:pPr>
              <w:pBdr/>
              <w:spacing/>
              <w:ind/>
              <w:jc w:val="center"/>
              <w:rPr/>
            </w:pPr>
            <w:r>
              <w:t xml:space="preserve">27.44 ✔</w:t>
            </w:r>
            <w:r/>
          </w:p>
        </w:tc>
        <w:tc>
          <w:tcPr>
            <w:tcBorders/>
            <w:tcW w:w="1371" w:type="dxa"/>
            <w:vAlign w:val="center"/>
            <w:textDirection w:val="lrTb"/>
            <w:noWrap w:val="false"/>
          </w:tcPr>
          <w:p>
            <w:pPr>
              <w:pBdr/>
              <w:spacing/>
              <w:ind/>
              <w:jc w:val="center"/>
              <w:rPr/>
            </w:pPr>
            <w:r>
              <w:t xml:space="preserve">0.6</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Hình chữ nhật</w:t>
            </w:r>
            <w:r/>
          </w:p>
        </w:tc>
        <w:tc>
          <w:tcPr>
            <w:tcBorders/>
            <w:tcW w:w="1605" w:type="dxa"/>
            <w:vAlign w:val="center"/>
            <w:textDirection w:val="lrTb"/>
            <w:noWrap w:val="false"/>
          </w:tcPr>
          <w:p>
            <w:pPr>
              <w:pBdr/>
              <w:spacing/>
              <w:ind/>
              <w:jc w:val="center"/>
              <w:rPr/>
            </w:pPr>
            <w:r>
              <w:t xml:space="preserve">Hình chữ nhật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t xml:space="preserve">Bắc</w:t>
            </w:r>
            <w:r/>
          </w:p>
        </w:tc>
        <w:tc>
          <w:tcPr>
            <w:tcBorders/>
            <w:tcW w:w="1605" w:type="dxa"/>
            <w:vAlign w:val="center"/>
            <w:textDirection w:val="lrTb"/>
            <w:noWrap w:val="false"/>
          </w:tcPr>
          <w:p>
            <w:pPr>
              <w:pBdr/>
              <w:spacing/>
              <w:ind/>
              <w:jc w:val="center"/>
              <w:rPr/>
            </w:pPr>
            <w:r>
              <w:t xml:space="preserve">Bắc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t xml:space="preserve">View khu dân cư</w:t>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t xml:space="preserve">Không có lợi thế kinh doan</w:t>
            </w:r>
            <w:r>
              <w:t xml:space="preserve">h</w:t>
            </w:r>
            <w:r/>
          </w:p>
        </w:tc>
        <w:tc>
          <w:tcPr>
            <w:tcBorders/>
            <w:tcW w:w="1605" w:type="dxa"/>
            <w:vAlign w:val="center"/>
            <w:textDirection w:val="lrTb"/>
            <w:noWrap w:val="false"/>
          </w:tcPr>
          <w:p>
            <w:pPr>
              <w:pBdr/>
              <w:spacing/>
              <w:ind/>
              <w:jc w:val="center"/>
              <w:rPr/>
            </w:pPr>
            <w:r>
              <w:t xml:space="preserve">Không có lợi thế kinh doanh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8"/>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8"/>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8"/>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8"/>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8"/>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8"/>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8"/>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8"/>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8"/>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8"/>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và</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2"/>
          <w:lang w:val="pt-BR"/>
        </w:rPr>
        <w:t xml:space="preserve">.</w:t>
      </w:r>
      <w:r>
        <w:rPr>
          <w:lang w:val="de-DE"/>
        </w:rPr>
      </w:r>
      <w:r>
        <w:rPr>
          <w:lang w:val="de-DE"/>
        </w:rPr>
      </w:r>
    </w:p>
    <w:p>
      <w:pPr>
        <w:pStyle w:val="1028"/>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8"/>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8"/>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8"/>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p>
      <w:pPr>
        <w:pBdr/>
        <w:tabs>
          <w:tab w:val="left" w:leader="none" w:pos="720"/>
        </w:tabs>
        <w:spacing w:after="120" w:before="120" w:line="276" w:lineRule="auto"/>
        <w:ind w:firstLine="0" w:left="0"/>
        <w:jc w:val="both"/>
        <w:rPr>
          <w:b/>
          <w:bCs/>
          <w:lang w:val="nl-NL"/>
        </w:rPr>
      </w:pPr>
      <w:r>
        <w:rPr>
          <w:b/>
          <w:highlight w:val="none"/>
          <w:lang w:val="nl-NL" w:bidi="nl-NL"/>
        </w:rPr>
      </w:r>
      <w:r>
        <w:rPr>
          <w:b/>
          <w:highlight w:val="none"/>
          <w:lang w:val="nl-NL"/>
        </w:rPr>
      </w:r>
      <w:r>
        <w:rPr>
          <w:b/>
          <w:bCs/>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Hương Sơn,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Hương Sơn,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Hương Sơn,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Hương Sơn, thành phố Hà Nội</w:t>
            </w:r>
            <w:r>
              <w:rPr>
                <w:sz w:val="22"/>
                <w:szCs w:val="22"/>
              </w:rPr>
            </w: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https://www.facebook.com/commerce/listing/1348912803371759/?media_id=0&amp;ref=share_attachment</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https://www.facebook.com/commerce/listing/686077477895063/?media_id=0&amp;ref=share_attachment</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0983555736</w:t>
            </w:r>
            <w:r>
              <w:rPr>
                <w:sz w:val="22"/>
                <w:szCs w:val="22"/>
              </w:rPr>
              <w:t xml:space="preserve"> </w:t>
            </w:r>
            <w:r>
              <w:rPr>
                <w:sz w:val="22"/>
                <w:szCs w:val="22"/>
              </w:rPr>
              <w:br/>
              <w:t xml:space="preserve">(</w:t>
            </w:r>
            <w:r>
              <w:rPr>
                <w:sz w:val="22"/>
                <w:szCs w:val="22"/>
              </w:rPr>
              <w:t xml:space="preserve">Tuyển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0971000589</w:t>
            </w:r>
            <w:r>
              <w:rPr>
                <w:sz w:val="22"/>
                <w:szCs w:val="22"/>
              </w:rPr>
              <w:br/>
            </w:r>
            <w:r>
              <w:rPr>
                <w:sz w:val="22"/>
                <w:szCs w:val="22"/>
              </w:rPr>
              <w:t xml:space="preserve">(</w:t>
            </w:r>
            <w:r>
              <w:rPr>
                <w:sz w:val="22"/>
                <w:szCs w:val="22"/>
              </w:rPr>
              <w:t xml:space="preserve">Hoàng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0866098701</w:t>
            </w:r>
            <w:r>
              <w:rPr>
                <w:sz w:val="22"/>
                <w:szCs w:val="22"/>
              </w:rPr>
              <w:br/>
            </w:r>
            <w:r>
              <w:rPr>
                <w:sz w:val="22"/>
                <w:szCs w:val="22"/>
              </w:rPr>
              <w:t xml:space="preserve">(</w:t>
            </w:r>
            <w:r>
              <w:rPr>
                <w:sz w:val="22"/>
                <w:szCs w:val="22"/>
              </w:rPr>
              <w:t xml:space="preserve">Phương Anh</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Hương Sơn,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Hương Sơn,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Hương Sơn,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Hương Sơn, thành phố Hà Nội</w:t>
            </w:r>
            <w:r>
              <w:rPr>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144.9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94.6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76.2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4.42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5.73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27.44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16.93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1.280.000.000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1.440.000.000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1.440.000.000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1.152.000.000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1.440.000.000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1.440.000.000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1.152.000.000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15.221.987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17.955.112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15.118.110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8"/>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1.440.000.000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1.440.000.000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1.152.000.000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15.221.987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17.955.112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15.118.110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15.221.987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17.955.112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15.118.110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15.221.987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17.955.112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15.118.110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15.221.987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17.955.112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15.118.110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Xã Hương Sơn, thành phố Hà Nội</w:t>
            </w:r>
            <w:r>
              <w:rPr>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Xã Hương Sơn, thành phố Hà Nội</w:t>
            </w:r>
            <w:r>
              <w:rPr>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Xã Hương Sơn, thành phố Hà Nội</w:t>
            </w:r>
            <w:r>
              <w:rPr>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Xã Hương Sơn, thành phố Hà Nội</w:t>
            </w:r>
            <w:r>
              <w:rPr>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15.221.987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17.955.112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15.118.110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761.099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897.756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755.906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15.983.086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18.852.868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15.874.016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761.099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16.744.185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18.852.868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15.874.016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144.9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94.6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80.2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76.2</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-1.217.759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-1.795.511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-1.511.811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15.526.426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17.057.357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14.362.205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4.42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5.73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761.099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755.906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16.287.525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17.057.357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15.118.111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27.44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21.4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16.93</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-761.099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-897.756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-755.906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15.526.426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16.159.601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14.362.205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15.526.426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16.159.601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13.303.937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15.526.426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16.159.601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14.362.205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15.526.426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16.159.601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rPr>
            </w:pPr>
            <w:r>
              <w:rPr>
                <w:b/>
                <w:bCs/>
                <w:color w:val="000000" w:themeColor="text1"/>
                <w:sz w:val="22"/>
                <w:szCs w:val="22"/>
              </w:rPr>
              <w:t xml:space="preserve">14.362.205</w:t>
            </w:r>
            <w:r>
              <w:rPr>
                <w:b/>
                <w:bCs/>
                <w:color w:val="000000" w:themeColor="text1"/>
                <w:sz w:val="22"/>
                <w:szCs w:val="22"/>
              </w:rPr>
            </w:r>
            <w:r>
              <w:rPr>
                <w:b/>
                <w:bCs/>
                <w:color w:val="000000" w:themeColor="text1"/>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15.349.411</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5,28%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-6,43%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4.262.155</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3.591.023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3.779.529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 - 8%%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 - 10%%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304.439</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1.795.511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755.905</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-6,43</w:t>
      </w:r>
      <w:r>
        <w:t xml:space="preserve">% </w:t>
      </w:r>
      <w:r>
        <w:t xml:space="preserve">đến</w:t>
      </w:r>
      <w:r>
        <w:t xml:space="preserve"> </w:t>
      </w:r>
      <w:r>
        <w:t xml:space="preserve">5,28%,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15.526.426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5.176.510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16.159.601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5.385.995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sz w:val="22"/>
                <w:szCs w:val="22"/>
              </w:rPr>
            </w:pPr>
            <w:r>
              <w:rPr>
                <w:color w:val="000000" w:themeColor="text1"/>
                <w:sz w:val="22"/>
                <w:szCs w:val="22"/>
              </w:rPr>
              <w:t xml:space="preserve">14.362.205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4.786.923</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sz w:val="22"/>
                <w:szCs w:val="22"/>
              </w:rPr>
            </w:pPr>
            <w:r>
              <w:rPr>
                <w:b/>
                <w:bCs/>
                <w:color w:val="000000" w:themeColor="text1"/>
                <w:sz w:val="22"/>
                <w:szCs w:val="22"/>
              </w:rPr>
              <w:t xml:space="preserve">15.349.411</w:t>
            </w:r>
            <w:r>
              <w:rPr>
                <w:b/>
                <w:bCs/>
                <w:color w:val="000000"/>
                <w:sz w:val="22"/>
                <w:szCs w:val="22"/>
              </w:rPr>
            </w:r>
            <w:r>
              <w:rPr>
                <w:b/>
                <w:bCs/>
                <w:color w:val="000000"/>
                <w:sz w:val="22"/>
                <w:szCs w:val="22"/>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15.300.000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15.300.000</w:t>
      </w:r>
      <w:r>
        <w:rPr>
          <w:b/>
          <w:bCs/>
          <w:color w:val="000000" w:themeColor="text1"/>
        </w:rPr>
        <w:t xml:space="preserve"> </w:t>
      </w:r>
      <w:r>
        <w:rPr>
          <w:b/>
          <w:bCs/>
        </w:rPr>
        <w:t xml:space="preserve">đồng</w:t>
      </w:r>
      <w:r>
        <w:rPr>
          <w:b/>
          <w:bCs/>
        </w:rPr>
        <w:t xml:space="preserve">/m².</w:t>
      </w:r>
      <w:r>
        <w:rPr>
          <w:b/>
          <w:bCs/>
        </w:rPr>
      </w:r>
      <w:r>
        <w:rPr>
          <w:b/>
          <w:bCs/>
        </w:rPr>
      </w:r>
    </w:p>
    <w:p>
      <w:pPr>
        <w:pStyle w:val="1028"/>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8"/>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Quyền sử dụng đất và tài sản gắn liền với đất tại thửa đất số: 163, tờ bản đồ số: 17, có địa chỉ: Xã An Tiến, huyện Mỹ Đức, thành phố Hà Nội (nay là xã Hương Sơn, thành phố Hà Nội) theo Giấy chứng</w:t>
            </w:r>
            <w:r>
              <w:rPr>
                <w:color w:val="000000"/>
              </w:rPr>
              <w:t xml:space="preserve"> nhận quyền sử dụng đất, quyền sở hữu nhà ở và tài sản khác gắn liền với đất  số: CX 538494, Số vào sổ cấp GCN: CS-MĐ 11360 do Sở tài nguyên và Môi trường thành phố Hà Nội cấp ngày 30/10/2020; chủ sử dụng đất là Ông Nguyễn Bá Đạo (cập nhật ngày 21/06/2021)</w:t>
            </w:r>
            <w:r>
              <w:rPr>
                <w:b/>
                <w:b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ở nông thôn</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144.9</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15.300.000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2.216.970.000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2.216.970.000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Hai tỷ hai trăm mười bảy triệu</w:t>
            </w:r>
            <w:r>
              <w:rPr>
                <w:b/>
                <w:bCs/>
                <w:i/>
                <w:iCs/>
                <w:color w:val="000000"/>
              </w:rPr>
              <w:t xml:space="preserve">./.)</w:t>
            </w:r>
            <w:r>
              <w:rPr>
                <w:b/>
                <w:bCs/>
                <w:i/>
                <w:iCs/>
                <w:color w:val="000000"/>
              </w:rPr>
            </w:r>
            <w:r>
              <w:rPr>
                <w:b/>
                <w:bCs/>
                <w:i/>
                <w:iCs/>
                <w:color w:val="000000"/>
              </w:rPr>
            </w:r>
          </w:p>
        </w:tc>
      </w:tr>
    </w:tbl>
    <w:p>
      <w:pPr>
        <w:pStyle w:val="1028"/>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8"/>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8"/>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8"/>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8"/>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8"/>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8"/>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8"/>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8"/>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8"/>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8"/>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8"/>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8"/>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8"/>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8"/>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8"/>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8"/>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8"/>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8"/>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8"/>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8"/>
        <w:numPr>
          <w:ilvl w:val="0"/>
          <w:numId w:val="5"/>
        </w:numPr>
        <w:pBdr/>
        <w:spacing w:after="120" w:before="120" w:line="288" w:lineRule="auto"/>
        <w:ind/>
        <w:jc w:val="both"/>
        <w:rPr>
          <w:lang w:val="vi-VN"/>
        </w:rPr>
      </w:pPr>
      <w:r>
        <w:rPr>
          <w:highlight w:val="none"/>
          <w:lang w:val="vi-VN" w:bidi="vi-VN"/>
        </w:rPr>
        <w:t xml:space="preserve">Tại thời điểm thẩm định giá, dưới sự hướng dẫn của chủ chủ tài sản, Tổ thẩm định xác định trên đất có CTXD nhà C4, diện tích xây dựng khoảng 15m2, xây dựng đã lâu. Theo thông tin chủ tài sản cung cấp, CTXD chưa được công nhận trên GCN QSDĐ. </w:t>
      </w:r>
      <w:r>
        <w:rPr>
          <w:highlight w:val="none"/>
          <w:lang w:val="vi-VN" w:bidi="vi-VN"/>
        </w:rPr>
        <w:t xml:space="preserve">Tổ thẩm định không nhận được các hồ sơ pháp lý khác liên quan đến CTXD. Do vậy, theo yêu cầu của Ngân hàng/Khách hàng, Tổ thẩm định không xác định giá trị của công trình vào tổng giá trị của tài sản nhưng vẫn coi đó là phần không thể tách rời khỏi tài sản.</w:t>
      </w:r>
      <w:r>
        <w:rPr>
          <w:highlight w:val="none"/>
          <w:lang w:val="vi-VN"/>
        </w:rPr>
      </w:r>
      <w:r>
        <w:rPr>
          <w:lang w:val="vi-VN"/>
        </w:rPr>
      </w:r>
    </w:p>
    <w:p>
      <w:pPr>
        <w:pStyle w:val="1028"/>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lang w:val="pt-BR"/>
        </w:rPr>
      </w:r>
      <w:r>
        <w:rPr>
          <w:bCs/>
          <w:spacing w:val="-2"/>
          <w:lang w:val="pt-BR"/>
        </w:rPr>
      </w:r>
    </w:p>
    <w:p>
      <w:pPr>
        <w:pStyle w:val="1028"/>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8"/>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8"/>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8"/>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8"/>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8"/>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275/2026/0146/VFI-CT.63.A</w:t>
      </w:r>
      <w:r>
        <w:rPr>
          <w:color w:val="ff0000"/>
          <w:lang w:val="vi-VN"/>
        </w:rPr>
        <w:t xml:space="preserve"> </w:t>
      </w:r>
      <w:r>
        <w:rPr>
          <w:color w:val="000000" w:themeColor="text1"/>
        </w:rPr>
        <w:t xml:space="preserve">ngày 20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VIII13.721</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Chu Thế Hiển</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275/2026/0146/VFI-BC.63.A</w:t>
      </w:r>
      <w:r>
        <w:rPr>
          <w:i/>
          <w:lang w:val="pt-BR"/>
        </w:rPr>
        <w:t xml:space="preserve"> </w:t>
      </w:r>
      <w:r>
        <w:rPr>
          <w:i/>
          <w:lang w:val="pt-BR"/>
        </w:rPr>
        <w:t xml:space="preserve">20 tháng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2"/>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93942" cy="283402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19323" name=""/>
                              <pic:cNvPicPr>
                                <a:picLocks noChangeAspect="1"/>
                              </pic:cNvPicPr>
                              <pic:nvPr/>
                            </pic:nvPicPr>
                            <pic:blipFill rotWithShape="1">
                              <a:blip r:embed="rId18"/>
                              <a:stretch/>
                            </pic:blipFill>
                            <pic:spPr bwMode="auto">
                              <a:xfrm flipH="0" flipV="0">
                                <a:off x="0" y="0"/>
                                <a:ext cx="2293941" cy="283402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80.63pt;height:223.15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367029" cy="3156039"/>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10607" name=""/>
                              <pic:cNvPicPr>
                                <a:picLocks noChangeAspect="1"/>
                              </pic:cNvPicPr>
                              <pic:nvPr/>
                            </pic:nvPicPr>
                            <pic:blipFill rotWithShape="1">
                              <a:blip r:embed="rId19"/>
                              <a:stretch/>
                            </pic:blipFill>
                            <pic:spPr bwMode="auto">
                              <a:xfrm flipH="1" flipV="0">
                                <a:off x="0" y="0"/>
                                <a:ext cx="2367028" cy="315603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86.38pt;height:248.51pt;mso-wrap-distance-left:0.00pt;mso-wrap-distance-top:0.00pt;mso-wrap-distance-right:0.00pt;mso-wrap-distance-bottom:0.00pt;flip:x;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03745" cy="2027809"/>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557179" name=""/>
                              <pic:cNvPicPr>
                                <a:picLocks noChangeAspect="1"/>
                              </pic:cNvPicPr>
                              <pic:nvPr/>
                            </pic:nvPicPr>
                            <pic:blipFill rotWithShape="1">
                              <a:blip r:embed="rId20"/>
                              <a:stretch/>
                            </pic:blipFill>
                            <pic:spPr bwMode="auto">
                              <a:xfrm flipH="0" flipV="0">
                                <a:off x="0" y="0"/>
                                <a:ext cx="2703744" cy="202780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2.89pt;height:159.67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28170" cy="2046127"/>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026772" name=""/>
                              <pic:cNvPicPr>
                                <a:picLocks noChangeAspect="1"/>
                              </pic:cNvPicPr>
                              <pic:nvPr/>
                            </pic:nvPicPr>
                            <pic:blipFill rotWithShape="1">
                              <a:blip r:embed="rId21"/>
                              <a:stretch/>
                            </pic:blipFill>
                            <pic:spPr bwMode="auto">
                              <a:xfrm flipH="0" flipV="0">
                                <a:off x="0" y="0"/>
                                <a:ext cx="2728170" cy="20461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4.82pt;height:161.11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01847" cy="217638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264984" name=""/>
                              <pic:cNvPicPr>
                                <a:picLocks noChangeAspect="1"/>
                              </pic:cNvPicPr>
                              <pic:nvPr/>
                            </pic:nvPicPr>
                            <pic:blipFill rotWithShape="1">
                              <a:blip r:embed="rId22"/>
                              <a:stretch/>
                            </pic:blipFill>
                            <pic:spPr bwMode="auto">
                              <a:xfrm flipH="0" flipV="0">
                                <a:off x="0" y="0"/>
                                <a:ext cx="2901847" cy="21763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8.49pt;height:171.37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024187" cy="226814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190460" name=""/>
                              <pic:cNvPicPr>
                                <a:picLocks noChangeAspect="1"/>
                              </pic:cNvPicPr>
                              <pic:nvPr/>
                            </pic:nvPicPr>
                            <pic:blipFill rotWithShape="1">
                              <a:blip r:embed="rId23"/>
                              <a:stretch/>
                            </pic:blipFill>
                            <pic:spPr bwMode="auto">
                              <a:xfrm flipH="0" flipV="0">
                                <a:off x="0" y="0"/>
                                <a:ext cx="3024187" cy="22681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8.12pt;height:178.59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275/2026/0146/VFI-BC.63.A</w:t>
      </w:r>
      <w:r>
        <w:rPr>
          <w:i/>
          <w:lang w:val="pt-BR"/>
        </w:rPr>
        <w:t xml:space="preserve"> </w:t>
      </w:r>
      <w:r>
        <w:rPr>
          <w:i/>
          <w:lang w:val="pt-BR"/>
        </w:rPr>
        <w:t xml:space="preserve">20 tháng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https://www.facebook.com/commerce/listing/1348912803371759/?media_id=0&amp;ref=share_attachment</w:t>
            </w:r>
            <w:r>
              <w:rPr>
                <w:color w:val="000000" w:themeColor="text1"/>
                <w:sz w:val="22"/>
                <w:szCs w:val="22"/>
              </w:rPr>
              <w:br/>
              <w:t xml:space="preserve">0983555736</w:t>
            </w:r>
            <w:r>
              <w:rPr>
                <w:sz w:val="22"/>
                <w:szCs w:val="22"/>
              </w:rPr>
              <w:t xml:space="preserve"> </w:t>
            </w:r>
            <w:r>
              <w:rPr>
                <w:sz w:val="22"/>
                <w:szCs w:val="22"/>
              </w:rPr>
              <w:br/>
              <w:t xml:space="preserve">(Tuyển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(94.6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Xã Hương Sơn,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94.6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4.42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014457"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601445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3.58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863554"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386355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04.22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31230"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143122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12.70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3333"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33.33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33.33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Chu Thế Hiển</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https://www.facebook.com/commerce/listing/686077477895063/?media_id=0&amp;ref=share_attachment</w:t>
            </w:r>
            <w:r>
              <w:rPr>
                <w:color w:val="000000" w:themeColor="text1"/>
                <w:sz w:val="22"/>
                <w:szCs w:val="22"/>
              </w:rPr>
              <w:br/>
              <w:t xml:space="preserve">0971000589</w:t>
            </w:r>
            <w:r>
              <w:rPr>
                <w:sz w:val="22"/>
                <w:szCs w:val="22"/>
              </w:rPr>
              <w:t xml:space="preserve"> </w:t>
            </w:r>
            <w:r>
              <w:rPr>
                <w:sz w:val="22"/>
                <w:szCs w:val="22"/>
              </w:rPr>
              <w:br/>
              <w:t xml:space="preserve">(Hoàng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(80.2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Xã Hương Sơn,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80.2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5.73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000025"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600002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72.44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3941"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238394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7.71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ab/>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28555"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422855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32.96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28555"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422855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32.96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Chu Thế Hiển</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0866098701</w:t>
            </w:r>
            <w:r>
              <w:rPr>
                <w:sz w:val="22"/>
                <w:szCs w:val="22"/>
              </w:rPr>
              <w:t xml:space="preserve"> </w:t>
            </w:r>
            <w:r>
              <w:rPr>
                <w:sz w:val="22"/>
                <w:szCs w:val="22"/>
              </w:rPr>
              <w:br/>
              <w:t xml:space="preserve">(Phương Anh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1.152.000.000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(76.2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Xã Hương Sơn,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76.2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819416"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381941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300.74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871743"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687174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541.08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219648"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321964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53.52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Chu Thế Hiển</w:t>
            </w:r>
            <w:r>
              <w:rPr>
                <w:highlight w:val="none"/>
              </w:rP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jc w:val="center"/>
        <w:rPr>
          <w:b/>
          <w:bCs/>
          <w:iCs/>
          <w:highlight w:val="none"/>
          <w:lang w:val="pt-BR"/>
        </w:rPr>
      </w:pPr>
      <w:r>
        <w:rPr>
          <w:b/>
          <w:bCs/>
          <w:iCs/>
          <w:lang w:val="pt-BR"/>
        </w:rPr>
        <w:t xml:space="preserve">PHIẾU KHẢO SÁT</w:t>
      </w:r>
      <w:r>
        <w:rPr>
          <w:b/>
          <w:bCs/>
          <w:iCs/>
        </w:rPr>
      </w:r>
      <w:r>
        <w:rPr>
          <w:b/>
          <w:bCs/>
          <w:iCs/>
          <w:highlight w:val="none"/>
          <w:lang w:val="pt-BR"/>
        </w:rPr>
      </w:r>
    </w:p>
    <w:p>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5891873" cy="8071978"/>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570743" name=""/>
                        <pic:cNvPicPr>
                          <a:picLocks noChangeAspect="1"/>
                        </pic:cNvPicPr>
                        <pic:nvPr/>
                      </pic:nvPicPr>
                      <pic:blipFill rotWithShape="1">
                        <a:blip r:embed="rId36"/>
                        <a:stretch/>
                      </pic:blipFill>
                      <pic:spPr bwMode="auto">
                        <a:xfrm flipH="0" flipV="0">
                          <a:off x="0" y="0"/>
                          <a:ext cx="5891873" cy="80719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63.93pt;height:635.59pt;mso-wrap-distance-left:0.00pt;mso-wrap-distance-top:0.00pt;mso-wrap-distance-right:0.00pt;mso-wrap-distance-bottom:0.00pt;z-index:1;" stroked="false">
                <v:imagedata r:id="rId36" o:title=""/>
                <o:lock v:ext="edit" rotation="t"/>
              </v:shape>
            </w:pict>
          </mc:Fallback>
        </mc:AlternateContent>
      </w:r>
      <w:r>
        <w:rPr>
          <w:b/>
          <w:bCs/>
          <w:iCs/>
          <w:highlight w:val="none"/>
          <w:lang w:val="pt-BR"/>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4"/>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4"/>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4"/>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4"/>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2"/>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38">
    <w:nsid w:val="490E5D27"/>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0">
    <w:name w:val="Table Grid Light"/>
    <w:basedOn w:val="1012"/>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1"/>
    <w:basedOn w:val="1012"/>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2"/>
    <w:basedOn w:val="1012"/>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3"/>
    <w:basedOn w:val="101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4"/>
    <w:basedOn w:val="101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5"/>
    <w:basedOn w:val="101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w:basedOn w:val="1012"/>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1"/>
    <w:basedOn w:val="101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2"/>
    <w:basedOn w:val="101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3"/>
    <w:basedOn w:val="101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4"/>
    <w:basedOn w:val="101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5"/>
    <w:basedOn w:val="101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6"/>
    <w:basedOn w:val="101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w:basedOn w:val="101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1"/>
    <w:basedOn w:val="101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2"/>
    <w:basedOn w:val="101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3"/>
    <w:basedOn w:val="101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4"/>
    <w:basedOn w:val="101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5"/>
    <w:basedOn w:val="101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6"/>
    <w:basedOn w:val="101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w:basedOn w:val="101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1"/>
    <w:basedOn w:val="101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2"/>
    <w:basedOn w:val="101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3"/>
    <w:basedOn w:val="101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4"/>
    <w:basedOn w:val="101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5"/>
    <w:basedOn w:val="101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6"/>
    <w:basedOn w:val="101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w:basedOn w:val="1012"/>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1"/>
    <w:basedOn w:val="1012"/>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2"/>
    <w:basedOn w:val="1012"/>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3"/>
    <w:basedOn w:val="1012"/>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4"/>
    <w:basedOn w:val="1012"/>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5"/>
    <w:basedOn w:val="1012"/>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6"/>
    <w:basedOn w:val="1012"/>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1"/>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2"/>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3"/>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4"/>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5"/>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6"/>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6 Colorful"/>
    <w:basedOn w:val="1012"/>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2">
    <w:name w:val="Grid Table 6 Colorful - Accent 1"/>
    <w:basedOn w:val="1012"/>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3">
    <w:name w:val="Grid Table 6 Colorful - Accent 2"/>
    <w:basedOn w:val="101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4">
    <w:name w:val="Grid Table 6 Colorful - Accent 3"/>
    <w:basedOn w:val="1012"/>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5">
    <w:name w:val="Grid Table 6 Colorful - Accent 4"/>
    <w:basedOn w:val="101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6">
    <w:name w:val="Grid Table 6 Colorful - Accent 5"/>
    <w:basedOn w:val="1012"/>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6 Colorful - Accent 6"/>
    <w:basedOn w:val="1012"/>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7 Colorful"/>
    <w:basedOn w:val="1012"/>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1"/>
    <w:basedOn w:val="1012"/>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2"/>
    <w:basedOn w:val="1012"/>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3"/>
    <w:basedOn w:val="1012"/>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4"/>
    <w:basedOn w:val="1012"/>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5"/>
    <w:basedOn w:val="1012"/>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6"/>
    <w:basedOn w:val="1012"/>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1"/>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2"/>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3"/>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4"/>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5"/>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6"/>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w:basedOn w:val="1012"/>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1"/>
    <w:basedOn w:val="1012"/>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2"/>
    <w:basedOn w:val="1012"/>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3"/>
    <w:basedOn w:val="1012"/>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4"/>
    <w:basedOn w:val="1012"/>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5"/>
    <w:basedOn w:val="1012"/>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6"/>
    <w:basedOn w:val="1012"/>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w:basedOn w:val="101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1"/>
    <w:basedOn w:val="1012"/>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2"/>
    <w:basedOn w:val="101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3"/>
    <w:basedOn w:val="1012"/>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4"/>
    <w:basedOn w:val="101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5"/>
    <w:basedOn w:val="1012"/>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6"/>
    <w:basedOn w:val="1012"/>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w:basedOn w:val="101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1"/>
    <w:basedOn w:val="1012"/>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2"/>
    <w:basedOn w:val="1012"/>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3"/>
    <w:basedOn w:val="1012"/>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4"/>
    <w:basedOn w:val="1012"/>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5"/>
    <w:basedOn w:val="1012"/>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6"/>
    <w:basedOn w:val="1012"/>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5 Dark"/>
    <w:basedOn w:val="1012"/>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1"/>
    <w:basedOn w:val="1012"/>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2"/>
    <w:basedOn w:val="1012"/>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3"/>
    <w:basedOn w:val="1012"/>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4"/>
    <w:basedOn w:val="1012"/>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5"/>
    <w:basedOn w:val="1012"/>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6"/>
    <w:basedOn w:val="1012"/>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6 Colorful"/>
    <w:basedOn w:val="1012"/>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1"/>
    <w:basedOn w:val="1012"/>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2"/>
    <w:basedOn w:val="1012"/>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3"/>
    <w:basedOn w:val="1012"/>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4"/>
    <w:basedOn w:val="1012"/>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5"/>
    <w:basedOn w:val="1012"/>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6"/>
    <w:basedOn w:val="1012"/>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7 Colorful"/>
    <w:basedOn w:val="1012"/>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8">
    <w:name w:val="List Table 7 Colorful - Accent 1"/>
    <w:basedOn w:val="1012"/>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9">
    <w:name w:val="List Table 7 Colorful - Accent 2"/>
    <w:basedOn w:val="1012"/>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0">
    <w:name w:val="List Table 7 Colorful - Accent 3"/>
    <w:basedOn w:val="1012"/>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1">
    <w:name w:val="List Table 7 Colorful - Accent 4"/>
    <w:basedOn w:val="1012"/>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2">
    <w:name w:val="List Table 7 Colorful - Accent 5"/>
    <w:basedOn w:val="1012"/>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3">
    <w:name w:val="List Table 7 Colorful - Accent 6"/>
    <w:basedOn w:val="1012"/>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4">
    <w:name w:val="Lined - Accent"/>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1"/>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2"/>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3"/>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4"/>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5"/>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6"/>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w:basedOn w:val="1012"/>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1"/>
    <w:basedOn w:val="1012"/>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2"/>
    <w:basedOn w:val="1012"/>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3"/>
    <w:basedOn w:val="1012"/>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4"/>
    <w:basedOn w:val="1012"/>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5"/>
    <w:basedOn w:val="1012"/>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6"/>
    <w:basedOn w:val="1012"/>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w:basedOn w:val="1012"/>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1"/>
    <w:basedOn w:val="101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2"/>
    <w:basedOn w:val="101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3"/>
    <w:basedOn w:val="101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4"/>
    <w:basedOn w:val="101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5"/>
    <w:basedOn w:val="101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6"/>
    <w:basedOn w:val="101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5">
    <w:name w:val="Heading 5"/>
    <w:basedOn w:val="1006"/>
    <w:next w:val="1006"/>
    <w:link w:val="970"/>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6">
    <w:name w:val="Heading 6"/>
    <w:basedOn w:val="1006"/>
    <w:next w:val="1006"/>
    <w:link w:val="971"/>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7">
    <w:name w:val="Heading 7"/>
    <w:basedOn w:val="1006"/>
    <w:next w:val="1006"/>
    <w:link w:val="972"/>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8">
    <w:name w:val="Heading 8"/>
    <w:basedOn w:val="1006"/>
    <w:next w:val="1006"/>
    <w:link w:val="973"/>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9">
    <w:name w:val="Heading 9"/>
    <w:basedOn w:val="1006"/>
    <w:next w:val="1006"/>
    <w:link w:val="974"/>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0">
    <w:name w:val="Heading 5 Char"/>
    <w:basedOn w:val="1011"/>
    <w:link w:val="965"/>
    <w:uiPriority w:val="9"/>
    <w:pPr>
      <w:pBdr/>
      <w:spacing/>
      <w:ind/>
    </w:pPr>
    <w:rPr>
      <w:rFonts w:ascii="Arial" w:hAnsi="Arial" w:eastAsia="Arial" w:cs="Arial"/>
      <w:color w:val="0f4761" w:themeColor="accent1" w:themeShade="BF"/>
    </w:rPr>
  </w:style>
  <w:style w:type="character" w:styleId="971">
    <w:name w:val="Heading 6 Char"/>
    <w:basedOn w:val="1011"/>
    <w:link w:val="966"/>
    <w:uiPriority w:val="9"/>
    <w:pPr>
      <w:pBdr/>
      <w:spacing/>
      <w:ind/>
    </w:pPr>
    <w:rPr>
      <w:rFonts w:ascii="Arial" w:hAnsi="Arial" w:eastAsia="Arial" w:cs="Arial"/>
      <w:i/>
      <w:iCs/>
      <w:color w:val="595959" w:themeColor="text1" w:themeTint="A6"/>
    </w:rPr>
  </w:style>
  <w:style w:type="character" w:styleId="972">
    <w:name w:val="Heading 7 Char"/>
    <w:basedOn w:val="1011"/>
    <w:link w:val="967"/>
    <w:uiPriority w:val="9"/>
    <w:pPr>
      <w:pBdr/>
      <w:spacing/>
      <w:ind/>
    </w:pPr>
    <w:rPr>
      <w:rFonts w:ascii="Arial" w:hAnsi="Arial" w:eastAsia="Arial" w:cs="Arial"/>
      <w:color w:val="595959" w:themeColor="text1" w:themeTint="A6"/>
    </w:rPr>
  </w:style>
  <w:style w:type="character" w:styleId="973">
    <w:name w:val="Heading 8 Char"/>
    <w:basedOn w:val="1011"/>
    <w:link w:val="968"/>
    <w:uiPriority w:val="9"/>
    <w:pPr>
      <w:pBdr/>
      <w:spacing/>
      <w:ind/>
    </w:pPr>
    <w:rPr>
      <w:rFonts w:ascii="Arial" w:hAnsi="Arial" w:eastAsia="Arial" w:cs="Arial"/>
      <w:i/>
      <w:iCs/>
      <w:color w:val="272727" w:themeColor="text1" w:themeTint="D8"/>
    </w:rPr>
  </w:style>
  <w:style w:type="character" w:styleId="974">
    <w:name w:val="Heading 9 Char"/>
    <w:basedOn w:val="1011"/>
    <w:link w:val="969"/>
    <w:uiPriority w:val="9"/>
    <w:pPr>
      <w:pBdr/>
      <w:spacing/>
      <w:ind/>
    </w:pPr>
    <w:rPr>
      <w:rFonts w:ascii="Arial" w:hAnsi="Arial" w:eastAsia="Arial" w:cs="Arial"/>
      <w:i/>
      <w:iCs/>
      <w:color w:val="272727" w:themeColor="text1" w:themeTint="D8"/>
    </w:rPr>
  </w:style>
  <w:style w:type="paragraph" w:styleId="975">
    <w:name w:val="Subtitle"/>
    <w:basedOn w:val="1006"/>
    <w:next w:val="1006"/>
    <w:link w:val="976"/>
    <w:uiPriority w:val="11"/>
    <w:qFormat/>
    <w:pPr>
      <w:numPr>
        <w:ilvl w:val="1"/>
      </w:numPr>
      <w:pBdr/>
      <w:spacing/>
      <w:ind/>
    </w:pPr>
    <w:rPr>
      <w:color w:val="595959" w:themeColor="text1" w:themeTint="A6"/>
      <w:spacing w:val="15"/>
      <w:sz w:val="28"/>
      <w:szCs w:val="28"/>
    </w:rPr>
  </w:style>
  <w:style w:type="character" w:styleId="976">
    <w:name w:val="Subtitle Char"/>
    <w:basedOn w:val="1011"/>
    <w:link w:val="975"/>
    <w:uiPriority w:val="11"/>
    <w:pPr>
      <w:pBdr/>
      <w:spacing/>
      <w:ind/>
    </w:pPr>
    <w:rPr>
      <w:color w:val="595959" w:themeColor="text1" w:themeTint="A6"/>
      <w:spacing w:val="15"/>
      <w:sz w:val="28"/>
      <w:szCs w:val="28"/>
    </w:rPr>
  </w:style>
  <w:style w:type="paragraph" w:styleId="977">
    <w:name w:val="Quote"/>
    <w:basedOn w:val="1006"/>
    <w:next w:val="1006"/>
    <w:link w:val="978"/>
    <w:uiPriority w:val="29"/>
    <w:qFormat/>
    <w:pPr>
      <w:pBdr/>
      <w:spacing w:before="160"/>
      <w:ind/>
      <w:jc w:val="center"/>
    </w:pPr>
    <w:rPr>
      <w:i/>
      <w:iCs/>
      <w:color w:val="404040" w:themeColor="text1" w:themeTint="BF"/>
    </w:rPr>
  </w:style>
  <w:style w:type="character" w:styleId="978">
    <w:name w:val="Quote Char"/>
    <w:basedOn w:val="1011"/>
    <w:link w:val="977"/>
    <w:uiPriority w:val="29"/>
    <w:pPr>
      <w:pBdr/>
      <w:spacing/>
      <w:ind/>
    </w:pPr>
    <w:rPr>
      <w:i/>
      <w:iCs/>
      <w:color w:val="404040" w:themeColor="text1" w:themeTint="BF"/>
    </w:rPr>
  </w:style>
  <w:style w:type="character" w:styleId="979">
    <w:name w:val="Intense Emphasis"/>
    <w:basedOn w:val="1011"/>
    <w:uiPriority w:val="21"/>
    <w:qFormat/>
    <w:pPr>
      <w:pBdr/>
      <w:spacing/>
      <w:ind/>
    </w:pPr>
    <w:rPr>
      <w:i/>
      <w:iCs/>
      <w:color w:val="0f4761" w:themeColor="accent1" w:themeShade="BF"/>
    </w:rPr>
  </w:style>
  <w:style w:type="paragraph" w:styleId="980">
    <w:name w:val="Intense Quote"/>
    <w:basedOn w:val="1006"/>
    <w:next w:val="1006"/>
    <w:link w:val="981"/>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1">
    <w:name w:val="Intense Quote Char"/>
    <w:basedOn w:val="1011"/>
    <w:link w:val="980"/>
    <w:uiPriority w:val="30"/>
    <w:pPr>
      <w:pBdr/>
      <w:spacing/>
      <w:ind/>
    </w:pPr>
    <w:rPr>
      <w:i/>
      <w:iCs/>
      <w:color w:val="0f4761" w:themeColor="accent1" w:themeShade="BF"/>
    </w:rPr>
  </w:style>
  <w:style w:type="character" w:styleId="982">
    <w:name w:val="Intense Reference"/>
    <w:basedOn w:val="1011"/>
    <w:uiPriority w:val="32"/>
    <w:qFormat/>
    <w:pPr>
      <w:pBdr/>
      <w:spacing/>
      <w:ind/>
    </w:pPr>
    <w:rPr>
      <w:b/>
      <w:bCs/>
      <w:smallCaps/>
      <w:color w:val="0f4761" w:themeColor="accent1" w:themeShade="BF"/>
      <w:spacing w:val="5"/>
    </w:rPr>
  </w:style>
  <w:style w:type="paragraph" w:styleId="983">
    <w:name w:val="No Spacing"/>
    <w:basedOn w:val="1006"/>
    <w:uiPriority w:val="1"/>
    <w:qFormat/>
    <w:pPr>
      <w:pBdr/>
      <w:spacing w:after="0" w:line="240" w:lineRule="auto"/>
      <w:ind/>
    </w:pPr>
  </w:style>
  <w:style w:type="character" w:styleId="984">
    <w:name w:val="Subtle Emphasis"/>
    <w:basedOn w:val="1011"/>
    <w:uiPriority w:val="19"/>
    <w:qFormat/>
    <w:pPr>
      <w:pBdr/>
      <w:spacing/>
      <w:ind/>
    </w:pPr>
    <w:rPr>
      <w:i/>
      <w:iCs/>
      <w:color w:val="404040" w:themeColor="text1" w:themeTint="BF"/>
    </w:rPr>
  </w:style>
  <w:style w:type="character" w:styleId="985">
    <w:name w:val="Subtle Reference"/>
    <w:basedOn w:val="1011"/>
    <w:uiPriority w:val="31"/>
    <w:qFormat/>
    <w:pPr>
      <w:pBdr/>
      <w:spacing/>
      <w:ind/>
    </w:pPr>
    <w:rPr>
      <w:smallCaps/>
      <w:color w:val="5a5a5a" w:themeColor="text1" w:themeTint="A5"/>
    </w:rPr>
  </w:style>
  <w:style w:type="character" w:styleId="986">
    <w:name w:val="Book Title"/>
    <w:basedOn w:val="1011"/>
    <w:uiPriority w:val="33"/>
    <w:qFormat/>
    <w:pPr>
      <w:pBdr/>
      <w:spacing/>
      <w:ind/>
    </w:pPr>
    <w:rPr>
      <w:b/>
      <w:bCs/>
      <w:i/>
      <w:iCs/>
      <w:spacing w:val="5"/>
    </w:rPr>
  </w:style>
  <w:style w:type="paragraph" w:styleId="987">
    <w:name w:val="Caption"/>
    <w:basedOn w:val="1006"/>
    <w:next w:val="1006"/>
    <w:uiPriority w:val="35"/>
    <w:unhideWhenUsed/>
    <w:qFormat/>
    <w:pPr>
      <w:pBdr/>
      <w:spacing w:after="200" w:line="240" w:lineRule="auto"/>
      <w:ind/>
    </w:pPr>
    <w:rPr>
      <w:i/>
      <w:iCs/>
      <w:color w:val="0e2841" w:themeColor="text2"/>
      <w:sz w:val="18"/>
      <w:szCs w:val="18"/>
    </w:rPr>
  </w:style>
  <w:style w:type="paragraph" w:styleId="988">
    <w:name w:val="footnote text"/>
    <w:basedOn w:val="1006"/>
    <w:link w:val="989"/>
    <w:uiPriority w:val="99"/>
    <w:semiHidden/>
    <w:unhideWhenUsed/>
    <w:pPr>
      <w:pBdr/>
      <w:spacing w:after="0" w:line="240" w:lineRule="auto"/>
      <w:ind/>
    </w:pPr>
    <w:rPr>
      <w:sz w:val="20"/>
      <w:szCs w:val="20"/>
    </w:rPr>
  </w:style>
  <w:style w:type="character" w:styleId="989">
    <w:name w:val="Footnote Text Char"/>
    <w:basedOn w:val="1011"/>
    <w:link w:val="988"/>
    <w:uiPriority w:val="99"/>
    <w:semiHidden/>
    <w:pPr>
      <w:pBdr/>
      <w:spacing/>
      <w:ind/>
    </w:pPr>
    <w:rPr>
      <w:sz w:val="20"/>
      <w:szCs w:val="20"/>
    </w:rPr>
  </w:style>
  <w:style w:type="character" w:styleId="990">
    <w:name w:val="footnote reference"/>
    <w:basedOn w:val="1011"/>
    <w:uiPriority w:val="99"/>
    <w:semiHidden/>
    <w:unhideWhenUsed/>
    <w:pPr>
      <w:pBdr/>
      <w:spacing/>
      <w:ind/>
    </w:pPr>
    <w:rPr>
      <w:vertAlign w:val="superscript"/>
    </w:rPr>
  </w:style>
  <w:style w:type="paragraph" w:styleId="991">
    <w:name w:val="endnote text"/>
    <w:basedOn w:val="1006"/>
    <w:link w:val="992"/>
    <w:uiPriority w:val="99"/>
    <w:semiHidden/>
    <w:unhideWhenUsed/>
    <w:pPr>
      <w:pBdr/>
      <w:spacing w:after="0" w:line="240" w:lineRule="auto"/>
      <w:ind/>
    </w:pPr>
    <w:rPr>
      <w:sz w:val="20"/>
      <w:szCs w:val="20"/>
    </w:rPr>
  </w:style>
  <w:style w:type="character" w:styleId="992">
    <w:name w:val="Endnote Text Char"/>
    <w:basedOn w:val="1011"/>
    <w:link w:val="991"/>
    <w:uiPriority w:val="99"/>
    <w:semiHidden/>
    <w:pPr>
      <w:pBdr/>
      <w:spacing/>
      <w:ind/>
    </w:pPr>
    <w:rPr>
      <w:sz w:val="20"/>
      <w:szCs w:val="20"/>
    </w:rPr>
  </w:style>
  <w:style w:type="character" w:styleId="993">
    <w:name w:val="endnote reference"/>
    <w:basedOn w:val="1011"/>
    <w:uiPriority w:val="99"/>
    <w:semiHidden/>
    <w:unhideWhenUsed/>
    <w:pPr>
      <w:pBdr/>
      <w:spacing/>
      <w:ind/>
    </w:pPr>
    <w:rPr>
      <w:vertAlign w:val="superscript"/>
    </w:rPr>
  </w:style>
  <w:style w:type="paragraph" w:styleId="994">
    <w:name w:val="toc 1"/>
    <w:basedOn w:val="1006"/>
    <w:next w:val="1006"/>
    <w:uiPriority w:val="39"/>
    <w:unhideWhenUsed/>
    <w:pPr>
      <w:pBdr/>
      <w:spacing w:after="100"/>
      <w:ind/>
    </w:pPr>
  </w:style>
  <w:style w:type="paragraph" w:styleId="995">
    <w:name w:val="toc 2"/>
    <w:basedOn w:val="1006"/>
    <w:next w:val="1006"/>
    <w:uiPriority w:val="39"/>
    <w:unhideWhenUsed/>
    <w:pPr>
      <w:pBdr/>
      <w:spacing w:after="100"/>
      <w:ind w:left="220"/>
    </w:pPr>
  </w:style>
  <w:style w:type="paragraph" w:styleId="996">
    <w:name w:val="toc 3"/>
    <w:basedOn w:val="1006"/>
    <w:next w:val="1006"/>
    <w:uiPriority w:val="39"/>
    <w:unhideWhenUsed/>
    <w:pPr>
      <w:pBdr/>
      <w:spacing w:after="100"/>
      <w:ind w:left="440"/>
    </w:pPr>
  </w:style>
  <w:style w:type="paragraph" w:styleId="997">
    <w:name w:val="toc 4"/>
    <w:basedOn w:val="1006"/>
    <w:next w:val="1006"/>
    <w:uiPriority w:val="39"/>
    <w:unhideWhenUsed/>
    <w:pPr>
      <w:pBdr/>
      <w:spacing w:after="100"/>
      <w:ind w:left="660"/>
    </w:pPr>
  </w:style>
  <w:style w:type="paragraph" w:styleId="998">
    <w:name w:val="toc 5"/>
    <w:basedOn w:val="1006"/>
    <w:next w:val="1006"/>
    <w:uiPriority w:val="39"/>
    <w:unhideWhenUsed/>
    <w:pPr>
      <w:pBdr/>
      <w:spacing w:after="100"/>
      <w:ind w:left="880"/>
    </w:pPr>
  </w:style>
  <w:style w:type="paragraph" w:styleId="999">
    <w:name w:val="toc 6"/>
    <w:basedOn w:val="1006"/>
    <w:next w:val="1006"/>
    <w:uiPriority w:val="39"/>
    <w:unhideWhenUsed/>
    <w:pPr>
      <w:pBdr/>
      <w:spacing w:after="100"/>
      <w:ind w:left="1100"/>
    </w:pPr>
  </w:style>
  <w:style w:type="paragraph" w:styleId="1000">
    <w:name w:val="toc 7"/>
    <w:basedOn w:val="1006"/>
    <w:next w:val="1006"/>
    <w:uiPriority w:val="39"/>
    <w:unhideWhenUsed/>
    <w:pPr>
      <w:pBdr/>
      <w:spacing w:after="100"/>
      <w:ind w:left="1320"/>
    </w:pPr>
  </w:style>
  <w:style w:type="paragraph" w:styleId="1001">
    <w:name w:val="toc 8"/>
    <w:basedOn w:val="1006"/>
    <w:next w:val="1006"/>
    <w:uiPriority w:val="39"/>
    <w:unhideWhenUsed/>
    <w:pPr>
      <w:pBdr/>
      <w:spacing w:after="100"/>
      <w:ind w:left="1540"/>
    </w:pPr>
  </w:style>
  <w:style w:type="paragraph" w:styleId="1002">
    <w:name w:val="toc 9"/>
    <w:basedOn w:val="1006"/>
    <w:next w:val="1006"/>
    <w:uiPriority w:val="39"/>
    <w:unhideWhenUsed/>
    <w:pPr>
      <w:pBdr/>
      <w:spacing w:after="100"/>
      <w:ind w:left="1760"/>
    </w:pPr>
  </w:style>
  <w:style w:type="character" w:styleId="1003">
    <w:name w:val="Placeholder Text"/>
    <w:basedOn w:val="1011"/>
    <w:uiPriority w:val="99"/>
    <w:semiHidden/>
    <w:pPr>
      <w:pBdr/>
      <w:spacing/>
      <w:ind/>
    </w:pPr>
    <w:rPr>
      <w:color w:val="666666"/>
    </w:rPr>
  </w:style>
  <w:style w:type="paragraph" w:styleId="1004">
    <w:name w:val="TOC Heading"/>
    <w:uiPriority w:val="39"/>
    <w:unhideWhenUsed/>
    <w:pPr>
      <w:pBdr/>
      <w:spacing/>
      <w:ind/>
    </w:pPr>
  </w:style>
  <w:style w:type="paragraph" w:styleId="1005">
    <w:name w:val="table of figures"/>
    <w:basedOn w:val="1006"/>
    <w:next w:val="1006"/>
    <w:uiPriority w:val="99"/>
    <w:unhideWhenUsed/>
    <w:pPr>
      <w:pBdr/>
      <w:spacing w:after="0" w:afterAutospacing="0"/>
      <w:ind/>
    </w:pPr>
  </w:style>
  <w:style w:type="paragraph" w:styleId="1006" w:default="1">
    <w:name w:val="Normal"/>
    <w:qFormat/>
    <w:pPr>
      <w:pBdr/>
      <w:spacing w:after="0" w:line="240" w:lineRule="auto"/>
      <w:ind/>
    </w:pPr>
    <w:rPr>
      <w:rFonts w:ascii="Times New Roman" w:hAnsi="Times New Roman" w:eastAsia="Times New Roman" w:cs="Times New Roman"/>
      <w:sz w:val="24"/>
      <w:szCs w:val="24"/>
    </w:rPr>
  </w:style>
  <w:style w:type="paragraph" w:styleId="1007">
    <w:name w:val="Heading 1"/>
    <w:basedOn w:val="1006"/>
    <w:next w:val="1006"/>
    <w:link w:val="1014"/>
    <w:qFormat/>
    <w:pPr>
      <w:keepNext w:val="true"/>
      <w:pBdr/>
      <w:spacing w:after="120" w:before="120"/>
      <w:ind/>
      <w:jc w:val="center"/>
      <w:outlineLvl w:val="0"/>
    </w:pPr>
    <w:rPr>
      <w:b/>
      <w:bCs/>
      <w:sz w:val="27"/>
      <w:szCs w:val="27"/>
    </w:rPr>
  </w:style>
  <w:style w:type="paragraph" w:styleId="1008">
    <w:name w:val="Heading 2"/>
    <w:basedOn w:val="1006"/>
    <w:next w:val="1006"/>
    <w:link w:val="1015"/>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9">
    <w:name w:val="Heading 3"/>
    <w:basedOn w:val="1006"/>
    <w:next w:val="1006"/>
    <w:link w:val="1016"/>
    <w:qFormat/>
    <w:pPr>
      <w:keepNext w:val="true"/>
      <w:pBdr/>
      <w:spacing w:before="60"/>
      <w:ind/>
      <w:outlineLvl w:val="2"/>
    </w:pPr>
    <w:rPr>
      <w:sz w:val="28"/>
      <w:szCs w:val="28"/>
    </w:rPr>
  </w:style>
  <w:style w:type="paragraph" w:styleId="1010">
    <w:name w:val="Heading 4"/>
    <w:basedOn w:val="1006"/>
    <w:next w:val="1006"/>
    <w:link w:val="1017"/>
    <w:qFormat/>
    <w:pPr>
      <w:keepNext w:val="true"/>
      <w:pBdr/>
      <w:spacing/>
      <w:ind/>
      <w:jc w:val="center"/>
      <w:outlineLvl w:val="3"/>
    </w:pPr>
    <w:rPr>
      <w:b/>
      <w:bCs/>
    </w:rPr>
  </w:style>
  <w:style w:type="character" w:styleId="1011" w:default="1">
    <w:name w:val="Default Paragraph Font"/>
    <w:uiPriority w:val="1"/>
    <w:semiHidden/>
    <w:unhideWhenUsed/>
    <w:pPr>
      <w:pBdr/>
      <w:spacing/>
      <w:ind/>
    </w:pPr>
  </w:style>
  <w:style w:type="table" w:styleId="1012"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3" w:default="1">
    <w:name w:val="No List"/>
    <w:uiPriority w:val="99"/>
    <w:semiHidden/>
    <w:unhideWhenUsed/>
    <w:pPr>
      <w:pBdr/>
      <w:spacing/>
      <w:ind/>
    </w:pPr>
  </w:style>
  <w:style w:type="character" w:styleId="1014" w:customStyle="1">
    <w:name w:val="Heading 1 Char"/>
    <w:basedOn w:val="1011"/>
    <w:link w:val="1007"/>
    <w:pPr>
      <w:pBdr/>
      <w:spacing/>
      <w:ind/>
    </w:pPr>
    <w:rPr>
      <w:rFonts w:ascii="Times New Roman" w:hAnsi="Times New Roman" w:eastAsia="Times New Roman" w:cs="Times New Roman"/>
      <w:b/>
      <w:bCs/>
      <w:sz w:val="27"/>
      <w:szCs w:val="27"/>
    </w:rPr>
  </w:style>
  <w:style w:type="character" w:styleId="1015" w:customStyle="1">
    <w:name w:val="Heading 2 Char"/>
    <w:basedOn w:val="1011"/>
    <w:link w:val="1008"/>
    <w:uiPriority w:val="9"/>
    <w:pPr>
      <w:pBdr/>
      <w:spacing/>
      <w:ind/>
    </w:pPr>
    <w:rPr>
      <w:rFonts w:asciiTheme="majorHAnsi" w:hAnsiTheme="majorHAnsi" w:eastAsiaTheme="majorEastAsia" w:cstheme="majorBidi"/>
      <w:color w:val="365f91" w:themeColor="accent1" w:themeShade="BF"/>
      <w:sz w:val="26"/>
      <w:szCs w:val="26"/>
    </w:rPr>
  </w:style>
  <w:style w:type="character" w:styleId="1016" w:customStyle="1">
    <w:name w:val="Heading 3 Char"/>
    <w:basedOn w:val="1011"/>
    <w:link w:val="1009"/>
    <w:pPr>
      <w:pBdr/>
      <w:spacing/>
      <w:ind/>
    </w:pPr>
    <w:rPr>
      <w:rFonts w:ascii="Times New Roman" w:hAnsi="Times New Roman" w:eastAsia="Times New Roman" w:cs="Times New Roman"/>
      <w:sz w:val="28"/>
      <w:szCs w:val="28"/>
    </w:rPr>
  </w:style>
  <w:style w:type="character" w:styleId="1017" w:customStyle="1">
    <w:name w:val="Heading 4 Char"/>
    <w:basedOn w:val="1011"/>
    <w:link w:val="1010"/>
    <w:pPr>
      <w:pBdr/>
      <w:spacing/>
      <w:ind/>
    </w:pPr>
    <w:rPr>
      <w:rFonts w:ascii="Times New Roman" w:hAnsi="Times New Roman" w:eastAsia="Times New Roman" w:cs="Times New Roman"/>
      <w:b/>
      <w:bCs/>
      <w:sz w:val="24"/>
      <w:szCs w:val="24"/>
    </w:rPr>
  </w:style>
  <w:style w:type="character" w:styleId="1018">
    <w:name w:val="Hyperlink"/>
    <w:uiPriority w:val="99"/>
    <w:pPr>
      <w:pBdr/>
      <w:spacing/>
      <w:ind/>
    </w:pPr>
    <w:rPr>
      <w:color w:val="000000"/>
      <w:u w:val="single"/>
    </w:rPr>
  </w:style>
  <w:style w:type="character" w:styleId="1019">
    <w:name w:val="Strong"/>
    <w:uiPriority w:val="22"/>
    <w:qFormat/>
    <w:pPr>
      <w:pBdr/>
      <w:spacing/>
      <w:ind/>
    </w:pPr>
    <w:rPr>
      <w:b/>
      <w:bCs/>
    </w:rPr>
  </w:style>
  <w:style w:type="paragraph" w:styleId="1020">
    <w:name w:val="Balloon Text"/>
    <w:basedOn w:val="1006"/>
    <w:link w:val="1021"/>
    <w:uiPriority w:val="99"/>
    <w:semiHidden/>
    <w:unhideWhenUsed/>
    <w:pPr>
      <w:pBdr/>
      <w:spacing/>
      <w:ind/>
    </w:pPr>
    <w:rPr>
      <w:rFonts w:ascii="Tahoma" w:hAnsi="Tahoma" w:cs="Tahoma"/>
      <w:sz w:val="16"/>
      <w:szCs w:val="16"/>
    </w:rPr>
  </w:style>
  <w:style w:type="character" w:styleId="1021" w:customStyle="1">
    <w:name w:val="Balloon Text Char"/>
    <w:basedOn w:val="1011"/>
    <w:link w:val="1020"/>
    <w:uiPriority w:val="99"/>
    <w:semiHidden/>
    <w:pPr>
      <w:pBdr/>
      <w:spacing/>
      <w:ind/>
    </w:pPr>
    <w:rPr>
      <w:rFonts w:ascii="Tahoma" w:hAnsi="Tahoma" w:eastAsia="Times New Roman" w:cs="Tahoma"/>
      <w:sz w:val="16"/>
      <w:szCs w:val="16"/>
    </w:rPr>
  </w:style>
  <w:style w:type="paragraph" w:styleId="1022">
    <w:name w:val="Header"/>
    <w:basedOn w:val="1006"/>
    <w:link w:val="1023"/>
    <w:unhideWhenUsed/>
    <w:pPr>
      <w:pBdr/>
      <w:tabs>
        <w:tab w:val="center" w:leader="none" w:pos="4680"/>
        <w:tab w:val="right" w:leader="none" w:pos="9360"/>
      </w:tabs>
      <w:spacing/>
      <w:ind/>
    </w:pPr>
  </w:style>
  <w:style w:type="character" w:styleId="1023" w:customStyle="1">
    <w:name w:val="Header Char"/>
    <w:basedOn w:val="1011"/>
    <w:link w:val="1022"/>
    <w:pPr>
      <w:pBdr/>
      <w:spacing/>
      <w:ind/>
    </w:pPr>
    <w:rPr>
      <w:rFonts w:ascii="Times New Roman" w:hAnsi="Times New Roman" w:eastAsia="Times New Roman" w:cs="Times New Roman"/>
      <w:sz w:val="24"/>
      <w:szCs w:val="24"/>
    </w:rPr>
  </w:style>
  <w:style w:type="paragraph" w:styleId="1024">
    <w:name w:val="Footer"/>
    <w:basedOn w:val="1006"/>
    <w:link w:val="1025"/>
    <w:uiPriority w:val="99"/>
    <w:unhideWhenUsed/>
    <w:pPr>
      <w:pBdr/>
      <w:tabs>
        <w:tab w:val="center" w:leader="none" w:pos="4680"/>
        <w:tab w:val="right" w:leader="none" w:pos="9360"/>
      </w:tabs>
      <w:spacing/>
      <w:ind/>
    </w:pPr>
  </w:style>
  <w:style w:type="character" w:styleId="1025" w:customStyle="1">
    <w:name w:val="Footer Char"/>
    <w:basedOn w:val="1011"/>
    <w:link w:val="1024"/>
    <w:uiPriority w:val="99"/>
    <w:pPr>
      <w:pBdr/>
      <w:spacing/>
      <w:ind/>
    </w:pPr>
    <w:rPr>
      <w:rFonts w:ascii="Times New Roman" w:hAnsi="Times New Roman" w:eastAsia="Times New Roman" w:cs="Times New Roman"/>
      <w:sz w:val="24"/>
      <w:szCs w:val="24"/>
    </w:rPr>
  </w:style>
  <w:style w:type="character" w:styleId="1026" w:customStyle="1">
    <w:name w:val="normal-h1"/>
    <w:pPr>
      <w:pBdr/>
      <w:spacing/>
      <w:ind/>
    </w:pPr>
    <w:rPr>
      <w:rFonts w:hint="default" w:ascii=".VnTime" w:hAnsi=".VnTime"/>
      <w:color w:val="0000ff"/>
      <w:sz w:val="24"/>
      <w:szCs w:val="24"/>
    </w:rPr>
  </w:style>
  <w:style w:type="paragraph" w:styleId="1027" w:customStyle="1">
    <w:name w:val="normal-p"/>
    <w:basedOn w:val="1006"/>
    <w:pPr>
      <w:pBdr/>
      <w:spacing/>
      <w:ind/>
      <w:jc w:val="both"/>
    </w:pPr>
    <w:rPr>
      <w:sz w:val="20"/>
      <w:szCs w:val="20"/>
    </w:rPr>
  </w:style>
  <w:style w:type="paragraph" w:styleId="1028">
    <w:name w:val="List Paragraph"/>
    <w:basedOn w:val="1006"/>
    <w:link w:val="1115"/>
    <w:uiPriority w:val="34"/>
    <w:qFormat/>
    <w:pPr>
      <w:pBdr/>
      <w:spacing/>
      <w:ind w:left="720"/>
    </w:pPr>
  </w:style>
  <w:style w:type="paragraph" w:styleId="1029">
    <w:name w:val="Normal (Web)"/>
    <w:basedOn w:val="1006"/>
    <w:uiPriority w:val="99"/>
    <w:pPr>
      <w:pBdr/>
      <w:spacing w:after="100" w:afterAutospacing="1" w:before="100" w:beforeAutospacing="1"/>
      <w:ind/>
    </w:pPr>
  </w:style>
  <w:style w:type="paragraph" w:styleId="1030">
    <w:name w:val="Body Text"/>
    <w:basedOn w:val="1006"/>
    <w:link w:val="1031"/>
    <w:pPr>
      <w:pBdr/>
      <w:spacing w:after="120"/>
      <w:ind/>
      <w:jc w:val="both"/>
    </w:pPr>
  </w:style>
  <w:style w:type="character" w:styleId="1031" w:customStyle="1">
    <w:name w:val="Body Text Char"/>
    <w:basedOn w:val="1011"/>
    <w:link w:val="1030"/>
    <w:pPr>
      <w:pBdr/>
      <w:spacing/>
      <w:ind/>
    </w:pPr>
    <w:rPr>
      <w:rFonts w:ascii="Times New Roman" w:hAnsi="Times New Roman" w:eastAsia="Times New Roman" w:cs="Times New Roman"/>
      <w:sz w:val="24"/>
      <w:szCs w:val="24"/>
    </w:rPr>
  </w:style>
  <w:style w:type="table" w:styleId="1032">
    <w:name w:val="Table Grid"/>
    <w:basedOn w:val="1012"/>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3"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4">
    <w:name w:val="annotation reference"/>
    <w:basedOn w:val="1011"/>
    <w:uiPriority w:val="99"/>
    <w:semiHidden/>
    <w:unhideWhenUsed/>
    <w:pPr>
      <w:pBdr/>
      <w:spacing/>
      <w:ind/>
    </w:pPr>
    <w:rPr>
      <w:sz w:val="16"/>
      <w:szCs w:val="16"/>
    </w:rPr>
  </w:style>
  <w:style w:type="paragraph" w:styleId="1035">
    <w:name w:val="annotation text"/>
    <w:basedOn w:val="1006"/>
    <w:link w:val="1036"/>
    <w:uiPriority w:val="99"/>
    <w:unhideWhenUsed/>
    <w:pPr>
      <w:pBdr/>
      <w:spacing/>
      <w:ind/>
    </w:pPr>
    <w:rPr>
      <w:sz w:val="20"/>
      <w:szCs w:val="20"/>
    </w:rPr>
  </w:style>
  <w:style w:type="character" w:styleId="1036" w:customStyle="1">
    <w:name w:val="Comment Text Char"/>
    <w:basedOn w:val="1011"/>
    <w:link w:val="1035"/>
    <w:uiPriority w:val="99"/>
    <w:pPr>
      <w:pBdr/>
      <w:spacing/>
      <w:ind/>
    </w:pPr>
    <w:rPr>
      <w:rFonts w:ascii="Times New Roman" w:hAnsi="Times New Roman" w:eastAsia="Times New Roman" w:cs="Times New Roman"/>
      <w:sz w:val="20"/>
      <w:szCs w:val="20"/>
    </w:rPr>
  </w:style>
  <w:style w:type="paragraph" w:styleId="1037">
    <w:name w:val="annotation subject"/>
    <w:basedOn w:val="1035"/>
    <w:next w:val="1035"/>
    <w:link w:val="1038"/>
    <w:uiPriority w:val="99"/>
    <w:semiHidden/>
    <w:unhideWhenUsed/>
    <w:pPr>
      <w:pBdr/>
      <w:spacing/>
      <w:ind/>
    </w:pPr>
    <w:rPr>
      <w:b/>
      <w:bCs/>
    </w:rPr>
  </w:style>
  <w:style w:type="character" w:styleId="1038" w:customStyle="1">
    <w:name w:val="Comment Subject Char"/>
    <w:basedOn w:val="1036"/>
    <w:link w:val="1037"/>
    <w:uiPriority w:val="99"/>
    <w:semiHidden/>
    <w:pPr>
      <w:pBdr/>
      <w:spacing/>
      <w:ind/>
    </w:pPr>
    <w:rPr>
      <w:rFonts w:ascii="Times New Roman" w:hAnsi="Times New Roman" w:eastAsia="Times New Roman" w:cs="Times New Roman"/>
      <w:b/>
      <w:bCs/>
      <w:sz w:val="20"/>
      <w:szCs w:val="20"/>
    </w:rPr>
  </w:style>
  <w:style w:type="paragraph" w:styleId="1039" w:customStyle="1">
    <w:name w:val="font5"/>
    <w:basedOn w:val="1006"/>
    <w:pPr>
      <w:pBdr/>
      <w:spacing w:after="100" w:afterAutospacing="1" w:before="100" w:beforeAutospacing="1"/>
      <w:ind/>
    </w:pPr>
    <w:rPr>
      <w:rFonts w:ascii="Tahoma" w:hAnsi="Tahoma" w:cs="Tahoma"/>
      <w:color w:val="000000"/>
      <w:sz w:val="18"/>
      <w:szCs w:val="18"/>
    </w:rPr>
  </w:style>
  <w:style w:type="paragraph" w:styleId="1040" w:customStyle="1">
    <w:name w:val="font6"/>
    <w:basedOn w:val="1006"/>
    <w:pPr>
      <w:pBdr/>
      <w:spacing w:after="100" w:afterAutospacing="1" w:before="100" w:beforeAutospacing="1"/>
      <w:ind/>
    </w:pPr>
    <w:rPr>
      <w:rFonts w:ascii="Tahoma" w:hAnsi="Tahoma" w:cs="Tahoma"/>
      <w:b/>
      <w:bCs/>
      <w:color w:val="000000"/>
      <w:sz w:val="18"/>
      <w:szCs w:val="18"/>
    </w:rPr>
  </w:style>
  <w:style w:type="paragraph" w:styleId="1041" w:customStyle="1">
    <w:name w:val="xl233"/>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2" w:customStyle="1">
    <w:name w:val="xl234"/>
    <w:basedOn w:val="1006"/>
    <w:pPr>
      <w:pBdr/>
      <w:spacing w:after="100" w:afterAutospacing="1" w:before="100" w:beforeAutospacing="1"/>
      <w:ind/>
      <w:jc w:val="center"/>
    </w:pPr>
  </w:style>
  <w:style w:type="paragraph" w:styleId="1043" w:customStyle="1">
    <w:name w:val="xl235"/>
    <w:basedOn w:val="1006"/>
    <w:pPr>
      <w:pBdr/>
      <w:spacing w:after="100" w:afterAutospacing="1" w:before="100" w:beforeAutospacing="1"/>
      <w:ind/>
      <w:jc w:val="center"/>
    </w:pPr>
    <w:rPr>
      <w:b/>
      <w:bCs/>
    </w:rPr>
  </w:style>
  <w:style w:type="paragraph" w:styleId="1044" w:customStyle="1">
    <w:name w:val="xl236"/>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5" w:customStyle="1">
    <w:name w:val="xl237"/>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6" w:customStyle="1">
    <w:name w:val="xl238"/>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7" w:customStyle="1">
    <w:name w:val="xl239"/>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8" w:customStyle="1">
    <w:name w:val="xl240"/>
    <w:basedOn w:val="1006"/>
    <w:pPr>
      <w:pBdr/>
      <w:spacing w:after="100" w:afterAutospacing="1" w:before="100" w:beforeAutospacing="1"/>
      <w:ind/>
    </w:pPr>
  </w:style>
  <w:style w:type="paragraph" w:styleId="1049" w:customStyle="1">
    <w:name w:val="xl241"/>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0" w:customStyle="1">
    <w:name w:val="xl242"/>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3"/>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2" w:customStyle="1">
    <w:name w:val="xl244"/>
    <w:basedOn w:val="1006"/>
    <w:pPr>
      <w:pBdr/>
      <w:spacing w:after="100" w:afterAutospacing="1" w:before="100" w:beforeAutospacing="1"/>
      <w:ind/>
    </w:pPr>
    <w:rPr>
      <w:b/>
      <w:bCs/>
    </w:rPr>
  </w:style>
  <w:style w:type="paragraph" w:styleId="1053" w:customStyle="1">
    <w:name w:val="xl245"/>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6"/>
    <w:basedOn w:val="1006"/>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5" w:customStyle="1">
    <w:name w:val="xl247"/>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6" w:customStyle="1">
    <w:name w:val="xl248"/>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7" w:customStyle="1">
    <w:name w:val="xl249"/>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8" w:customStyle="1">
    <w:name w:val="xl250"/>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9" w:customStyle="1">
    <w:name w:val="xl251"/>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2"/>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3"/>
    <w:basedOn w:val="1006"/>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4"/>
    <w:basedOn w:val="1006"/>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5"/>
    <w:basedOn w:val="1006"/>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6"/>
    <w:basedOn w:val="1006"/>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7"/>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8"/>
    <w:basedOn w:val="1006"/>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9"/>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0"/>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1"/>
    <w:basedOn w:val="1006"/>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2"/>
    <w:basedOn w:val="1006"/>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1" w:customStyle="1">
    <w:name w:val="xl263"/>
    <w:basedOn w:val="1006"/>
    <w:pPr>
      <w:pBdr/>
      <w:shd w:val="clear" w:color="000000" w:fill="ffffff"/>
      <w:spacing w:after="100" w:afterAutospacing="1" w:before="100" w:beforeAutospacing="1"/>
      <w:ind/>
    </w:pPr>
  </w:style>
  <w:style w:type="paragraph" w:styleId="1072" w:customStyle="1">
    <w:name w:val="xl264"/>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5"/>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4" w:customStyle="1">
    <w:name w:val="xl266"/>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5" w:customStyle="1">
    <w:name w:val="xl267"/>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6" w:customStyle="1">
    <w:name w:val="xl268"/>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69"/>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70"/>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9" w:customStyle="1">
    <w:name w:val="xl271"/>
    <w:basedOn w:val="1006"/>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0" w:customStyle="1">
    <w:name w:val="xl272"/>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1" w:customStyle="1">
    <w:name w:val="xl273"/>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2" w:customStyle="1">
    <w:name w:val="xl274"/>
    <w:basedOn w:val="1006"/>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3" w:customStyle="1">
    <w:name w:val="xl275"/>
    <w:basedOn w:val="1006"/>
    <w:pPr>
      <w:pBdr/>
      <w:spacing w:after="100" w:afterAutospacing="1" w:before="100" w:beforeAutospacing="1"/>
      <w:ind/>
    </w:pPr>
  </w:style>
  <w:style w:type="paragraph" w:styleId="1084" w:customStyle="1">
    <w:name w:val="xl276"/>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5" w:customStyle="1">
    <w:name w:val="xl277"/>
    <w:basedOn w:val="1006"/>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6" w:customStyle="1">
    <w:name w:val="xl278"/>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79"/>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80"/>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9" w:customStyle="1">
    <w:name w:val="xl281"/>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0" w:customStyle="1">
    <w:name w:val="xl282"/>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3"/>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4"/>
    <w:basedOn w:val="1006"/>
    <w:pPr>
      <w:pBdr>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5"/>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6"/>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7"/>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8"/>
    <w:basedOn w:val="1006"/>
    <w:pPr>
      <w:pBdr>
        <w:top w:val="single" w:color="000000" w:sz="4" w:space="0"/>
        <w:left w:val="single" w:color="000000" w:sz="4" w:space="0"/>
        <w:right w:val="single" w:color="000000" w:sz="4" w:space="0"/>
      </w:pBdr>
      <w:spacing w:after="100" w:afterAutospacing="1" w:before="100" w:beforeAutospacing="1"/>
      <w:ind/>
    </w:pPr>
  </w:style>
  <w:style w:type="paragraph" w:styleId="1097" w:customStyle="1">
    <w:name w:val="xl289"/>
    <w:basedOn w:val="1006"/>
    <w:pPr>
      <w:pBdr>
        <w:left w:val="single" w:color="000000" w:sz="4" w:space="0"/>
        <w:right w:val="single" w:color="000000" w:sz="4" w:space="0"/>
      </w:pBdr>
      <w:spacing w:after="100" w:afterAutospacing="1" w:before="100" w:beforeAutospacing="1"/>
      <w:ind/>
    </w:pPr>
    <w:rPr>
      <w:b/>
      <w:bCs/>
    </w:rPr>
  </w:style>
  <w:style w:type="paragraph" w:styleId="1098" w:customStyle="1">
    <w:name w:val="xl290"/>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9" w:customStyle="1">
    <w:name w:val="xl291"/>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0" w:customStyle="1">
    <w:name w:val="xl292"/>
    <w:basedOn w:val="1006"/>
    <w:pPr>
      <w:pBdr>
        <w:top w:val="single" w:color="000000" w:sz="4" w:space="0"/>
        <w:left w:val="single" w:color="000000" w:sz="4" w:space="0"/>
        <w:right w:val="single" w:color="000000" w:sz="4" w:space="0"/>
      </w:pBdr>
      <w:spacing w:after="100" w:afterAutospacing="1" w:before="100" w:beforeAutospacing="1"/>
      <w:ind/>
    </w:pPr>
  </w:style>
  <w:style w:type="paragraph" w:styleId="1101" w:customStyle="1">
    <w:name w:val="xl293"/>
    <w:basedOn w:val="1006"/>
    <w:pPr>
      <w:pBdr>
        <w:left w:val="single" w:color="000000" w:sz="4" w:space="0"/>
        <w:bottom w:val="single" w:color="000000" w:sz="4" w:space="0"/>
        <w:right w:val="single" w:color="000000" w:sz="4" w:space="0"/>
      </w:pBdr>
      <w:spacing w:after="100" w:afterAutospacing="1" w:before="100" w:beforeAutospacing="1"/>
      <w:ind/>
    </w:pPr>
  </w:style>
  <w:style w:type="paragraph" w:styleId="1102" w:customStyle="1">
    <w:name w:val="xl294"/>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3">
    <w:name w:val="Title"/>
    <w:basedOn w:val="1006"/>
    <w:link w:val="1104"/>
    <w:qFormat/>
    <w:pPr>
      <w:pBdr/>
      <w:spacing/>
      <w:ind/>
      <w:jc w:val="center"/>
    </w:pPr>
    <w:rPr>
      <w:b/>
      <w:bCs/>
      <w:sz w:val="32"/>
      <w:szCs w:val="26"/>
    </w:rPr>
  </w:style>
  <w:style w:type="character" w:styleId="1104" w:customStyle="1">
    <w:name w:val="Title Char"/>
    <w:basedOn w:val="1011"/>
    <w:link w:val="1103"/>
    <w:pPr>
      <w:pBdr/>
      <w:spacing/>
      <w:ind/>
    </w:pPr>
    <w:rPr>
      <w:rFonts w:ascii="Times New Roman" w:hAnsi="Times New Roman" w:eastAsia="Times New Roman" w:cs="Times New Roman"/>
      <w:b/>
      <w:bCs/>
      <w:sz w:val="32"/>
      <w:szCs w:val="26"/>
    </w:rPr>
  </w:style>
  <w:style w:type="character" w:styleId="1105" w:customStyle="1">
    <w:name w:val="Unresolved Mention1"/>
    <w:basedOn w:val="1011"/>
    <w:uiPriority w:val="99"/>
    <w:semiHidden/>
    <w:unhideWhenUsed/>
    <w:pPr>
      <w:pBdr/>
      <w:spacing/>
      <w:ind/>
    </w:pPr>
    <w:rPr>
      <w:color w:val="605e5c"/>
      <w:shd w:val="clear" w:color="auto" w:fill="e1dfdd"/>
    </w:rPr>
  </w:style>
  <w:style w:type="character" w:styleId="1106" w:customStyle="1">
    <w:name w:val="Body text (3)_"/>
    <w:link w:val="1107"/>
    <w:pPr>
      <w:pBdr/>
      <w:spacing/>
      <w:ind/>
    </w:pPr>
    <w:rPr>
      <w:rFonts w:ascii="Times New Roman" w:hAnsi="Times New Roman" w:cs="Times New Roman"/>
      <w:i/>
      <w:iCs/>
      <w:spacing w:val="4"/>
      <w:shd w:val="clear" w:color="auto" w:fill="ffffff"/>
    </w:rPr>
  </w:style>
  <w:style w:type="paragraph" w:styleId="1107" w:customStyle="1">
    <w:name w:val="Body text (3)1"/>
    <w:basedOn w:val="1006"/>
    <w:link w:val="1106"/>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8" w:customStyle="1">
    <w:name w:val="t-j"/>
    <w:basedOn w:val="1006"/>
    <w:pPr>
      <w:pBdr/>
      <w:spacing w:after="100" w:afterAutospacing="1" w:before="100" w:beforeAutospacing="1"/>
      <w:ind/>
    </w:pPr>
  </w:style>
  <w:style w:type="character" w:styleId="1109" w:customStyle="1">
    <w:name w:val="Unresolved Mention2"/>
    <w:basedOn w:val="1011"/>
    <w:uiPriority w:val="99"/>
    <w:semiHidden/>
    <w:unhideWhenUsed/>
    <w:pPr>
      <w:pBdr/>
      <w:spacing/>
      <w:ind/>
    </w:pPr>
    <w:rPr>
      <w:color w:val="605e5c"/>
      <w:shd w:val="clear" w:color="auto" w:fill="e1dfdd"/>
    </w:rPr>
  </w:style>
  <w:style w:type="character" w:styleId="1110">
    <w:name w:val="FollowedHyperlink"/>
    <w:basedOn w:val="1011"/>
    <w:uiPriority w:val="99"/>
    <w:semiHidden/>
    <w:unhideWhenUsed/>
    <w:pPr>
      <w:pBdr/>
      <w:spacing/>
      <w:ind/>
    </w:pPr>
    <w:rPr>
      <w:color w:val="800080" w:themeColor="followedHyperlink"/>
      <w:u w:val="single"/>
    </w:rPr>
  </w:style>
  <w:style w:type="character" w:styleId="1111" w:customStyle="1">
    <w:name w:val="text"/>
    <w:basedOn w:val="1011"/>
    <w:pPr>
      <w:pBdr/>
      <w:spacing/>
      <w:ind/>
    </w:pPr>
  </w:style>
  <w:style w:type="character" w:styleId="1112" w:customStyle="1">
    <w:name w:val="card-send-time__sendtime"/>
    <w:basedOn w:val="1011"/>
    <w:pPr>
      <w:pBdr/>
      <w:spacing/>
      <w:ind/>
    </w:pPr>
  </w:style>
  <w:style w:type="character" w:styleId="1113" w:customStyle="1">
    <w:name w:val="Đề cập Chưa giải quyết1"/>
    <w:basedOn w:val="1011"/>
    <w:uiPriority w:val="99"/>
    <w:semiHidden/>
    <w:unhideWhenUsed/>
    <w:pPr>
      <w:pBdr/>
      <w:spacing/>
      <w:ind/>
    </w:pPr>
    <w:rPr>
      <w:color w:val="605e5c"/>
      <w:shd w:val="clear" w:color="auto" w:fill="e1dfdd"/>
    </w:rPr>
  </w:style>
  <w:style w:type="paragraph" w:styleId="1114" w:customStyle="1">
    <w:name w:val="nqtitle"/>
    <w:basedOn w:val="1006"/>
    <w:pPr>
      <w:pBdr/>
      <w:spacing w:after="100" w:afterAutospacing="1" w:before="100" w:beforeAutospacing="1"/>
      <w:ind/>
    </w:pPr>
    <w:rPr>
      <w:lang w:val="vi-VN" w:eastAsia="vi-VN"/>
    </w:rPr>
  </w:style>
  <w:style w:type="character" w:styleId="1115" w:customStyle="1">
    <w:name w:val="List Paragraph Char"/>
    <w:link w:val="1028"/>
    <w:uiPriority w:val="34"/>
    <w:qFormat/>
    <w:pPr>
      <w:pBdr/>
      <w:spacing/>
      <w:ind/>
    </w:pPr>
    <w:rPr>
      <w:rFonts w:ascii="Times New Roman" w:hAnsi="Times New Roman" w:eastAsia="Times New Roman" w:cs="Times New Roman"/>
      <w:sz w:val="24"/>
      <w:szCs w:val="24"/>
    </w:rPr>
  </w:style>
  <w:style w:type="character" w:styleId="1116" w:customStyle="1">
    <w:name w:val="Đề cập Chưa giải quyết2"/>
    <w:basedOn w:val="1011"/>
    <w:uiPriority w:val="99"/>
    <w:semiHidden/>
    <w:unhideWhenUsed/>
    <w:pPr>
      <w:pBdr/>
      <w:spacing/>
      <w:ind/>
    </w:pPr>
    <w:rPr>
      <w:color w:val="605e5c"/>
      <w:shd w:val="clear" w:color="auto" w:fill="e1dfdd"/>
    </w:rPr>
  </w:style>
  <w:style w:type="character" w:styleId="1117" w:customStyle="1">
    <w:name w:val="Unresolved Mention3"/>
    <w:basedOn w:val="1011"/>
    <w:uiPriority w:val="99"/>
    <w:semiHidden/>
    <w:unhideWhenUsed/>
    <w:pPr>
      <w:pBdr/>
      <w:spacing/>
      <w:ind/>
    </w:pPr>
    <w:rPr>
      <w:color w:val="605e5c"/>
      <w:shd w:val="clear" w:color="auto" w:fill="e1dfdd"/>
    </w:rPr>
  </w:style>
  <w:style w:type="character" w:styleId="1118" w:customStyle="1">
    <w:name w:val="copy"/>
    <w:basedOn w:val="1011"/>
    <w:pPr>
      <w:pBdr/>
      <w:spacing/>
      <w:ind/>
    </w:pPr>
  </w:style>
  <w:style w:type="paragraph" w:styleId="1119" w:customStyle="1">
    <w:name w:val="align-justify"/>
    <w:basedOn w:val="1006"/>
    <w:pPr>
      <w:pBdr/>
      <w:spacing w:after="100" w:afterAutospacing="1" w:before="100" w:beforeAutospacing="1"/>
      <w:ind/>
    </w:pPr>
  </w:style>
  <w:style w:type="character" w:styleId="1120" w:customStyle="1">
    <w:name w:val="btn"/>
    <w:basedOn w:val="1011"/>
    <w:pPr>
      <w:pBdr/>
      <w:spacing/>
      <w:ind/>
    </w:pPr>
  </w:style>
  <w:style w:type="character" w:styleId="1121" w:customStyle="1">
    <w:name w:val="hide_mobile"/>
    <w:basedOn w:val="1011"/>
    <w:pPr>
      <w:pBdr/>
      <w:spacing/>
      <w:ind/>
    </w:pPr>
  </w:style>
  <w:style w:type="character" w:styleId="1122">
    <w:name w:val="Emphasis"/>
    <w:basedOn w:val="1011"/>
    <w:uiPriority w:val="20"/>
    <w:qFormat/>
    <w:pPr>
      <w:pBdr/>
      <w:spacing/>
      <w:ind/>
    </w:pPr>
    <w:rPr>
      <w:i/>
      <w:iCs/>
    </w:rPr>
  </w:style>
  <w:style w:type="character" w:styleId="1123" w:customStyle="1">
    <w:name w:val="t1"/>
    <w:basedOn w:val="1011"/>
    <w:pPr>
      <w:pBdr/>
      <w:spacing/>
      <w:ind/>
    </w:pPr>
  </w:style>
  <w:style w:type="character" w:styleId="1124" w:customStyle="1">
    <w:name w:val="Unresolved Mention4"/>
    <w:basedOn w:val="1011"/>
    <w:uiPriority w:val="99"/>
    <w:semiHidden/>
    <w:unhideWhenUsed/>
    <w:pPr>
      <w:pBdr/>
      <w:spacing/>
      <w:ind/>
    </w:pPr>
    <w:rPr>
      <w:color w:val="605e5c"/>
      <w:shd w:val="clear" w:color="auto" w:fill="e1dfdd"/>
    </w:rPr>
  </w:style>
  <w:style w:type="character" w:styleId="1125">
    <w:name w:val="Unresolved Mention"/>
    <w:basedOn w:val="1011"/>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Chu Thế Hiển</cp:lastModifiedBy>
  <cp:revision>271</cp:revision>
  <dcterms:created xsi:type="dcterms:W3CDTF">2025-09-15T09:58:00Z</dcterms:created>
  <dcterms:modified xsi:type="dcterms:W3CDTF">2026-01-22T07:24:37Z</dcterms:modified>
</cp:coreProperties>
</file>