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159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159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275/2026/0172/VFI-CT.39.A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highlight w:val="white"/>
                              </w:rPr>
                            </w:pPr>
                            <w:r>
                              <w:rPr>
                                <w:rFonts w:ascii="Times New Roman Bold" w:hAnsi="Times New Roman Bold"/>
                                <w:b/>
                                <w:color w:val="000000" w:themeColor="text1"/>
                                <w:highlight w:val="white"/>
                                <w:lang w:val="pt-BR"/>
                              </w:rPr>
                              <w:t xml:space="preserve">Khách</w:t>
                            </w:r>
                            <w:r>
                              <w:rPr>
                                <w:rFonts w:ascii="Times New Roman Bold" w:hAnsi="Times New Roman Bold"/>
                                <w:b/>
                                <w:color w:val="000000" w:themeColor="text1"/>
                                <w:highlight w:val="white"/>
                                <w:lang w:val="pt-BR"/>
                              </w:rPr>
                              <w:t xml:space="preserve"> </w:t>
                            </w:r>
                            <w:r>
                              <w:rPr>
                                <w:rFonts w:ascii="Times New Roman Bold" w:hAnsi="Times New Roman Bold"/>
                                <w:b/>
                                <w:color w:val="000000" w:themeColor="text1"/>
                                <w:highlight w:val="white"/>
                                <w:lang w:val="pt-BR"/>
                              </w:rPr>
                              <w:t xml:space="preserve">hàng</w:t>
                            </w:r>
                            <w:r>
                              <w:rPr>
                                <w:rFonts w:ascii="Times New Roman Bold" w:hAnsi="Times New Roman Bold"/>
                                <w:b/>
                                <w:color w:val="000000" w:themeColor="text1"/>
                                <w:highlight w:val="white"/>
                                <w:lang w:val="pt-BR"/>
                              </w:rPr>
                              <w:t xml:space="preserve"> </w:t>
                            </w:r>
                            <w:r>
                              <w:rPr>
                                <w:rFonts w:ascii="Times New Roman Bold" w:hAnsi="Times New Roman Bold"/>
                                <w:b/>
                                <w:color w:val="000000" w:themeColor="text1"/>
                                <w:highlight w:val="white"/>
                                <w:lang w:val="pt-BR"/>
                              </w:rPr>
                              <w:t xml:space="preserve">yêu</w:t>
                            </w:r>
                            <w:r>
                              <w:rPr>
                                <w:rFonts w:ascii="Times New Roman Bold" w:hAnsi="Times New Roman Bold"/>
                                <w:b/>
                                <w:color w:val="000000" w:themeColor="text1"/>
                                <w:highlight w:val="white"/>
                                <w:lang w:val="pt-BR"/>
                              </w:rPr>
                              <w:t xml:space="preserve"> cầu: </w:t>
                            </w:r>
                            <w:r>
                              <w:rPr>
                                <w:rFonts w:ascii="Times New Roman Bold" w:hAnsi="Times New Roman Bold"/>
                                <w:b/>
                                <w:color w:val="000000" w:themeColor="text1"/>
                                <w:highlight w:val="white"/>
                                <w:lang w:val="pt-BR"/>
                              </w:rPr>
                            </w:r>
                            <w:r>
                              <w:rPr>
                                <w:rFonts w:ascii="Times New Roman Bold" w:hAnsi="Times New Roman Bold"/>
                                <w:b/>
                                <w:color w:val="000000" w:themeColor="text1"/>
                                <w:lang w:val="pt-BR"/>
                              </w:rPr>
                              <w:t xml:space="preserve">NGÂN HÀNG NÔNG NGHIỆP VÀ PHÁT TRIỂN NÔNG THÔN VIỆT NAM (AGRIBANK)- CHI NHÁNH HÀ TÂY</w:t>
                            </w:r>
                            <w:r/>
                            <w:r>
                              <w:rPr>
                                <w:rFonts w:ascii="Times New Roman Bold" w:hAnsi="Times New Roman Bold"/>
                                <w:b/>
                                <w:color w:val="000000" w:themeColor="text1"/>
                                <w:highlight w:val="white"/>
                                <w:lang w:val="pt-BR"/>
                              </w:rPr>
                            </w:r>
                            <w:r>
                              <w:rPr>
                                <w:rFonts w:ascii="Times New Roman Bold" w:hAnsi="Times New Roman Bold"/>
                                <w:b/>
                                <w:color w:val="000000" w:themeColor="text1"/>
                                <w:highlight w:val="white"/>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448, tờ bản đồ số 4 có địa chỉ: Xã Dị Nậu, huyện Thạch Thất, Thành phố Hà Nội (Nay là xã Tây Phương, Thành p</w:t>
                            </w:r>
                            <w:r>
                              <w:rPr>
                                <w:color w:val="000000"/>
                              </w:rPr>
                              <w:t xml:space="preserve">hố Hà Nội) theo Giấy chứng nhận quyền sử dụng đất quyền sở hữu nhà ở và tài sản khác gắn liền với đất số: DD 257284, số vào sổ cấp GCN: CS-TTH 25081 do Sở Tài nguyên và Môi trường Thành phố Hà Nội cấp ngày 07/3/2022; Chủ sử dụng đất là Ông Nguyễn Huy Lượng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2.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275/2026/0172/VFI-CT.39.A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highlight w:val="white"/>
                        </w:rPr>
                      </w:pPr>
                      <w:r>
                        <w:rPr>
                          <w:rFonts w:ascii="Times New Roman Bold" w:hAnsi="Times New Roman Bold"/>
                          <w:b/>
                          <w:color w:val="000000" w:themeColor="text1"/>
                          <w:highlight w:val="white"/>
                          <w:lang w:val="pt-BR"/>
                        </w:rPr>
                        <w:t xml:space="preserve">Khách</w:t>
                      </w:r>
                      <w:r>
                        <w:rPr>
                          <w:rFonts w:ascii="Times New Roman Bold" w:hAnsi="Times New Roman Bold"/>
                          <w:b/>
                          <w:color w:val="000000" w:themeColor="text1"/>
                          <w:highlight w:val="white"/>
                          <w:lang w:val="pt-BR"/>
                        </w:rPr>
                        <w:t xml:space="preserve"> </w:t>
                      </w:r>
                      <w:r>
                        <w:rPr>
                          <w:rFonts w:ascii="Times New Roman Bold" w:hAnsi="Times New Roman Bold"/>
                          <w:b/>
                          <w:color w:val="000000" w:themeColor="text1"/>
                          <w:highlight w:val="white"/>
                          <w:lang w:val="pt-BR"/>
                        </w:rPr>
                        <w:t xml:space="preserve">hàng</w:t>
                      </w:r>
                      <w:r>
                        <w:rPr>
                          <w:rFonts w:ascii="Times New Roman Bold" w:hAnsi="Times New Roman Bold"/>
                          <w:b/>
                          <w:color w:val="000000" w:themeColor="text1"/>
                          <w:highlight w:val="white"/>
                          <w:lang w:val="pt-BR"/>
                        </w:rPr>
                        <w:t xml:space="preserve"> </w:t>
                      </w:r>
                      <w:r>
                        <w:rPr>
                          <w:rFonts w:ascii="Times New Roman Bold" w:hAnsi="Times New Roman Bold"/>
                          <w:b/>
                          <w:color w:val="000000" w:themeColor="text1"/>
                          <w:highlight w:val="white"/>
                          <w:lang w:val="pt-BR"/>
                        </w:rPr>
                        <w:t xml:space="preserve">yêu</w:t>
                      </w:r>
                      <w:r>
                        <w:rPr>
                          <w:rFonts w:ascii="Times New Roman Bold" w:hAnsi="Times New Roman Bold"/>
                          <w:b/>
                          <w:color w:val="000000" w:themeColor="text1"/>
                          <w:highlight w:val="white"/>
                          <w:lang w:val="pt-BR"/>
                        </w:rPr>
                        <w:t xml:space="preserve"> cầu: </w:t>
                      </w:r>
                      <w:r>
                        <w:rPr>
                          <w:rFonts w:ascii="Times New Roman Bold" w:hAnsi="Times New Roman Bold"/>
                          <w:b/>
                          <w:color w:val="000000" w:themeColor="text1"/>
                          <w:highlight w:val="white"/>
                          <w:lang w:val="pt-BR"/>
                        </w:rPr>
                      </w:r>
                      <w:r>
                        <w:rPr>
                          <w:rFonts w:ascii="Times New Roman Bold" w:hAnsi="Times New Roman Bold"/>
                          <w:b/>
                          <w:color w:val="000000" w:themeColor="text1"/>
                          <w:lang w:val="pt-BR"/>
                        </w:rPr>
                        <w:t xml:space="preserve">NGÂN HÀNG NÔNG NGHIỆP VÀ PHÁT TRIỂN NÔNG THÔN VIỆT NAM (AGRIBANK)- CHI NHÁNH HÀ TÂY</w:t>
                      </w:r>
                      <w:r/>
                      <w:r>
                        <w:rPr>
                          <w:rFonts w:ascii="Times New Roman Bold" w:hAnsi="Times New Roman Bold"/>
                          <w:b/>
                          <w:color w:val="000000" w:themeColor="text1"/>
                          <w:highlight w:val="white"/>
                          <w:lang w:val="pt-BR"/>
                        </w:rPr>
                      </w:r>
                      <w:r>
                        <w:rPr>
                          <w:rFonts w:ascii="Times New Roman Bold" w:hAnsi="Times New Roman Bold"/>
                          <w:b/>
                          <w:color w:val="000000" w:themeColor="text1"/>
                          <w:highlight w:val="white"/>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448, tờ bản đồ số 4 có địa chỉ: Xã Dị Nậu, huyện Thạch Thất, Thành phố Hà Nội (Nay là xã Tây Phương, Thành p</w:t>
                      </w:r>
                      <w:r>
                        <w:rPr>
                          <w:color w:val="000000"/>
                        </w:rPr>
                        <w:t xml:space="preserve">hố Hà Nội) theo Giấy chứng nhận quyền sử dụng đất quyền sở hữu nhà ở và tài sản khác gắn liền với đất số: DD 257284, số vào sổ cấp GCN: CS-TTH 25081 do Sở Tài nguyên và Môi trường Thành phố Hà Nội cấp ngày 07/3/2022; Chủ sử dụng đất là Ông Nguyễn Huy Lượng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016"/>
        <w:gridCol w:w="12543"/>
      </w:tblGrid>
      <w:tr>
        <w:trPr>
          <w:trHeight w:val="1152"/>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54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275/2026/0172/VFI-CT.39.A                               </w:t>
            </w:r>
            <w:r>
              <w:rPr>
                <w:color w:val="000000" w:themeColor="text1"/>
                <w:sz w:val="24"/>
                <w:szCs w:val="24"/>
              </w:rPr>
            </w:r>
            <w:r>
              <w:rPr>
                <w:color w:val="000000" w:themeColor="text1"/>
                <w:sz w:val="24"/>
                <w:szCs w:val="24"/>
              </w:rPr>
            </w: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22 tháng 01 năm 2026</w:t>
            </w:r>
            <w:r>
              <w:rPr>
                <w:color w:val="000000" w:themeColor="text1"/>
                <w:sz w:val="24"/>
                <w:szCs w:val="24"/>
                <w:lang w:val="vi-VN"/>
              </w:rPr>
            </w:r>
            <w:r>
              <w:rPr>
                <w:color w:val="000000" w:themeColor="text1"/>
                <w:sz w:val="24"/>
                <w:szCs w:val="24"/>
                <w:lang w:val="vi-VN"/>
              </w:rPr>
            </w:r>
            <w:r>
              <w:rPr>
                <w:color w:val="000000" w:themeColor="text1"/>
                <w:sz w:val="24"/>
                <w:szCs w:val="24"/>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r>
      <w:r>
        <w:rPr>
          <w:rFonts w:ascii="Times New Roman Bold" w:hAnsi="Times New Roman Bold"/>
          <w:b/>
          <w:color w:val="000000" w:themeColor="text1"/>
          <w:lang w:val="pt-BR"/>
        </w:rPr>
        <w:t xml:space="preserve">NGÂN HÀNG NÔNG NGHIỆP VÀ PHÁT TRIỂN NÔNG THÔN VIỆT NAM (AGRIBANK)- CHI NHÁNH HÀ TÂY</w:t>
      </w:r>
      <w:r/>
      <w:r>
        <w:rPr>
          <w:rFonts w:ascii="Times New Roman Bold" w:hAnsi="Times New Roman Bold"/>
          <w:b/>
          <w:color w:val="000000" w:themeColor="text1"/>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275/2026/0172/VFI-HĐTĐ.39.A</w:t>
      </w:r>
      <w:r>
        <w:rPr>
          <w:spacing w:val="-4"/>
          <w:lang w:val="vi-VN"/>
        </w:rPr>
        <w:t xml:space="preserve"> ký ngày </w:t>
      </w:r>
      <w:r>
        <w:rPr>
          <w:color w:val="000000" w:themeColor="text1"/>
          <w:spacing w:val="-4"/>
        </w:rPr>
        <w:t xml:space="preserve">12 tháng 01 năm 2026</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(Agribank)- Chi nhánh Hà Tây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275/2026/0172/VFI-BC.39.A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pPr>
            <w:r>
              <w:rPr>
                <w:rFonts w:ascii="Times New Roman" w:hAnsi="Times New Roman" w:eastAsia="Times New Roman" w:cs="Times New Roman"/>
                <w:b/>
                <w:color w:val="000000"/>
                <w:spacing w:val="-8"/>
                <w:sz w:val="24"/>
              </w:rPr>
              <w:t xml:space="preserve">NGÂN HÀNG NÔNG NGHIỆP VÀ PHÁT TRIỂN NÔNG THÔN VIỆT NAM (AGRIBANK)-CHI NHÁNH HÀ TÂY</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0100686174-089</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Đia chỉ</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Số 2 Vũ Trọng Khánh, phường Hà Đông, Thành phố Hà Nội</w:t>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b/>
                <w:color w:val="000000"/>
                <w:sz w:val="24"/>
              </w:rPr>
              <w:t xml:space="preserve">Ông Lương Viết Xuân</w:t>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b/>
                <w:color w:val="000000"/>
                <w:sz w:val="24"/>
              </w:rPr>
              <w:t xml:space="preserve">Phó giám đốc</w:t>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 </w:t>
            </w: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(Theo quyết định số: 418/QĐ-NHNo.HT-TH ngày 02 tháng 8 năm 2024 của Giám đốc Agribank Chi nhánh Hà Tây về việc ủy quyền thực hiện nhiệm vụ, quyền hạn của người đại diện theo pháp luật)</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448, tờ bản đồ số 4 có địa chỉ: Xã Dị Nậu, huyện Thạch Thất, Thành phố Hà Nội (Nay là xã Tây Phương, Thành p</w:t>
      </w:r>
      <w:r>
        <w:rPr>
          <w:color w:val="000000" w:themeColor="text1"/>
        </w:rPr>
        <w:t xml:space="preserve">hố Hà Nội) theo Giấy chứng nhận quyền sử dụng đất quyền sở hữu nhà ở và tài sản khác gắn liền với đất số: DD 257284, số vào sổ cấp GCN: CS-TTH 25081 do Sở Tài nguyên và Môi trường Thành phố Hà Nội cấp ngày 07/3/2022; Chủ sử dụng đất là Ông Nguyễn Huy Lượng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499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0"/>
        <w:gridCol w:w="2268"/>
        <w:gridCol w:w="1802"/>
        <w:gridCol w:w="2581"/>
        <w:gridCol w:w="2164"/>
      </w:tblGrid>
      <w:tr>
        <w:trPr>
          <w:trHeight w:val="20"/>
        </w:trPr>
        <w:tc>
          <w:tcPr>
            <w:shd w:val="clear" w:color="000000" w:fill="ffffff"/>
            <w:tcBorders/>
            <w:tcW w:w="700"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6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00"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51"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448, tờ bản đồ số 4 có địa chỉ: Xã Dị Nậu, huyện Thạch Thất, Thành phố Hà Nội (Nay là xã Tây Phương, Thành p</w:t>
            </w:r>
            <w:r>
              <w:rPr>
                <w:color w:val="000000"/>
              </w:rPr>
              <w:t xml:space="preserve">hố Hà Nội) theo Giấy chứng nhận quyền sử dụng đất quyền sở hữu nhà ở và tài sản khác gắn liền với đất số: DD 257284, số vào sổ cấp GCN: CS-TTH 25081 do Sở Tài nguyên và Môi trường Thành phố Hà Nội cấp ngày 07/3/2022; Chủ sử dụng đất là Ông Nguyễn Huy Lượng</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00"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268"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228</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64.000.000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14.592.000.000</w:t>
            </w:r>
            <w:r/>
          </w:p>
        </w:tc>
      </w:tr>
      <w:tr>
        <w:trPr>
          <w:trHeight w:val="20"/>
        </w:trPr>
        <w:tc>
          <w:tcPr>
            <w:gridSpan w:val="4"/>
            <w:tcBorders/>
            <w:tcW w:w="735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14.592.000.000</w:t>
            </w:r>
            <w:r>
              <w:rPr>
                <w:b/>
                <w:bCs/>
                <w:color w:val="000000"/>
              </w:rPr>
            </w:r>
            <w:r>
              <w:rPr>
                <w:b/>
                <w:bCs/>
                <w:color w:val="000000"/>
              </w:rPr>
            </w:r>
          </w:p>
        </w:tc>
      </w:tr>
      <w:tr>
        <w:trPr>
          <w:trHeight w:val="20"/>
        </w:trPr>
        <w:tc>
          <w:tcPr>
            <w:gridSpan w:val="5"/>
            <w:tcBorders/>
            <w:tcW w:w="9516"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bốn tỷ năm trăm chín mươi hai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856"/>
        <w:gridCol w:w="1016"/>
        <w:gridCol w:w="12543"/>
      </w:tblGrid>
      <w:tr>
        <w:trPr>
          <w:trHeight w:val="1152"/>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54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275/2026/0172/VFI-BC.39.A                            </w:t>
            </w:r>
            <w:r>
              <w:rPr>
                <w:color w:val="000000" w:themeColor="text1"/>
                <w:sz w:val="24"/>
                <w:szCs w:val="24"/>
              </w:rPr>
            </w:r>
            <w:r>
              <w:rPr>
                <w:color w:val="000000" w:themeColor="text1"/>
                <w:sz w:val="24"/>
                <w:szCs w:val="24"/>
              </w:rPr>
            </w: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22 tháng 01 năm 2026</w:t>
            </w:r>
            <w:r>
              <w:rPr>
                <w:color w:val="000000" w:themeColor="text1"/>
                <w:sz w:val="24"/>
                <w:szCs w:val="24"/>
                <w:lang w:val="vi-VN"/>
              </w:rPr>
            </w:r>
            <w:r>
              <w:rPr>
                <w:color w:val="000000" w:themeColor="text1"/>
                <w:sz w:val="24"/>
                <w:szCs w:val="24"/>
                <w:lang w:val="vi-VN"/>
              </w:rPr>
            </w:r>
            <w:r>
              <w:rPr>
                <w:color w:val="000000" w:themeColor="text1"/>
                <w:sz w:val="24"/>
                <w:szCs w:val="24"/>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275/2026/0172/VFI-CT.39.A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NGÂN HÀNG NÔNG NGHIỆP VÀ PHÁT TRIỂN NÔNG THÔN VIỆT NAM (AGRIBANK)-CHI NHÁNH HÀ TÂY</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0100686174-089</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Đia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2 Vũ Trọng Khánh, phường Hà Đông,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Lương Viết Xuân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Phó 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(Theo quyết định số: 418/QĐ-NHNo.HT-TH ngày 02 tháng 8 năm 2024 của Giám đốc Agribank Chi nhánh Hà Tây về việc ủy quyền thực hiện nhiệm vụ, quyền hạn của người đại diện theo pháp luật)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448, tờ bản đồ số 4 có địa chỉ: Xã Dị Nậu, huyện Thạch Thất, Thành phố Hà Nội (Nay là xã Tây Phương, Thành p</w:t>
            </w:r>
            <w:r>
              <w:rPr>
                <w:bCs/>
                <w:color w:val="000000" w:themeColor="text1"/>
                <w:lang w:val="pt-BR"/>
              </w:rPr>
              <w:t xml:space="preserve">hố Hà Nội) theo Giấy chứng nhận quyền sử dụng đất quyền sở hữu nhà ở và tài sản khác gắn liền với đất số: DD 257284, số vào sổ cấp GCN: CS-TTH 25081 do Sở Tài nguyên và Môi trường Thành phố Hà Nội cấp ngày 07/3/2022; Chủ sử dụng đất là Ông Nguyễn Huy Lượng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Nay là xã Tây Phương,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21.054055555556, 105.62597222222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DD 257284, số vào sổ cấp GCN: CS-TTH 25081 do Sở Tài nguyên và Môi trường Thành phố Hà Nội cấp ngày 07/3/2022; Chủ sử dụng đất là Ông Nguyễn Huy Lượng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275/2026/0172/VFI-HĐTĐ.39.A ngày 12/01/2026 giữa Ngân hàng Nông nghiệp và Phát triển nông thôn Việt Nam (Agribank)-Chi nhánh Hà Tây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993"/>
        </w:tabs>
        <w:spacing w:after="120" w:before="120" w:line="276" w:lineRule="auto"/>
        <w:ind/>
        <w:jc w:val="both"/>
        <w:rPr>
          <w:b/>
          <w:bCs/>
          <w:lang w:val="pt-BR"/>
        </w:rPr>
      </w:pPr>
      <w:r>
        <w:rPr>
          <w:b/>
          <w:bCs/>
          <w:lang w:val="pt-BR"/>
        </w:rPr>
      </w:r>
      <w:r>
        <w:rPr>
          <w:rFonts w:ascii="Times New Roman" w:hAnsi="Times New Roman" w:eastAsia="Times New Roman" w:cs="Times New Roman"/>
          <w:b w:val="0"/>
          <w:bCs w:val="0"/>
          <w:color w:val="000000" w:themeColor="text1"/>
          <w:sz w:val="24"/>
          <w:szCs w:val="24"/>
        </w:rPr>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 </w:t>
      </w:r>
      <w:r>
        <w:rPr>
          <w:rFonts w:ascii="Times New Roman" w:hAnsi="Times New Roman" w:eastAsia="Times New Roman" w:cs="Times New Roman"/>
          <w:b w:val="0"/>
          <w:bCs w:val="0"/>
          <w:color w:val="000000" w:themeColor="text1"/>
          <w:sz w:val="24"/>
          <w:szCs w:val="24"/>
        </w:rPr>
        <w:t xml:space="preserve">ở thực, chất lượng dự án và năng lực doanh nghiệp làm trụ cột phát triển bền vững. </w:t>
      </w:r>
      <w:r>
        <w:rPr>
          <w:rFonts w:ascii="Times New Roman" w:hAnsi="Times New Roman" w:eastAsia="Times New Roman" w:cs="Times New Roman"/>
          <w:b w:val="0"/>
          <w:bCs w:val="0"/>
          <w:color w:val="000000" w:themeColor="text1"/>
          <w:sz w:val="24"/>
          <w:szCs w:val="24"/>
          <w:highlight w:val="white"/>
        </w:rPr>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vì</w:t>
      </w:r>
      <w:r>
        <w:rPr>
          <w:rFonts w:ascii="Times New Roman" w:hAnsi="Times New Roman" w:eastAsia="Times New Roman" w:cs="Times New Roman"/>
          <w:b w:val="0"/>
          <w:bCs w:val="0"/>
          <w:color w:val="000000" w:themeColor="text1"/>
          <w:sz w:val="24"/>
          <w:szCs w:val="24"/>
          <w:highlight w:val="white"/>
        </w:rPr>
        <w:t xml:space="preserve"> những cơn "sốt nóng" ngắn hạn, thị trường năm 2026 được kỳ vọng tăng trưởng trên nền tảng bền vững, gắn chặt với quy hoạch đô thị, nhu cầu ở thực và năng lực triển khai của doanh nghiệp.</w:t>
      </w:r>
      <w:r>
        <w:rPr>
          <w:b/>
          <w:bCs/>
          <w:lang w:val="pt-BR"/>
        </w:rPr>
      </w:r>
      <w:r>
        <w:rPr>
          <w:b/>
          <w:bCs/>
          <w:lang w:val="pt-BR"/>
        </w:rPr>
      </w:r>
    </w:p>
    <w:p>
      <w:pPr>
        <w:pBdr/>
        <w:tabs>
          <w:tab w:val="left" w:leader="none" w:pos="426"/>
        </w:tabs>
        <w:spacing w:after="120" w:before="120" w:line="276" w:lineRule="auto"/>
        <w:ind/>
        <w:rPr>
          <w:rFonts w:ascii="Times New Roman" w:hAnsi="Times New Roman" w:cs="Times New Roman"/>
          <w:b w:val="0"/>
          <w:bCs w:val="0"/>
          <w:color w:val="000000" w:themeColor="text1"/>
          <w:sz w:val="24"/>
          <w:szCs w:val="24"/>
          <w:highlight w:val="none"/>
        </w:rPr>
      </w:pPr>
      <w:r>
        <w:rPr>
          <w:rFonts w:ascii="Times New Roman" w:hAnsi="Times New Roman" w:eastAsia="Times New Roman" w:cs="Times New Roman"/>
          <w:b w:val="0"/>
          <w:bCs w:val="0"/>
          <w:color w:val="000000" w:themeColor="text1"/>
          <w:sz w:val="24"/>
          <w:szCs w:val="24"/>
          <w:highlight w:val="none"/>
          <w:lang w:val="pt-BR" w:bidi="pt-BR"/>
        </w:rPr>
      </w:r>
      <w:r>
        <w:rPr>
          <w:rFonts w:ascii="Times New Roman" w:hAnsi="Times New Roman" w:eastAsia="Times New Roman" w:cs="Times New Roman"/>
          <w:b w:val="0"/>
          <w:bCs w:val="0"/>
          <w:color w:val="000000" w:themeColor="text1"/>
          <w:sz w:val="24"/>
          <w:szCs w:val="24"/>
          <w:highlight w:val="white"/>
        </w:rPr>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độn</w:t>
      </w:r>
      <w:r>
        <w:rPr>
          <w:rFonts w:ascii="Times New Roman" w:hAnsi="Times New Roman" w:eastAsia="Times New Roman" w:cs="Times New Roman"/>
          <w:b w:val="0"/>
          <w:bCs w:val="0"/>
          <w:color w:val="000000" w:themeColor="text1"/>
          <w:sz w:val="24"/>
          <w:szCs w:val="24"/>
          <w:highlight w:val="white"/>
        </w:rPr>
        <w:t xml:space="preserve">g sản.</w:t>
      </w:r>
      <w:r>
        <w:rPr>
          <w:rFonts w:ascii="Times New Roman" w:hAnsi="Times New Roman" w:eastAsia="Times New Roman" w:cs="Times New Roman"/>
          <w:b w:val="0"/>
          <w:bCs w:val="0"/>
          <w:color w:val="000000" w:themeColor="text1"/>
          <w:sz w:val="24"/>
          <w:szCs w:val="24"/>
          <w:highlight w:val="none"/>
          <w:lang w:val="pt-BR" w:bidi="pt-BR"/>
        </w:rPr>
        <w:br/>
      </w:r>
      <w:r>
        <w:rPr>
          <w:rFonts w:ascii="Times New Roman" w:hAnsi="Times New Roman" w:eastAsia="Times New Roman" w:cs="Times New Roman"/>
          <w:b w:val="0"/>
          <w:bCs w:val="0"/>
          <w:color w:val="000000" w:themeColor="text1"/>
          <w:sz w:val="24"/>
          <w:szCs w:val="24"/>
          <w:highlight w:val="white"/>
        </w:rPr>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 </w:t>
      </w:r>
      <w:r>
        <w:rPr>
          <w:rFonts w:ascii="Times New Roman" w:hAnsi="Times New Roman" w:eastAsia="Times New Roman" w:cs="Times New Roman"/>
          <w:b w:val="0"/>
          <w:bCs w:val="0"/>
          <w:color w:val="000000" w:themeColor="text1"/>
          <w:sz w:val="24"/>
          <w:szCs w:val="24"/>
          <w:highlight w:val="white"/>
        </w:rPr>
        <w:t xml:space="preserve">có điều kiện kết nối thuận lợi hơn, qua đó gia tăng sức hấp dẫn với các dự án đô thị, khu nhà ở và dịch vụ.</w:t>
      </w:r>
      <w:r>
        <w:rPr>
          <w:rFonts w:ascii="Times New Roman" w:hAnsi="Times New Roman" w:cs="Times New Roman"/>
          <w:b w:val="0"/>
          <w:bCs w:val="0"/>
          <w:color w:val="000000" w:themeColor="text1"/>
          <w:sz w:val="24"/>
          <w:szCs w:val="24"/>
          <w:highlight w:val="none"/>
        </w:rPr>
      </w:r>
      <w:r>
        <w:rPr>
          <w:rFonts w:ascii="Times New Roman" w:hAnsi="Times New Roman" w:cs="Times New Roman"/>
          <w:b w:val="0"/>
          <w:bCs w:val="0"/>
          <w:color w:val="000000" w:themeColor="text1"/>
          <w:sz w:val="24"/>
          <w:szCs w:val="24"/>
          <w:highlight w:val="none"/>
        </w:rPr>
      </w:r>
    </w:p>
    <w:p>
      <w:pPr>
        <w:pBdr>
          <w:top w:val="none" w:color="000000" w:sz="4" w:space="0"/>
          <w:left w:val="none" w:color="000000" w:sz="4" w:space="0"/>
          <w:bottom w:val="none" w:color="000000" w:sz="4" w:space="0"/>
          <w:right w:val="none" w:color="000000" w:sz="4" w:space="0"/>
        </w:pBdr>
        <w:shd w:val="clear" w:color="ffffff" w:fill="ffffff"/>
        <w:spacing w:after="210" w:before="210" w:line="276" w:lineRule="auto"/>
        <w:ind w:right="0" w:firstLine="0" w:left="0"/>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w:t>
      </w:r>
      <w:r>
        <w:rPr>
          <w:rFonts w:ascii="Times New Roman" w:hAnsi="Times New Roman" w:eastAsia="Times New Roman" w:cs="Times New Roman"/>
          <w:b w:val="0"/>
          <w:bCs w:val="0"/>
          <w:color w:val="000000" w:themeColor="text1"/>
          <w:sz w:val="24"/>
          <w:szCs w:val="24"/>
        </w:rPr>
        <w:t xml:space="preserve">,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w:t>
      </w:r>
      <w:r>
        <w:rPr>
          <w:rFonts w:ascii="Times New Roman" w:hAnsi="Times New Roman" w:eastAsia="Times New Roman" w:cs="Times New Roman"/>
          <w:b w:val="0"/>
          <w:bCs w:val="0"/>
          <w:color w:val="000000" w:themeColor="text1"/>
          <w:sz w:val="24"/>
          <w:szCs w:val="24"/>
        </w:rPr>
        <w:t xml:space="preserve"> trưởng bất động sản dài hạn.</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10" w:before="210" w:line="276" w:lineRule="auto"/>
        <w:ind w:right="0" w:firstLine="0" w:left="0"/>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n</w:t>
      </w:r>
      <w:r>
        <w:rPr>
          <w:rFonts w:ascii="Times New Roman" w:hAnsi="Times New Roman" w:eastAsia="Times New Roman" w:cs="Times New Roman"/>
          <w:b w:val="0"/>
          <w:bCs w:val="0"/>
          <w:color w:val="000000" w:themeColor="text1"/>
          <w:sz w:val="24"/>
          <w:szCs w:val="24"/>
        </w:rPr>
        <w:t xml:space="preserve">ổi lên như một cực phát triển mới. Ở phía Đông, hệ thống cầu vượt sông Hồng, cùng quy hoạch chỉnh trang đô thị ven sông, tiếp tục mở ra dư địa cho các dự án nhà ở và đô thị sinh thái.</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abs>
          <w:tab w:val="left" w:leader="none" w:pos="426"/>
        </w:tabs>
        <w:spacing w:after="120" w:before="120" w:line="276" w:lineRule="auto"/>
        <w:ind/>
        <w:rPr>
          <w:rFonts w:ascii="Times New Roman" w:hAnsi="Times New Roman" w:cs="Times New Roman"/>
          <w:b w:val="0"/>
          <w:bCs w:val="0"/>
          <w:color w:val="000000" w:themeColor="text1"/>
          <w:sz w:val="24"/>
          <w:szCs w:val="24"/>
          <w:highlight w:val="none"/>
        </w:rPr>
      </w:pPr>
      <w:r>
        <w:rPr>
          <w:rFonts w:ascii="Times New Roman" w:hAnsi="Times New Roman" w:eastAsia="Times New Roman" w:cs="Times New Roman"/>
          <w:b w:val="0"/>
          <w:bCs w:val="0"/>
          <w:color w:val="000000" w:themeColor="text1"/>
          <w:sz w:val="24"/>
          <w:szCs w:val="24"/>
          <w:highlight w:val="none"/>
          <w:lang w:val="pt-BR" w:bidi="pt-BR"/>
        </w:rPr>
      </w:r>
      <w:r>
        <w:rPr>
          <w:rFonts w:ascii="Times New Roman" w:hAnsi="Times New Roman" w:eastAsia="Times New Roman" w:cs="Times New Roman"/>
          <w:b w:val="0"/>
          <w:bCs w:val="0"/>
          <w:color w:val="000000" w:themeColor="text1"/>
          <w:sz w:val="24"/>
          <w:szCs w:val="24"/>
          <w:highlight w:val="white"/>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 </w:t>
      </w:r>
      <w:r>
        <w:rPr>
          <w:rFonts w:ascii="Times New Roman" w:hAnsi="Times New Roman" w:eastAsia="Times New Roman" w:cs="Times New Roman"/>
          <w:b w:val="0"/>
          <w:bCs w:val="0"/>
          <w:color w:val="000000" w:themeColor="text1"/>
          <w:sz w:val="24"/>
          <w:szCs w:val="24"/>
          <w:highlight w:val="white"/>
        </w:rPr>
        <w:t xml:space="preserve">quy hoạch rõ ràng, hạ tầng đồng bộ và nhu cầu ở thực ổn định.</w:t>
      </w:r>
      <w:r>
        <w:rPr>
          <w:rFonts w:ascii="Times New Roman" w:hAnsi="Times New Roman" w:eastAsia="Times New Roman" w:cs="Times New Roman"/>
          <w:b w:val="0"/>
          <w:bCs w:val="0"/>
          <w:color w:val="000000" w:themeColor="text1"/>
          <w:sz w:val="24"/>
          <w:szCs w:val="24"/>
          <w:highlight w:val="white"/>
        </w:rPr>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cá</w:t>
      </w:r>
      <w:r>
        <w:rPr>
          <w:rFonts w:ascii="Times New Roman" w:hAnsi="Times New Roman" w:eastAsia="Times New Roman" w:cs="Times New Roman"/>
          <w:b w:val="0"/>
          <w:bCs w:val="0"/>
          <w:color w:val="000000" w:themeColor="text1"/>
          <w:sz w:val="24"/>
          <w:szCs w:val="24"/>
          <w:highlight w:val="white"/>
        </w:rPr>
        <w:t xml:space="preserve">c phân khúc an toàn hơn, hạn chế rủi ro và có tiềm năng tăng trưởng dài hạn.</w:t>
      </w:r>
      <w:r>
        <w:rPr>
          <w:rFonts w:ascii="Times New Roman" w:hAnsi="Times New Roman" w:cs="Times New Roman"/>
          <w:b w:val="0"/>
          <w:bCs w:val="0"/>
          <w:color w:val="000000" w:themeColor="text1"/>
          <w:sz w:val="24"/>
          <w:szCs w:val="24"/>
          <w:highlight w:val="none"/>
        </w:rPr>
      </w:r>
      <w:r>
        <w:rPr>
          <w:rFonts w:ascii="Times New Roman" w:hAnsi="Times New Roman" w:cs="Times New Roman"/>
          <w:b w:val="0"/>
          <w:bCs w:val="0"/>
          <w:color w:val="000000" w:themeColor="text1"/>
          <w:sz w:val="24"/>
          <w:szCs w:val="24"/>
          <w:highlight w:val="none"/>
        </w:rPr>
      </w:r>
    </w:p>
    <w:p>
      <w:pPr>
        <w:pBdr/>
        <w:tabs>
          <w:tab w:val="left" w:leader="none" w:pos="426"/>
        </w:tabs>
        <w:spacing w:after="120" w:before="120" w:line="276" w:lineRule="auto"/>
        <w:ind/>
        <w:rPr>
          <w:rFonts w:ascii="Times New Roman" w:hAnsi="Times New Roman" w:cs="Times New Roman"/>
          <w:b w:val="0"/>
          <w:bCs/>
          <w:i/>
          <w:color w:val="000000" w:themeColor="text1"/>
          <w:sz w:val="24"/>
          <w:szCs w:val="24"/>
        </w:rPr>
      </w:pPr>
      <w:r>
        <w:rPr>
          <w:rFonts w:ascii="Times New Roman" w:hAnsi="Times New Roman" w:eastAsia="Times New Roman" w:cs="Times New Roman"/>
          <w:b w:val="0"/>
          <w:bCs w:val="0"/>
          <w:i/>
          <w:iCs/>
          <w:color w:val="000000" w:themeColor="text1"/>
          <w:sz w:val="24"/>
          <w:szCs w:val="24"/>
          <w:highlight w:val="none"/>
          <w:lang w:val="pt-BR" w:bidi="pt-BR"/>
        </w:rPr>
        <w:t xml:space="preserve">(nguồn tham khảo: </w:t>
      </w:r>
      <w:r>
        <w:rPr>
          <w:rFonts w:ascii="Times New Roman" w:hAnsi="Times New Roman" w:eastAsia="Times New Roman" w:cs="Times New Roman"/>
          <w:b w:val="0"/>
          <w:bCs w:val="0"/>
          <w:i/>
          <w:iCs/>
          <w:color w:val="000000" w:themeColor="text1"/>
          <w:sz w:val="24"/>
          <w:szCs w:val="24"/>
          <w:highlight w:val="none"/>
          <w:lang w:val="pt-BR" w:bidi="pt-BR"/>
        </w:rPr>
        <w:t xml:space="preserve">https://thanglong.chinhphu.vn/buc-tranh-thi-truong-bat-dong-san-ha-noi-nam-2026-ha-tang-dan-dat-thi-truong-buoc-vao-chu-ky-tang-truong-moi-103260101181315972.htm</w:t>
      </w:r>
      <w:r>
        <w:rPr>
          <w:rFonts w:ascii="Times New Roman" w:hAnsi="Times New Roman" w:eastAsia="Times New Roman" w:cs="Times New Roman"/>
          <w:b w:val="0"/>
          <w:bCs w:val="0"/>
          <w:i/>
          <w:iCs/>
          <w:color w:val="000000" w:themeColor="text1"/>
          <w:sz w:val="24"/>
          <w:szCs w:val="24"/>
          <w:highlight w:val="none"/>
          <w:lang w:val="pt-BR" w:bidi="pt-BR"/>
        </w:rPr>
        <w:t xml:space="preserve">)</w:t>
      </w:r>
      <w:r>
        <w:rPr>
          <w:rFonts w:ascii="Times New Roman" w:hAnsi="Times New Roman" w:cs="Times New Roman"/>
          <w:b w:val="0"/>
          <w:bCs/>
          <w:i/>
          <w:color w:val="000000" w:themeColor="text1"/>
          <w:sz w:val="24"/>
          <w:szCs w:val="24"/>
        </w:rPr>
      </w:r>
      <w:r>
        <w:rPr>
          <w:rFonts w:ascii="Times New Roman" w:hAnsi="Times New Roman" w:cs="Times New Roman"/>
          <w:b w:val="0"/>
          <w:bCs/>
          <w:i/>
          <w:color w:val="000000" w:themeColor="text1"/>
          <w:sz w:val="24"/>
          <w:szCs w:val="24"/>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448, tờ bản đồ số 4 có địa chỉ: Xã Dị Nậu, huyện Thạch Thất, Thành phố Hà Nội (Nay là xã Tây Phương, Thành p</w:t>
            </w:r>
            <w:r>
              <w:rPr>
                <w:b/>
                <w:bCs/>
                <w:color w:val="000000"/>
              </w:rPr>
              <w:t xml:space="preserve">hố Hà Nội) theo Giấy chứng nhận quyền sử dụng đất quyền sở hữu nhà ở và tài sản khác gắn liền với đất số: DD 257284, số vào sổ cấp GCN: CS-TTH 25081 do Sở Tài nguyên và Môi trường Thành phố Hà Nội cấp ngày 07/3/2022; Chủ sử dụng đất là Ông Nguyễn Huy Lượng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448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Dị Nậu, Huyện Thạch Thất,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228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Được tặng cho đất được Công nhận QSDĐ như giao đất có thu tiền sử dụng đất 171,0m²,Công nhận QSDĐ như giao đất có thu tiền sử dụng đất 57,0m2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none"/>
              </w:rPr>
            </w:pPr>
            <w:r>
              <w:rPr>
                <w:color w:val="000000"/>
              </w:rPr>
            </w:r>
            <w:r>
              <w:rPr>
                <w:color w:val="000000"/>
              </w:rPr>
              <w:t xml:space="preserve">Tại thời điểm thẩm định giá, theo thông tin quy hoạch trên phần mềm kiểm tra quy hoạch online </w:t>
            </w:r>
            <w:r>
              <w:rPr>
                <w:color w:val="000000"/>
              </w:rPr>
              <w:t xml:space="preserve">meeymap.com</w:t>
            </w:r>
            <w:r>
              <w:rPr>
                <w:color w:val="000000"/>
              </w:rPr>
              <w:t xml:space="preserve">. TSTĐ thuộc quy hoạch đất ở làng xóm.</w:t>
            </w:r>
            <w:r>
              <w:rPr>
                <w:color w:val="000000"/>
                <w:highlight w:val="none"/>
              </w:rPr>
            </w:r>
            <w:r>
              <w:rPr>
                <w:color w:val="000000"/>
                <w:highlight w:val="none"/>
              </w:rPr>
            </w:r>
          </w:p>
          <w:p>
            <w:pPr>
              <w:pBdr/>
              <w:spacing/>
              <w:ind/>
              <w:jc w:val="both"/>
              <w:rPr>
                <w:color w:val="000000"/>
              </w:rPr>
            </w:pPr>
            <w:r>
              <w:rPr>
                <w:color w:val="000000"/>
                <w:highlight w:val="none"/>
              </w:rPr>
            </w:r>
            <w:r>
              <mc:AlternateContent>
                <mc:Choice Requires="wpg">
                  <w:drawing>
                    <wp:inline xmlns:wp="http://schemas.openxmlformats.org/drawingml/2006/wordprocessingDrawing" distT="0" distB="0" distL="0" distR="0">
                      <wp:extent cx="3744251" cy="212244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135798" name=""/>
                              <pic:cNvPicPr>
                                <a:picLocks noChangeAspect="1"/>
                              </pic:cNvPicPr>
                              <pic:nvPr/>
                            </pic:nvPicPr>
                            <pic:blipFill rotWithShape="1">
                              <a:blip r:embed="rId17"/>
                              <a:stretch/>
                            </pic:blipFill>
                            <pic:spPr bwMode="auto">
                              <a:xfrm flipH="0" flipV="0">
                                <a:off x="0" y="0"/>
                                <a:ext cx="3744251" cy="21224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4.82pt;height:167.12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Tài sản tiếp giáp đường Bờ Đa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đường trước sau</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8</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trục chính Dị Nậu khoảng 500m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Đông Bắc: Tiếp giáp với đường nhựa rộng khoảng 8m</w:t>
            </w:r>
            <w:r>
              <w:rPr>
                <w:highlight w:val="none"/>
              </w:rPr>
            </w:r>
            <w:r>
              <w:rPr>
                <w:highlight w:val="none"/>
              </w:rPr>
            </w:r>
          </w:p>
          <w:p>
            <w:pPr>
              <w:pBdr/>
              <w:spacing/>
              <w:ind/>
              <w:rPr>
                <w:highlight w:val="none"/>
              </w:rPr>
            </w:pPr>
            <w:r>
              <w:rPr>
                <w:highlight w:val="none"/>
              </w:rPr>
              <w:t xml:space="preserve">Hướng Tây Nam: Tiếp giáp với đường rộng khoảng 1,9m</w:t>
            </w:r>
            <w:r>
              <w:rPr>
                <w:highlight w:val="none"/>
              </w:rPr>
            </w:r>
            <w:r>
              <w:rPr>
                <w:highlight w:val="none"/>
              </w:rPr>
            </w:r>
          </w:p>
          <w:p>
            <w:pPr>
              <w:pBdr/>
              <w:spacing/>
              <w:ind/>
              <w:rPr>
                <w:color w:val="000000" w:themeColor="text1"/>
              </w:rPr>
            </w:pPr>
            <w:r>
              <w:rPr>
                <w:highlight w:val="none"/>
              </w:rPr>
              <w:t xml:space="preserve">Các hướng còn lại: Tiếp giáp với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21.054055555556</w:t>
            </w:r>
            <w:r>
              <w:rPr>
                <w:color w:val="000000"/>
              </w:rPr>
              <w:t xml:space="preserve">, </w:t>
            </w:r>
            <w:r>
              <w:rPr>
                <w:color w:val="000000"/>
              </w:rPr>
              <w:t xml:space="preserve">105.62597222222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w:r>
            <w:r>
              <w:rPr>
                <w:color w:val="000000"/>
              </w:rPr>
              <mc:AlternateContent>
                <mc:Choice Requires="wpg">
                  <w:drawing>
                    <wp:inline xmlns:wp="http://schemas.openxmlformats.org/drawingml/2006/wordprocessingDrawing" distT="0" distB="0" distL="0" distR="0">
                      <wp:extent cx="4791312" cy="2236726"/>
                      <wp:effectExtent l="0" t="0" r="0" b="0"/>
                      <wp:docPr id="6" name=""/>
                      <wp:cNvGraphicFramePr/>
                      <a:graphic xmlns:a="http://schemas.openxmlformats.org/drawingml/2006/main">
                        <a:graphicData uri="http://schemas.openxmlformats.org/drawingml/2006/picture">
                          <pic:pic xmlns:pic="http://schemas.openxmlformats.org/drawingml/2006/picture">
                            <pic:nvPicPr>
                              <pic:cNvPr id="927862549" name="" descr=""/>
                              <pic:cNvPicPr/>
                              <pic:nvPr/>
                            </pic:nvPicPr>
                            <pic:blipFill rotWithShape="1">
                              <a:blip r:embed="rId18"/>
                              <a:stretch/>
                            </pic:blipFill>
                            <pic:spPr bwMode="auto">
                              <a:xfrm flipH="0" flipV="0">
                                <a:off x="0" y="0"/>
                                <a:ext cx="4791311" cy="223672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77.27pt;height:176.12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228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23,13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thời điểm khảo sát, CTXD là nhà 2 tầng, xây dựng đã lâu, diện tích sàn khoảng 70m2, phần còn lại là khung sắt lợp tôn xây dựng năm 2024. </w:t>
            </w:r>
            <w:r>
              <w:rPr>
                <w:color w:val="000000"/>
              </w:rPr>
              <w:t xml:space="preserve">C</w:t>
            </w:r>
            <w:r>
              <w:rPr>
                <w:color w:val="000000"/>
              </w:rPr>
              <w:t xml:space="preserve">ông trình chưa được chứng nhận trên Giấy chứng nhận quyền sử dụng đất quyền sở hữu nhà ở và tài sản khác gắn liền với đất số: DD 257284. Do vậy, theo đề nghị của Ngân hàng/Khách hàng, Tổ thẩm định không xác định giá trị của công trình xây dựng vào tổng giá</w:t>
            </w:r>
            <w:r>
              <w:rPr>
                <w:color w:val="000000"/>
              </w:rPr>
              <w:t xml:space="preserve"> trị, nhưng vẫn coi đó là phần không thể tách rời của tài sản thẩm định. Kính đề nghị đơn vị sử dụng kết quả lưu ý.</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color w:val="000000"/>
        </w:rPr>
        <w:t xml:space="preserve">Tại thời điểm khảo sát, CTXD là nhà 2 tầng, xây dựng đã lâu, diện tích sàn khoảng 70m2, phần còn lại là khung sắt lợp tôn xây dựng năm 2024. </w:t>
      </w:r>
      <w:r>
        <w:rPr>
          <w:color w:val="000000"/>
        </w:rPr>
        <w:t xml:space="preserve">C</w:t>
      </w:r>
      <w:r>
        <w:rPr>
          <w:color w:val="000000"/>
        </w:rPr>
        <w:t xml:space="preserve">ông trình chưa được chứng nhận trên Giấy chứng nhận quyền sử dụng đất quyền sở hữu nhà ở và tài sản khác gắn liền với đất số: DD 257284. Do vậy, theo đề nghị của Ngân hàng/Khách hàng, Tổ thẩm định không xác định giá trị của công trình xây dựng vào tổng giá</w:t>
      </w:r>
      <w:r>
        <w:rPr>
          <w:color w:val="000000"/>
        </w:rPr>
        <w:t xml:space="preserve"> trị, nhưng vẫn coi đó là phần không thể tách rời của tài sản thẩm định. Kính đề nghị đơn vị sử dụng kết quả lưu ý</w:t>
      </w:r>
      <w:r>
        <w:rPr>
          <w:spacing w:val="-2"/>
          <w:highlight w:val="none"/>
          <w:lang w:val="pt-BR" w:bidi="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7"/>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Dị Nậu, Huyện Thạch Thất, Thành phố Hà Nội (Nay là xã Tây Phương,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Dị Nậu, Huyện Thạch Thất, Thành phố Hà Nội (Nay là xã Tây Phương,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Dị Nậu, Huyện Thạch Thất, Thành phố Hà Nội (Nay là xã Tây Phương,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Dị Nậu, Huyện Thạch Thất, Thành phố Hà Nội (Nay là xã Tây Phương, Thành phố Hà Nội)</w:t>
            </w:r>
            <w:r>
              <w:rPr>
                <w:sz w:val="22"/>
                <w:szCs w:val="22"/>
              </w:rPr>
            </w:r>
            <w:r/>
          </w:p>
        </w:tc>
      </w:tr>
      <w:tr>
        <w:trPr>
          <w:trHeight w:val="47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0966704868</w:t>
            </w:r>
            <w:r>
              <w:rPr>
                <w:sz w:val="22"/>
                <w:szCs w:val="22"/>
              </w:rPr>
              <w:t xml:space="preserve"> </w:t>
            </w:r>
            <w:r>
              <w:rPr>
                <w:sz w:val="22"/>
                <w:szCs w:val="22"/>
              </w:rPr>
              <w:br/>
              <w:t xml:space="preserve">(</w:t>
            </w:r>
            <w:r>
              <w:rPr>
                <w:sz w:val="22"/>
                <w:szCs w:val="22"/>
              </w:rPr>
              <w:t xml:space="preserve">chị Xuyến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0966704868</w:t>
            </w:r>
            <w:r>
              <w:rPr>
                <w:sz w:val="22"/>
                <w:szCs w:val="22"/>
              </w:rPr>
              <w:br/>
            </w:r>
            <w:r>
              <w:rPr>
                <w:sz w:val="22"/>
                <w:szCs w:val="22"/>
              </w:rPr>
              <w:t xml:space="preserve">(</w:t>
            </w:r>
            <w:r>
              <w:rPr>
                <w:sz w:val="22"/>
                <w:szCs w:val="22"/>
              </w:rPr>
              <w:t xml:space="preserve">chị Xuyến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0972545940</w:t>
            </w:r>
            <w:r>
              <w:rPr>
                <w:sz w:val="22"/>
                <w:szCs w:val="22"/>
              </w:rPr>
              <w:br/>
            </w:r>
            <w:r>
              <w:rPr>
                <w:sz w:val="22"/>
                <w:szCs w:val="22"/>
              </w:rPr>
              <w:t xml:space="preserve">(</w:t>
            </w:r>
            <w:r>
              <w:rPr>
                <w:sz w:val="22"/>
                <w:szCs w:val="22"/>
              </w:rPr>
              <w:t xml:space="preserve">chị Hương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Dị Nậu, Huyện Thạch Thất, Thành phố Hà Nội (Nay là xã Tây Phương,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Dị Nậu, Huyện Thạch Thất, Thành phố Hà Nội (Nay là xã Tây Phương,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Dị Nậu, Huyện Thạch Thất, Thành phố Hà Nội (Nay là xã Tây Phương,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Dị Nậu, Huyện Thạch Thất, Thành phố Hà Nội (Nay là xã Tây Phương, Thành phố Hà Nội)</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19,93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1 tầng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10.560.000.000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13.502.000.000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8.976.000.000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11.476.700.000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636.636.672</w:t>
            </w:r>
            <w:r>
              <w:rPr>
                <w:color w:val="000000" w:themeColor="text1"/>
                <w:sz w:val="22"/>
                <w:szCs w:val="22"/>
                <w14:ligatures w14:val="none"/>
              </w:rPr>
            </w:r>
            <w:r>
              <w:rPr>
                <w:color w:val="000000" w:themeColor="text1"/>
                <w:sz w:val="22"/>
                <w:szCs w:val="22"/>
                <w14:ligatures w14:val="non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4.935.168</w:t>
            </w:r>
            <w:r>
              <w:rPr>
                <w:color w:val="000000" w:themeColor="text1"/>
                <w:sz w:val="22"/>
                <w:szCs w:val="22"/>
                <w14:ligatures w14:val="none"/>
              </w:rPr>
            </w:r>
            <w:r>
              <w:rPr>
                <w:color w:val="000000" w:themeColor="text1"/>
                <w:sz w:val="22"/>
                <w:szCs w:val="22"/>
                <w14:ligatures w14:val="non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75%</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8.976.000.000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11.476.700.000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74.800.000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63.023.624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31"/>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31"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7.480.000.000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8.976.000.000</w:t>
            </w:r>
            <w:r>
              <w:rPr>
                <w:color w:val="000000"/>
                <w:sz w:val="20"/>
                <w:szCs w:val="20"/>
              </w:rPr>
            </w:r>
            <w:r>
              <w:rPr>
                <w:color w:val="000000"/>
                <w:sz w:val="20"/>
                <w:szCs w:val="20"/>
              </w:rPr>
            </w:r>
          </w:p>
        </w:tc>
        <w:tc>
          <w:tcPr>
            <w:shd w:val="clear" w:color="000000" w:fill="ffffff"/>
            <w:tcBorders/>
            <w:tcW w:w="1531" w:type="dxa"/>
            <w:vAlign w:val="center"/>
            <w:textDirection w:val="lrTb"/>
            <w:noWrap w:val="false"/>
          </w:tcPr>
          <w:p>
            <w:pPr>
              <w:pBdr/>
              <w:spacing/>
              <w:ind w:right="0" w:firstLine="0" w:left="-142"/>
              <w:jc w:val="center"/>
              <w:rPr>
                <w:color w:val="000000"/>
                <w:sz w:val="20"/>
                <w:szCs w:val="20"/>
              </w:rPr>
            </w:pPr>
            <w:r>
              <w:rPr>
                <w:color w:val="000000" w:themeColor="text1"/>
                <w:sz w:val="22"/>
                <w:szCs w:val="22"/>
              </w:rPr>
              <w:t xml:space="preserve">10.840.063.328</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68.000.000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74.800.000</w:t>
            </w:r>
            <w:r>
              <w:rPr>
                <w:color w:val="000000"/>
                <w:sz w:val="22"/>
                <w:szCs w:val="22"/>
              </w:rPr>
            </w:r>
            <w:r>
              <w:rPr>
                <w:color w:val="000000"/>
                <w:sz w:val="22"/>
                <w:szCs w:val="22"/>
              </w:rPr>
            </w:r>
          </w:p>
        </w:tc>
        <w:tc>
          <w:tcPr>
            <w:shd w:val="clear" w:color="000000" w:fill="ffffff"/>
            <w:tcBorders/>
            <w:tcW w:w="1531" w:type="dxa"/>
            <w:vAlign w:val="center"/>
            <w:textDirection w:val="lrTb"/>
            <w:noWrap w:val="false"/>
          </w:tcPr>
          <w:p>
            <w:pPr>
              <w:pBdr/>
              <w:spacing/>
              <w:ind/>
              <w:jc w:val="center"/>
              <w:rPr>
                <w:color w:val="000000"/>
                <w:sz w:val="22"/>
                <w:szCs w:val="22"/>
              </w:rPr>
            </w:pPr>
            <w:r>
              <w:rPr>
                <w:color w:val="000000" w:themeColor="text1"/>
                <w:sz w:val="22"/>
                <w:szCs w:val="22"/>
              </w:rPr>
              <w:t xml:space="preserve">63.023.624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31"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p>
        </w:tc>
        <w:tc>
          <w:tcPr>
            <w:shd w:val="clear" w:color="000000" w:fill="ffffff"/>
            <w:tcBorders/>
            <w:tcW w:w="1531"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3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3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74.800.000</w:t>
            </w:r>
            <w:r>
              <w:rPr>
                <w:color w:val="000000"/>
                <w:sz w:val="22"/>
                <w:szCs w:val="22"/>
              </w:rPr>
            </w:r>
            <w:r>
              <w:rPr>
                <w:color w:val="000000"/>
                <w:sz w:val="22"/>
                <w:szCs w:val="22"/>
              </w:rPr>
            </w:r>
          </w:p>
        </w:tc>
        <w:tc>
          <w:tcPr>
            <w:shd w:val="clear" w:color="000000" w:fill="ffffff"/>
            <w:tcBorders/>
            <w:tcW w:w="1531" w:type="dxa"/>
            <w:vAlign w:val="center"/>
            <w:textDirection w:val="lrTb"/>
            <w:noWrap/>
          </w:tcPr>
          <w:p>
            <w:pPr>
              <w:pBdr/>
              <w:spacing/>
              <w:ind/>
              <w:jc w:val="center"/>
              <w:rPr>
                <w:color w:val="000000"/>
                <w:sz w:val="22"/>
                <w:szCs w:val="22"/>
              </w:rPr>
            </w:pPr>
            <w:r>
              <w:rPr>
                <w:color w:val="000000" w:themeColor="text1"/>
                <w:sz w:val="22"/>
                <w:szCs w:val="22"/>
              </w:rPr>
              <w:t xml:space="preserve">63.023.624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tại nông thôn</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tại nông thôn</w:t>
            </w:r>
            <w:r>
              <w:rPr>
                <w:b/>
                <w:bCs/>
                <w:color w:val="000000"/>
                <w:sz w:val="22"/>
                <w:szCs w:val="22"/>
              </w:rPr>
            </w:r>
            <w:r/>
          </w:p>
        </w:tc>
        <w:tc>
          <w:tcPr>
            <w:shd w:val="clear" w:color="000000" w:fill="ffffff"/>
            <w:tcBorders/>
            <w:tcW w:w="1531" w:type="dxa"/>
            <w:vAlign w:val="center"/>
            <w:textDirection w:val="lrTb"/>
            <w:noWrap w:val="false"/>
          </w:tcPr>
          <w:p>
            <w:pPr>
              <w:pBdr/>
              <w:spacing/>
              <w:ind/>
              <w:jc w:val="center"/>
              <w:rPr/>
            </w:pPr>
            <w:r>
              <w:rPr>
                <w:color w:val="000000" w:themeColor="text1"/>
                <w:sz w:val="22"/>
                <w:szCs w:val="22"/>
              </w:rPr>
              <w:t xml:space="preserve">Đất ở tại nông thôn</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3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3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74.800.000</w:t>
            </w:r>
            <w:r>
              <w:rPr>
                <w:color w:val="000000"/>
                <w:sz w:val="22"/>
                <w:szCs w:val="22"/>
              </w:rPr>
            </w:r>
            <w:r>
              <w:rPr>
                <w:color w:val="000000"/>
                <w:sz w:val="22"/>
                <w:szCs w:val="22"/>
              </w:rPr>
            </w:r>
          </w:p>
        </w:tc>
        <w:tc>
          <w:tcPr>
            <w:shd w:val="clear" w:color="000000" w:fill="ffffff"/>
            <w:tcBorders/>
            <w:tcW w:w="1531" w:type="dxa"/>
            <w:vAlign w:val="center"/>
            <w:textDirection w:val="lrTb"/>
            <w:noWrap/>
          </w:tcPr>
          <w:p>
            <w:pPr>
              <w:pBdr/>
              <w:spacing/>
              <w:ind/>
              <w:jc w:val="center"/>
              <w:rPr>
                <w:color w:val="000000"/>
                <w:sz w:val="22"/>
                <w:szCs w:val="22"/>
              </w:rPr>
            </w:pPr>
            <w:r>
              <w:rPr>
                <w:color w:val="000000" w:themeColor="text1"/>
                <w:sz w:val="22"/>
                <w:szCs w:val="22"/>
              </w:rPr>
              <w:t xml:space="preserve">63.023.624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 Lâu dài</w:t>
            </w:r>
            <w:r>
              <w:rPr>
                <w:b/>
                <w:bCs/>
                <w:color w:val="000000"/>
                <w:sz w:val="22"/>
                <w:szCs w:val="22"/>
              </w:rPr>
            </w:r>
            <w:r/>
          </w:p>
        </w:tc>
        <w:tc>
          <w:tcPr>
            <w:shd w:val="clear" w:color="000000" w:fill="ffffff"/>
            <w:tcBorders/>
            <w:tcW w:w="1531" w:type="dxa"/>
            <w:vAlign w:val="center"/>
            <w:textDirection w:val="lrTb"/>
            <w:noWrap w:val="false"/>
          </w:tcPr>
          <w:p>
            <w:pPr>
              <w:pBdr/>
              <w:spacing/>
              <w:ind/>
              <w:jc w:val="center"/>
              <w:rPr/>
            </w:pPr>
            <w:r>
              <w:rPr>
                <w:color w:val="000000" w:themeColor="text1"/>
                <w:sz w:val="22"/>
                <w:szCs w:val="22"/>
              </w:rPr>
              <w:t xml:space="preserve"> 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3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3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74.800.000</w:t>
            </w:r>
            <w:r>
              <w:rPr>
                <w:color w:val="000000"/>
                <w:sz w:val="22"/>
                <w:szCs w:val="22"/>
              </w:rPr>
            </w:r>
            <w:r>
              <w:rPr>
                <w:color w:val="000000"/>
                <w:sz w:val="22"/>
                <w:szCs w:val="22"/>
              </w:rPr>
            </w:r>
          </w:p>
        </w:tc>
        <w:tc>
          <w:tcPr>
            <w:shd w:val="clear" w:color="000000" w:fill="ffffff"/>
            <w:tcBorders/>
            <w:tcW w:w="1531" w:type="dxa"/>
            <w:vAlign w:val="center"/>
            <w:textDirection w:val="lrTb"/>
            <w:noWrap/>
          </w:tcPr>
          <w:p>
            <w:pPr>
              <w:pBdr/>
              <w:spacing/>
              <w:ind/>
              <w:jc w:val="center"/>
              <w:rPr>
                <w:color w:val="000000"/>
                <w:sz w:val="22"/>
                <w:szCs w:val="22"/>
              </w:rPr>
            </w:pPr>
            <w:r>
              <w:rPr>
                <w:color w:val="000000" w:themeColor="text1"/>
                <w:sz w:val="22"/>
                <w:szCs w:val="22"/>
              </w:rPr>
              <w:t xml:space="preserve">63.023.624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Dị Nậu, Huyện Thạch Thất, Thành phố Hà Nội (Nay là xã Tây Phương, Thành phố Hà Nội)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Dị Nậu, Huyện Thạch Thất, Thành phố Hà Nội (Nay là xã Tây Phương, Thành phố Hà Nội)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Dị Nậu, Huyện Thạch Thất, Thành phố Hà Nội (Nay là xã Tây Phương, Thành phố Hà Nội)</w:t>
            </w:r>
            <w:r>
              <w:rPr>
                <w:sz w:val="22"/>
                <w:szCs w:val="22"/>
              </w:rPr>
            </w:r>
            <w:r>
              <w:rPr>
                <w:sz w:val="22"/>
                <w:szCs w:val="22"/>
              </w:rPr>
            </w:r>
          </w:p>
        </w:tc>
        <w:tc>
          <w:tcPr>
            <w:shd w:val="clear" w:color="000000" w:fill="ffffff"/>
            <w:tcBorders/>
            <w:tcW w:w="1531"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Dị Nậu, Huyện Thạch Thất, Thành phố Hà Nội (Nay là xã Tây Phương, Thành phố Hà Nội)</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3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3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74.800.000</w:t>
            </w:r>
            <w:r>
              <w:rPr>
                <w:color w:val="000000"/>
                <w:sz w:val="22"/>
                <w:szCs w:val="22"/>
              </w:rPr>
            </w:r>
            <w:r>
              <w:rPr>
                <w:color w:val="000000"/>
                <w:sz w:val="22"/>
                <w:szCs w:val="22"/>
              </w:rPr>
            </w:r>
          </w:p>
        </w:tc>
        <w:tc>
          <w:tcPr>
            <w:shd w:val="clear" w:color="000000" w:fill="ffffff"/>
            <w:tcBorders/>
            <w:tcW w:w="1531" w:type="dxa"/>
            <w:vAlign w:val="center"/>
            <w:textDirection w:val="lrTb"/>
            <w:noWrap/>
          </w:tcPr>
          <w:p>
            <w:pPr>
              <w:pBdr/>
              <w:spacing/>
              <w:ind/>
              <w:jc w:val="center"/>
              <w:rPr>
                <w:color w:val="000000"/>
                <w:sz w:val="22"/>
                <w:szCs w:val="22"/>
              </w:rPr>
            </w:pPr>
            <w:r>
              <w:rPr>
                <w:color w:val="000000" w:themeColor="text1"/>
                <w:sz w:val="22"/>
                <w:szCs w:val="22"/>
              </w:rPr>
              <w:t xml:space="preserve">63.023.624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31"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3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3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74.800.000</w:t>
            </w:r>
            <w:r>
              <w:rPr>
                <w:color w:val="000000"/>
                <w:sz w:val="22"/>
                <w:szCs w:val="22"/>
              </w:rPr>
            </w:r>
            <w:r>
              <w:rPr>
                <w:color w:val="000000"/>
                <w:sz w:val="22"/>
                <w:szCs w:val="22"/>
              </w:rPr>
            </w:r>
          </w:p>
        </w:tc>
        <w:tc>
          <w:tcPr>
            <w:shd w:val="clear" w:color="000000" w:fill="ffffff"/>
            <w:tcBorders/>
            <w:tcW w:w="1531" w:type="dxa"/>
            <w:vAlign w:val="center"/>
            <w:textDirection w:val="lrTb"/>
            <w:noWrap/>
          </w:tcPr>
          <w:p>
            <w:pPr>
              <w:pBdr/>
              <w:spacing/>
              <w:ind/>
              <w:jc w:val="center"/>
              <w:rPr>
                <w:color w:val="000000"/>
                <w:sz w:val="22"/>
                <w:szCs w:val="22"/>
              </w:rPr>
            </w:pPr>
            <w:r>
              <w:rPr>
                <w:color w:val="000000" w:themeColor="text1"/>
                <w:sz w:val="22"/>
                <w:szCs w:val="22"/>
              </w:rPr>
              <w:t xml:space="preserve">63.023.624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31"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3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3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74.800.000</w:t>
            </w:r>
            <w:r>
              <w:rPr>
                <w:color w:val="000000"/>
                <w:sz w:val="22"/>
                <w:szCs w:val="22"/>
              </w:rPr>
            </w:r>
            <w:r>
              <w:rPr>
                <w:color w:val="000000"/>
                <w:sz w:val="22"/>
                <w:szCs w:val="22"/>
              </w:rPr>
            </w:r>
          </w:p>
        </w:tc>
        <w:tc>
          <w:tcPr>
            <w:shd w:val="clear" w:color="000000" w:fill="ffffff"/>
            <w:tcBorders/>
            <w:tcW w:w="1531" w:type="dxa"/>
            <w:vAlign w:val="center"/>
            <w:textDirection w:val="lrTb"/>
            <w:noWrap/>
          </w:tcPr>
          <w:p>
            <w:pPr>
              <w:pBdr/>
              <w:spacing/>
              <w:ind/>
              <w:jc w:val="center"/>
              <w:rPr>
                <w:color w:val="000000"/>
                <w:sz w:val="22"/>
                <w:szCs w:val="22"/>
              </w:rPr>
            </w:pPr>
            <w:r>
              <w:rPr>
                <w:color w:val="000000" w:themeColor="text1"/>
                <w:sz w:val="22"/>
                <w:szCs w:val="22"/>
              </w:rPr>
              <w:t xml:space="preserve">63.023.624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w:t>
            </w:r>
            <w:r>
              <w:rPr>
                <w:b/>
                <w:bCs/>
                <w:color w:val="000000"/>
                <w:sz w:val="22"/>
                <w:szCs w:val="22"/>
              </w:rPr>
            </w:r>
            <w:r>
              <w:rPr>
                <w:b/>
                <w:bCs/>
                <w:color w:val="000000"/>
                <w:sz w:val="22"/>
                <w:szCs w:val="22"/>
              </w:rPr>
            </w:r>
          </w:p>
        </w:tc>
        <w:tc>
          <w:tcPr>
            <w:shd w:val="clear" w:color="000000" w:fill="ffffff"/>
            <w:tcBorders/>
            <w:tcW w:w="1531" w:type="dxa"/>
            <w:vAlign w:val="center"/>
            <w:textDirection w:val="lrTb"/>
            <w:noWrap w:val="false"/>
          </w:tcPr>
          <w:p>
            <w:pPr>
              <w:pBdr/>
              <w:spacing/>
              <w:ind/>
              <w:jc w:val="center"/>
              <w:rPr>
                <w:b/>
                <w:bCs/>
                <w:color w:val="000000"/>
                <w:sz w:val="22"/>
                <w:szCs w:val="22"/>
              </w:rPr>
            </w:pPr>
            <w:r>
              <w:rPr>
                <w:color w:val="000000" w:themeColor="text1"/>
                <w:sz w:val="22"/>
                <w:szCs w:val="22"/>
              </w:rPr>
              <w:t xml:space="preserve">172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31"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-14.960.000</w:t>
            </w:r>
            <w:r>
              <w:rPr>
                <w:color w:val="000000"/>
                <w:sz w:val="22"/>
                <w:szCs w:val="22"/>
              </w:rPr>
            </w:r>
            <w:r>
              <w:rPr>
                <w:color w:val="000000"/>
                <w:sz w:val="22"/>
                <w:szCs w:val="22"/>
              </w:rPr>
            </w:r>
          </w:p>
        </w:tc>
        <w:tc>
          <w:tcPr>
            <w:shd w:val="clear" w:color="000000" w:fill="ffffff"/>
            <w:tcBorders/>
            <w:tcW w:w="1531" w:type="dxa"/>
            <w:vAlign w:val="center"/>
            <w:textDirection w:val="lrTb"/>
            <w:noWrap/>
          </w:tcPr>
          <w:p>
            <w:pPr>
              <w:pBdr/>
              <w:spacing/>
              <w:ind/>
              <w:jc w:val="center"/>
              <w:rPr>
                <w:color w:val="000000"/>
                <w:sz w:val="22"/>
                <w:szCs w:val="22"/>
              </w:rPr>
            </w:pPr>
            <w:r>
              <w:rPr>
                <w:color w:val="000000" w:themeColor="text1"/>
                <w:sz w:val="22"/>
                <w:szCs w:val="22"/>
              </w:rPr>
              <w:t xml:space="preserve">-6.302.362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59.840.000</w:t>
            </w:r>
            <w:r>
              <w:rPr>
                <w:color w:val="000000"/>
                <w:sz w:val="22"/>
                <w:szCs w:val="22"/>
              </w:rPr>
            </w:r>
            <w:r>
              <w:rPr>
                <w:color w:val="000000"/>
                <w:sz w:val="22"/>
                <w:szCs w:val="22"/>
              </w:rPr>
            </w:r>
          </w:p>
        </w:tc>
        <w:tc>
          <w:tcPr>
            <w:shd w:val="clear" w:color="000000" w:fill="ffffff"/>
            <w:tcBorders/>
            <w:tcW w:w="1531" w:type="dxa"/>
            <w:vAlign w:val="center"/>
            <w:textDirection w:val="lrTb"/>
            <w:noWrap/>
          </w:tcPr>
          <w:p>
            <w:pPr>
              <w:pBdr/>
              <w:spacing/>
              <w:ind/>
              <w:jc w:val="center"/>
              <w:rPr>
                <w:color w:val="000000"/>
                <w:sz w:val="22"/>
                <w:szCs w:val="22"/>
              </w:rPr>
            </w:pPr>
            <w:r>
              <w:rPr>
                <w:color w:val="000000" w:themeColor="text1"/>
                <w:sz w:val="22"/>
                <w:szCs w:val="22"/>
              </w:rPr>
              <w:t xml:space="preserve">56.721.262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6,02</w:t>
            </w:r>
            <w:r>
              <w:rPr>
                <w:b/>
                <w:bCs/>
                <w:color w:val="000000"/>
                <w:sz w:val="22"/>
                <w:szCs w:val="22"/>
              </w:rPr>
            </w:r>
            <w:r>
              <w:rPr>
                <w:b/>
                <w:bCs/>
                <w:color w:val="000000"/>
                <w:sz w:val="22"/>
                <w:szCs w:val="22"/>
              </w:rPr>
            </w:r>
          </w:p>
        </w:tc>
        <w:tc>
          <w:tcPr>
            <w:shd w:val="clear" w:color="000000" w:fill="ffffff"/>
            <w:tcBorders/>
            <w:tcW w:w="1531" w:type="dxa"/>
            <w:vAlign w:val="center"/>
            <w:textDirection w:val="lrTb"/>
            <w:noWrap w:val="false"/>
          </w:tcPr>
          <w:p>
            <w:pPr>
              <w:pBdr/>
              <w:spacing/>
              <w:ind/>
              <w:jc w:val="center"/>
              <w:rPr>
                <w:b/>
                <w:bCs/>
                <w:color w:val="000000"/>
                <w:sz w:val="22"/>
                <w:szCs w:val="22"/>
              </w:rPr>
            </w:pPr>
            <w:r>
              <w:rPr>
                <w:color w:val="000000" w:themeColor="text1"/>
                <w:sz w:val="22"/>
                <w:szCs w:val="22"/>
              </w:rPr>
              <w:t xml:space="preserve">14,1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31"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2.992.000</w:t>
            </w:r>
            <w:r>
              <w:rPr>
                <w:color w:val="000000"/>
                <w:sz w:val="22"/>
                <w:szCs w:val="22"/>
              </w:rPr>
            </w:r>
            <w:r>
              <w:rPr>
                <w:color w:val="000000"/>
                <w:sz w:val="22"/>
                <w:szCs w:val="22"/>
              </w:rPr>
            </w:r>
          </w:p>
        </w:tc>
        <w:tc>
          <w:tcPr>
            <w:shd w:val="clear" w:color="000000" w:fill="ffffff"/>
            <w:tcBorders/>
            <w:tcW w:w="1531" w:type="dxa"/>
            <w:vAlign w:val="center"/>
            <w:textDirection w:val="lrTb"/>
            <w:noWrap/>
          </w:tcPr>
          <w:p>
            <w:pPr>
              <w:pBdr/>
              <w:spacing/>
              <w:ind/>
              <w:jc w:val="center"/>
              <w:rPr>
                <w:color w:val="000000"/>
                <w:sz w:val="22"/>
                <w:szCs w:val="22"/>
              </w:rPr>
            </w:pPr>
            <w:r>
              <w:rPr>
                <w:color w:val="000000" w:themeColor="text1"/>
                <w:sz w:val="22"/>
                <w:szCs w:val="22"/>
              </w:rPr>
              <w:t xml:space="preserve">-3.151.181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62.832.000</w:t>
            </w:r>
            <w:r>
              <w:rPr>
                <w:color w:val="000000"/>
                <w:sz w:val="22"/>
                <w:szCs w:val="22"/>
              </w:rPr>
            </w:r>
            <w:r>
              <w:rPr>
                <w:color w:val="000000"/>
                <w:sz w:val="22"/>
                <w:szCs w:val="22"/>
              </w:rPr>
            </w:r>
          </w:p>
        </w:tc>
        <w:tc>
          <w:tcPr>
            <w:shd w:val="clear" w:color="000000" w:fill="ffffff"/>
            <w:tcBorders/>
            <w:tcW w:w="1531" w:type="dxa"/>
            <w:vAlign w:val="center"/>
            <w:textDirection w:val="lrTb"/>
            <w:noWrap/>
          </w:tcPr>
          <w:p>
            <w:pPr>
              <w:pBdr/>
              <w:spacing/>
              <w:ind/>
              <w:jc w:val="center"/>
              <w:rPr>
                <w:color w:val="000000"/>
                <w:sz w:val="22"/>
                <w:szCs w:val="22"/>
              </w:rPr>
            </w:pPr>
            <w:r>
              <w:rPr>
                <w:color w:val="000000" w:themeColor="text1"/>
                <w:sz w:val="22"/>
                <w:szCs w:val="22"/>
              </w:rPr>
              <w:t xml:space="preserve">53.570.081</w:t>
            </w:r>
            <w:r>
              <w:rPr>
                <w:color w:val="000000"/>
                <w:sz w:val="22"/>
                <w:szCs w:val="22"/>
              </w:rPr>
            </w:r>
            <w:r>
              <w:rPr>
                <w:color w:val="000000"/>
                <w:sz w:val="22"/>
                <w:szCs w:val="22"/>
              </w:rPr>
            </w:r>
          </w:p>
        </w:tc>
      </w:tr>
      <w:tr>
        <w:trPr>
          <w:trHeight w:val="255"/>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19,93</w:t>
            </w:r>
            <w:r>
              <w:rPr>
                <w:b/>
                <w:bCs/>
                <w:color w:val="000000"/>
                <w:sz w:val="22"/>
                <w:szCs w:val="22"/>
              </w:rPr>
            </w:r>
            <w:r>
              <w:rPr>
                <w:b/>
                <w:bCs/>
                <w:color w:val="000000"/>
                <w:sz w:val="22"/>
                <w:szCs w:val="22"/>
              </w:rPr>
            </w:r>
          </w:p>
        </w:tc>
        <w:tc>
          <w:tcPr>
            <w:shd w:val="clear" w:color="000000" w:fill="ffffff"/>
            <w:tcBorders/>
            <w:tcW w:w="1531" w:type="dxa"/>
            <w:vAlign w:val="center"/>
            <w:textDirection w:val="lrTb"/>
            <w:noWrap w:val="false"/>
          </w:tcPr>
          <w:p>
            <w:pPr>
              <w:pBdr/>
              <w:spacing/>
              <w:ind/>
              <w:jc w:val="center"/>
              <w:rPr>
                <w:b/>
                <w:bCs/>
                <w:color w:val="000000"/>
                <w:sz w:val="22"/>
                <w:szCs w:val="22"/>
              </w:rPr>
            </w:pPr>
            <w:r>
              <w:rPr>
                <w:color w:val="000000" w:themeColor="text1"/>
                <w:sz w:val="22"/>
                <w:szCs w:val="22"/>
              </w:rPr>
              <w:t xml:space="preserve">12,2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31"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31" w:type="dxa"/>
            <w:vAlign w:val="center"/>
            <w:textDirection w:val="lrTb"/>
            <w:noWrap/>
          </w:tcPr>
          <w:p>
            <w:pPr>
              <w:pBdr/>
              <w:spacing/>
              <w:ind/>
              <w:jc w:val="center"/>
              <w:rPr>
                <w:color w:val="000000"/>
                <w:sz w:val="22"/>
                <w:szCs w:val="22"/>
              </w:rPr>
            </w:pPr>
            <w:r>
              <w:rPr>
                <w:color w:val="000000" w:themeColor="text1"/>
                <w:sz w:val="22"/>
                <w:szCs w:val="22"/>
              </w:rPr>
              <w:t xml:space="preserve">1.890.709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62.832.000</w:t>
            </w:r>
            <w:r>
              <w:rPr>
                <w:color w:val="000000"/>
                <w:sz w:val="22"/>
                <w:szCs w:val="22"/>
              </w:rPr>
            </w:r>
            <w:r>
              <w:rPr>
                <w:color w:val="000000"/>
                <w:sz w:val="22"/>
                <w:szCs w:val="22"/>
              </w:rPr>
            </w:r>
          </w:p>
        </w:tc>
        <w:tc>
          <w:tcPr>
            <w:shd w:val="clear" w:color="000000" w:fill="ffffff"/>
            <w:tcBorders/>
            <w:tcW w:w="1531" w:type="dxa"/>
            <w:vAlign w:val="center"/>
            <w:textDirection w:val="lrTb"/>
            <w:noWrap/>
          </w:tcPr>
          <w:p>
            <w:pPr>
              <w:pBdr/>
              <w:spacing/>
              <w:ind/>
              <w:jc w:val="center"/>
              <w:rPr>
                <w:color w:val="000000"/>
                <w:sz w:val="22"/>
                <w:szCs w:val="22"/>
              </w:rPr>
            </w:pPr>
            <w:r>
              <w:rPr>
                <w:color w:val="000000" w:themeColor="text1"/>
                <w:sz w:val="22"/>
                <w:szCs w:val="22"/>
              </w:rPr>
              <w:t xml:space="preserve">55.460.790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31"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31"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5.236.000</w:t>
            </w:r>
            <w:r>
              <w:rPr>
                <w:color w:val="000000"/>
                <w:sz w:val="22"/>
                <w:szCs w:val="22"/>
              </w:rPr>
            </w:r>
            <w:r>
              <w:rPr>
                <w:color w:val="000000"/>
                <w:sz w:val="22"/>
                <w:szCs w:val="22"/>
              </w:rPr>
            </w:r>
          </w:p>
        </w:tc>
        <w:tc>
          <w:tcPr>
            <w:shd w:val="clear" w:color="000000" w:fill="ffffff"/>
            <w:tcBorders/>
            <w:tcW w:w="1531" w:type="dxa"/>
            <w:vAlign w:val="center"/>
            <w:textDirection w:val="lrTb"/>
            <w:noWrap/>
          </w:tcPr>
          <w:p>
            <w:pPr>
              <w:pBdr/>
              <w:spacing/>
              <w:ind/>
              <w:jc w:val="center"/>
              <w:rPr>
                <w:color w:val="000000"/>
                <w:sz w:val="22"/>
                <w:szCs w:val="22"/>
              </w:rPr>
            </w:pPr>
            <w:r>
              <w:rPr>
                <w:color w:val="000000" w:themeColor="text1"/>
                <w:sz w:val="22"/>
                <w:szCs w:val="22"/>
              </w:rPr>
              <w:t xml:space="preserve">-3.151.181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66.160.000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68.068.000</w:t>
            </w:r>
            <w:r>
              <w:rPr>
                <w:color w:val="000000"/>
                <w:sz w:val="22"/>
                <w:szCs w:val="22"/>
              </w:rPr>
            </w:r>
            <w:r>
              <w:rPr>
                <w:color w:val="000000"/>
                <w:sz w:val="22"/>
                <w:szCs w:val="22"/>
              </w:rPr>
            </w:r>
          </w:p>
        </w:tc>
        <w:tc>
          <w:tcPr>
            <w:shd w:val="clear" w:color="000000" w:fill="ffffff"/>
            <w:tcBorders/>
            <w:tcW w:w="1531" w:type="dxa"/>
            <w:vAlign w:val="center"/>
            <w:textDirection w:val="lrTb"/>
            <w:noWrap/>
          </w:tcPr>
          <w:p>
            <w:pPr>
              <w:pBdr/>
              <w:spacing/>
              <w:ind/>
              <w:jc w:val="center"/>
              <w:rPr>
                <w:color w:val="000000"/>
                <w:sz w:val="22"/>
                <w:szCs w:val="22"/>
              </w:rPr>
            </w:pPr>
            <w:r>
              <w:rPr>
                <w:color w:val="000000" w:themeColor="text1"/>
                <w:sz w:val="22"/>
                <w:szCs w:val="22"/>
              </w:rPr>
              <w:t xml:space="preserve">52.309.609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31"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31"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31" w:type="dxa"/>
            <w:vAlign w:val="center"/>
            <w:textDirection w:val="lrTb"/>
            <w:noWrap/>
          </w:tcPr>
          <w:p>
            <w:pPr>
              <w:pBdr/>
              <w:spacing/>
              <w:ind/>
              <w:jc w:val="center"/>
              <w:rPr>
                <w:color w:val="000000"/>
                <w:sz w:val="22"/>
                <w:szCs w:val="22"/>
              </w:rPr>
            </w:pPr>
            <w:r>
              <w:rPr>
                <w:color w:val="000000" w:themeColor="text1"/>
                <w:sz w:val="22"/>
                <w:szCs w:val="22"/>
              </w:rPr>
              <w:t xml:space="preserve">6.302.362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66.160.000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68.068.000</w:t>
            </w:r>
            <w:r>
              <w:rPr>
                <w:color w:val="000000"/>
                <w:sz w:val="22"/>
                <w:szCs w:val="22"/>
              </w:rPr>
            </w:r>
            <w:r>
              <w:rPr>
                <w:color w:val="000000"/>
                <w:sz w:val="22"/>
                <w:szCs w:val="22"/>
              </w:rPr>
            </w:r>
          </w:p>
        </w:tc>
        <w:tc>
          <w:tcPr>
            <w:shd w:val="clear" w:color="000000" w:fill="ffffff"/>
            <w:tcBorders/>
            <w:tcW w:w="1531" w:type="dxa"/>
            <w:vAlign w:val="center"/>
            <w:textDirection w:val="lrTb"/>
            <w:noWrap/>
          </w:tcPr>
          <w:p>
            <w:pPr>
              <w:pBdr/>
              <w:spacing/>
              <w:ind/>
              <w:jc w:val="center"/>
              <w:rPr>
                <w:color w:val="000000"/>
                <w:sz w:val="22"/>
                <w:szCs w:val="22"/>
              </w:rPr>
            </w:pPr>
            <w:r>
              <w:rPr>
                <w:color w:val="000000" w:themeColor="text1"/>
                <w:sz w:val="22"/>
                <w:szCs w:val="22"/>
              </w:rPr>
              <w:t xml:space="preserve">58.611.971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66.160.000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68.068.000</w:t>
            </w:r>
            <w:r>
              <w:rPr>
                <w:b/>
                <w:bCs/>
                <w:color w:val="000000"/>
                <w:sz w:val="22"/>
                <w:szCs w:val="22"/>
              </w:rPr>
            </w:r>
            <w:r>
              <w:rPr>
                <w:b/>
                <w:bCs/>
                <w:color w:val="000000"/>
                <w:sz w:val="22"/>
                <w:szCs w:val="22"/>
              </w:rPr>
            </w:r>
          </w:p>
        </w:tc>
        <w:tc>
          <w:tcPr>
            <w:shd w:val="clear" w:color="000000" w:fill="ffffff"/>
            <w:tcBorders/>
            <w:tcW w:w="153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58.611.971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7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64.279.990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5,89%</w:t>
            </w:r>
            <w:r>
              <w:rPr>
                <w:color w:val="000000"/>
                <w:sz w:val="22"/>
                <w:szCs w:val="22"/>
              </w:rPr>
            </w:r>
            <w:r>
              <w:rPr>
                <w:color w:val="000000"/>
                <w:sz w:val="22"/>
                <w:szCs w:val="22"/>
              </w:rPr>
            </w:r>
          </w:p>
        </w:tc>
        <w:tc>
          <w:tcPr>
            <w:shd w:val="clear" w:color="000000" w:fill="ffffff"/>
            <w:tcBorders/>
            <w:tcW w:w="1531" w:type="dxa"/>
            <w:vAlign w:val="center"/>
            <w:textDirection w:val="lrTb"/>
            <w:noWrap w:val="false"/>
          </w:tcPr>
          <w:p>
            <w:pPr>
              <w:pBdr/>
              <w:spacing/>
              <w:ind/>
              <w:jc w:val="center"/>
              <w:rPr>
                <w:color w:val="000000"/>
                <w:sz w:val="22"/>
                <w:szCs w:val="22"/>
              </w:rPr>
            </w:pPr>
            <w:r>
              <w:rPr>
                <w:color w:val="000000" w:themeColor="text1"/>
                <w:sz w:val="22"/>
                <w:szCs w:val="22"/>
              </w:rPr>
              <w:t xml:space="preserve">-8,82%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92"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25.360.000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23.188.000</w:t>
            </w:r>
            <w:r>
              <w:rPr>
                <w:b/>
                <w:bCs/>
                <w:color w:val="000000"/>
                <w:sz w:val="22"/>
                <w:szCs w:val="22"/>
              </w:rPr>
            </w:r>
            <w:r>
              <w:rPr>
                <w:b/>
                <w:bCs/>
                <w:color w:val="000000"/>
                <w:sz w:val="22"/>
                <w:szCs w:val="22"/>
              </w:rPr>
            </w:r>
          </w:p>
        </w:tc>
        <w:tc>
          <w:tcPr>
            <w:shd w:val="clear" w:color="000000" w:fill="ffffff"/>
            <w:tcBorders/>
            <w:tcW w:w="1531" w:type="dxa"/>
            <w:vAlign w:val="center"/>
            <w:textDirection w:val="lrTb"/>
            <w:noWrap w:val="false"/>
          </w:tcPr>
          <w:p>
            <w:pPr>
              <w:pBdr/>
              <w:spacing/>
              <w:ind/>
              <w:jc w:val="center"/>
              <w:rPr>
                <w:b/>
                <w:bCs/>
                <w:color w:val="000000"/>
                <w:sz w:val="22"/>
                <w:szCs w:val="22"/>
              </w:rPr>
            </w:pPr>
            <w:r>
              <w:rPr>
                <w:color w:val="000000" w:themeColor="text1"/>
                <w:sz w:val="22"/>
                <w:szCs w:val="22"/>
              </w:rPr>
              <w:t xml:space="preserve">20.797.795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31"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31"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1.840.000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6.732.000</w:t>
            </w:r>
            <w:r>
              <w:rPr>
                <w:sz w:val="22"/>
                <w:szCs w:val="22"/>
              </w:rPr>
            </w:r>
            <w:r>
              <w:rPr>
                <w:sz w:val="22"/>
                <w:szCs w:val="22"/>
              </w:rPr>
            </w:r>
          </w:p>
        </w:tc>
        <w:tc>
          <w:tcPr>
            <w:shd w:val="clear" w:color="000000" w:fill="ffffff"/>
            <w:tcBorders/>
            <w:tcW w:w="1531" w:type="dxa"/>
            <w:vAlign w:val="center"/>
            <w:textDirection w:val="lrTb"/>
            <w:noWrap/>
          </w:tcPr>
          <w:p>
            <w:pPr>
              <w:pBdr/>
              <w:spacing/>
              <w:ind/>
              <w:jc w:val="center"/>
              <w:rPr>
                <w:sz w:val="22"/>
                <w:szCs w:val="22"/>
              </w:rPr>
            </w:pPr>
            <w:r>
              <w:rPr>
                <w:color w:val="000000" w:themeColor="text1"/>
                <w:sz w:val="22"/>
                <w:szCs w:val="22"/>
              </w:rPr>
              <w:t xml:space="preserve">4.411.653</w:t>
            </w:r>
            <w:r>
              <w:rPr>
                <w:sz w:val="22"/>
                <w:szCs w:val="22"/>
              </w:rPr>
            </w:r>
            <w:r>
              <w:rPr>
                <w:sz w:val="22"/>
                <w:szCs w:val="22"/>
              </w:rPr>
            </w:r>
          </w:p>
        </w:tc>
      </w:tr>
    </w:tbl>
    <w:p>
      <w:pPr>
        <w:pBdr/>
        <w:spacing w:after="120" w:before="120" w:line="360"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360"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-8,82</w:t>
      </w:r>
      <w:r>
        <w:t xml:space="preserve">% </w:t>
      </w:r>
      <w:r>
        <w:t xml:space="preserve">đến</w:t>
      </w:r>
      <w:r>
        <w:t xml:space="preserve"> </w:t>
      </w:r>
      <w:r>
        <w:t xml:space="preserve"> </w:t>
      </w:r>
      <w:r>
        <w:t xml:space="preserve">5,89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360"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66.160.000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22.057.744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68.068.000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22.687.064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58.611.971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19.535.370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64.280.178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64.000.000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64.000.000</w:t>
      </w:r>
      <w:r>
        <w:rPr>
          <w:b/>
          <w:bCs/>
          <w:color w:val="000000" w:themeColor="text1"/>
        </w:rPr>
        <w:t xml:space="preserve"> </w:t>
      </w:r>
      <w:r>
        <w:rPr>
          <w:b/>
          <w:bCs/>
        </w:rPr>
        <w:t xml:space="preserve">đồng</w:t>
      </w:r>
      <w:r>
        <w:rPr>
          <w:b/>
          <w:bCs/>
        </w:rPr>
        <w:t xml:space="preserve">/m².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448, tờ bản đồ số 4 có địa chỉ: Xã Dị Nậu, huyện Thạch Thất, Thành phố Hà Nội (Nay là xã Tây Phương, Thành p</w:t>
            </w:r>
            <w:r>
              <w:rPr>
                <w:color w:val="000000"/>
              </w:rPr>
              <w:t xml:space="preserve">hố Hà Nội) theo Giấy chứng nhận quyền sử dụng đất quyền sở hữu nhà ở và tài sản khác gắn liền với đất số: DD 257284, số vào sổ cấp GCN: CS-TTH 25081 do Sở Tài nguyên và Môi trường Thành phố Hà Nội cấp ngày 07/3/2022; Chủ sử dụng đất là Ông Nguyễn Huy Lượng</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228</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64.000.000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14.592.000.000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14.592.000.000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bốn tỷ năm trăm chín mươi hai triệu</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9"/>
        </w:numPr>
        <w:pBdr/>
        <w:tabs>
          <w:tab w:val="left" w:leader="none" w:pos="993"/>
        </w:tabs>
        <w:spacing w:after="120" w:before="120" w:line="264" w:lineRule="auto"/>
        <w:ind/>
        <w:jc w:val="both"/>
        <w:rPr>
          <w:spacing w:val="-2"/>
          <w:lang w:val="pt-BR"/>
        </w:rPr>
      </w:pPr>
      <w:r>
        <w:rPr>
          <w:spacing w:val="-2"/>
          <w:highlight w:val="none"/>
          <w:lang w:val="pt-BR" w:bidi="pt-BR"/>
        </w:rPr>
      </w:r>
      <w:r>
        <w:rPr>
          <w:color w:val="000000"/>
        </w:rPr>
        <w:t xml:space="preserve">Tại thời điểm khảo sát, CTXD là nhà 2 tầng, xây dựng đã lâu, diện tích sàn khoảng 70m2, phần còn lại là khung sắt lợp tôn xây dựng năm 2024. </w:t>
      </w:r>
      <w:r>
        <w:rPr>
          <w:color w:val="000000"/>
        </w:rPr>
        <w:t xml:space="preserve">C</w:t>
      </w:r>
      <w:r>
        <w:rPr>
          <w:color w:val="000000"/>
        </w:rPr>
        <w:t xml:space="preserve">ông trình chưa được chứng nhận trên Giấy chứng nhận quyền sử dụng đất quyền sở hữu nhà ở và tài sản khác gắn liền với đất số: DD 257284. Do vậy, theo đề nghị của Ngân hàng/Khách hàng, Tổ thẩm định không xác định giá trị của công trình xây dựng vào tổng giá</w:t>
      </w:r>
      <w:r>
        <w:rPr>
          <w:color w:val="000000"/>
        </w:rPr>
        <w:t xml:space="preserve"> trị, nhưng vẫn coi đó là phần không thể tách rời của tài sản thẩm định. Kính đề nghị đơn vị sử dụng kết quả lưu ý</w:t>
      </w:r>
      <w:r>
        <w:rPr>
          <w:spacing w:val="-2"/>
          <w:highlight w:val="none"/>
          <w:lang w:val="pt-BR" w:bidi="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275/2026/0172/VFI-CT.39.A</w:t>
      </w:r>
      <w:r>
        <w:rPr>
          <w:color w:val="ff0000"/>
          <w:lang w:val="vi-VN"/>
        </w:rPr>
        <w:t xml:space="preserve"> </w:t>
      </w:r>
      <w:r>
        <w:rPr>
          <w:color w:val="000000" w:themeColor="text1"/>
        </w:rPr>
        <w:t xml:space="preserve">ngày 22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275/2026/0172/VFI-BC.39.A</w:t>
      </w:r>
      <w:r>
        <w:rPr>
          <w:i/>
          <w:lang w:val="pt-BR"/>
        </w:rPr>
        <w:t xml:space="preserve"> </w:t>
      </w:r>
      <w:r>
        <w:rPr>
          <w:i/>
          <w:lang w:val="pt-BR"/>
        </w:rPr>
        <w:t xml:space="preserve">ngày 22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294746" cy="287721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923098" name=""/>
                              <pic:cNvPicPr>
                                <a:picLocks noChangeAspect="1"/>
                              </pic:cNvPicPr>
                              <pic:nvPr/>
                            </pic:nvPicPr>
                            <pic:blipFill rotWithShape="1">
                              <a:blip r:embed="rId19"/>
                              <a:stretch/>
                            </pic:blipFill>
                            <pic:spPr bwMode="auto">
                              <a:xfrm flipH="0" flipV="0">
                                <a:off x="0" y="0"/>
                                <a:ext cx="1294746" cy="28772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01.95pt;height:226.5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819620" cy="211471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135746" name=""/>
                              <pic:cNvPicPr>
                                <a:picLocks noChangeAspect="1"/>
                              </pic:cNvPicPr>
                              <pic:nvPr/>
                            </pic:nvPicPr>
                            <pic:blipFill rotWithShape="1">
                              <a:blip r:embed="rId20"/>
                              <a:stretch/>
                            </pic:blipFill>
                            <pic:spPr bwMode="auto">
                              <a:xfrm flipH="0" flipV="0">
                                <a:off x="0" y="0"/>
                                <a:ext cx="2819620" cy="21147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2.02pt;height:166.51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897318" cy="217298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967180" name=""/>
                              <pic:cNvPicPr>
                                <a:picLocks noChangeAspect="1"/>
                              </pic:cNvPicPr>
                              <pic:nvPr/>
                            </pic:nvPicPr>
                            <pic:blipFill rotWithShape="1">
                              <a:blip r:embed="rId21"/>
                              <a:stretch/>
                            </pic:blipFill>
                            <pic:spPr bwMode="auto">
                              <a:xfrm flipH="0" flipV="0">
                                <a:off x="0" y="0"/>
                                <a:ext cx="2897318" cy="21729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8.14pt;height:171.1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891777" cy="216883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265223" name=""/>
                              <pic:cNvPicPr>
                                <a:picLocks noChangeAspect="1"/>
                              </pic:cNvPicPr>
                              <pic:nvPr/>
                            </pic:nvPicPr>
                            <pic:blipFill rotWithShape="1">
                              <a:blip r:embed="rId22"/>
                              <a:stretch/>
                            </pic:blipFill>
                            <pic:spPr bwMode="auto">
                              <a:xfrm flipH="0" flipV="0">
                                <a:off x="0" y="0"/>
                                <a:ext cx="2891776" cy="21688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7.70pt;height:170.7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80901" cy="208567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61222" name=""/>
                              <pic:cNvPicPr>
                                <a:picLocks noChangeAspect="1"/>
                              </pic:cNvPicPr>
                              <pic:nvPr/>
                            </pic:nvPicPr>
                            <pic:blipFill rotWithShape="1">
                              <a:blip r:embed="rId23"/>
                              <a:stretch/>
                            </pic:blipFill>
                            <pic:spPr bwMode="auto">
                              <a:xfrm flipH="0" flipV="0">
                                <a:off x="0" y="0"/>
                                <a:ext cx="2780901" cy="20856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8.97pt;height:164.23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845696" cy="213427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478499" name=""/>
                              <pic:cNvPicPr>
                                <a:picLocks noChangeAspect="1"/>
                              </pic:cNvPicPr>
                              <pic:nvPr/>
                            </pic:nvPicPr>
                            <pic:blipFill rotWithShape="1">
                              <a:blip r:embed="rId24"/>
                              <a:stretch/>
                            </pic:blipFill>
                            <pic:spPr bwMode="auto">
                              <a:xfrm flipH="0" flipV="0">
                                <a:off x="0" y="0"/>
                                <a:ext cx="2845695" cy="21342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4.07pt;height:168.05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275/2026/0172/VFI-BC.39.A</w:t>
      </w:r>
      <w:r>
        <w:rPr>
          <w:i/>
          <w:lang w:val="pt-BR"/>
        </w:rPr>
        <w:t xml:space="preserve"> ngày </w:t>
      </w:r>
      <w:r>
        <w:rPr>
          <w:i/>
          <w:lang w:val="pt-BR"/>
        </w:rPr>
        <w:t xml:space="preserve">22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0966704868</w:t>
            </w:r>
            <w:r>
              <w:rPr>
                <w:sz w:val="22"/>
                <w:szCs w:val="22"/>
              </w:rPr>
              <w:t xml:space="preserve"> </w:t>
            </w:r>
            <w:r>
              <w:rPr>
                <w:sz w:val="22"/>
                <w:szCs w:val="22"/>
              </w:rPr>
              <w:br/>
              <w:t xml:space="preserve">(chị Xuyến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7.480.000.000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Dị Nậu, Huyện Thạch Thất, Thành phố Hà Nội (Nay là xã Phương Tây,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79886"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387988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05.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80412"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08041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42.55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25581" cy="2848726"/>
                      <wp:effectExtent l="0" t="0" r="0" b="0"/>
                      <wp:docPr id="15" name=""/>
                      <wp:cNvGraphicFramePr/>
                      <a:graphic xmlns:a="http://schemas.openxmlformats.org/drawingml/2006/main">
                        <a:graphicData uri="http://schemas.openxmlformats.org/drawingml/2006/picture">
                          <pic:pic xmlns:pic="http://schemas.openxmlformats.org/drawingml/2006/picture">
                            <pic:nvPicPr>
                              <pic:cNvPr id="2073412599" name="" descr=""/>
                              <pic:cNvPicPr/>
                              <pic:nvPr/>
                            </pic:nvPicPr>
                            <pic:blipFill rotWithShape="1">
                              <a:blip r:embed="rId27"/>
                              <a:stretch/>
                            </pic:blipFill>
                            <pic:spPr bwMode="auto">
                              <a:xfrm flipH="0" flipV="0">
                                <a:off x="0" y="0"/>
                                <a:ext cx="2125581" cy="28487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67.37pt;height:224.3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Đinh Thị Lan Hương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0966704868</w:t>
            </w:r>
            <w:r>
              <w:rPr>
                <w:sz w:val="22"/>
                <w:szCs w:val="22"/>
              </w:rPr>
              <w:t xml:space="preserve"> </w:t>
            </w:r>
            <w:r>
              <w:rPr>
                <w:sz w:val="22"/>
                <w:szCs w:val="22"/>
              </w:rPr>
              <w:br/>
              <w:t xml:space="preserve">(chị Xuyến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10.560.000.000</w:t>
            </w:r>
            <w:r>
              <w:rPr>
                <w:sz w:val="22"/>
                <w:szCs w:val="22"/>
              </w:rPr>
            </w:r>
            <w:r>
              <w:rPr>
                <w:sz w:val="22"/>
                <w:szCs w:val="22"/>
              </w:rPr>
            </w:r>
          </w:p>
        </w:tc>
      </w:tr>
      <w:tr>
        <w:trPr>
          <w:trHeight w:val="39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8.976.000.000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Dị Nậu, Huyện Thạch Thất, Thành phố Hà Nội (Nay là xã Phương Tây,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33676"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383367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01.86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575498" cy="2250399"/>
                      <wp:effectExtent l="0" t="0" r="0" b="0"/>
                      <wp:docPr id="17" name=""/>
                      <wp:cNvGraphicFramePr/>
                      <a:graphic xmlns:a="http://schemas.openxmlformats.org/drawingml/2006/main">
                        <a:graphicData uri="http://schemas.openxmlformats.org/drawingml/2006/picture">
                          <pic:pic xmlns:pic="http://schemas.openxmlformats.org/drawingml/2006/picture">
                            <pic:nvPicPr>
                              <pic:cNvPr id="611763312" name="" descr=""/>
                              <pic:cNvPicPr/>
                              <pic:nvPr/>
                            </pic:nvPicPr>
                            <pic:blipFill rotWithShape="1">
                              <a:blip r:embed="rId29"/>
                              <a:stretch/>
                            </pic:blipFill>
                            <pic:spPr bwMode="auto">
                              <a:xfrm rot="0" flipH="0" flipV="0">
                                <a:off x="0" y="0"/>
                                <a:ext cx="3575497" cy="22503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81.54pt;height:177.20pt;mso-wrap-distance-left:0.00pt;mso-wrap-distance-top:0.00pt;mso-wrap-distance-right:0.00pt;mso-wrap-distance-bottom:0.00pt;rotation:0;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5313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9531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2.5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7556"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6755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5.56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0972545940</w:t>
            </w:r>
            <w:r>
              <w:rPr>
                <w:sz w:val="22"/>
                <w:szCs w:val="22"/>
              </w:rPr>
              <w:t xml:space="preserve"> </w:t>
            </w:r>
            <w:r>
              <w:rPr>
                <w:sz w:val="22"/>
                <w:szCs w:val="22"/>
              </w:rPr>
              <w:br/>
              <w:t xml:space="preserve">(chị 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13.502.000.000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11.476.700.000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Dị Nậu, Huyện Thạch Thất, Thành phố Hà Nội (Nay là xã Phương Tây,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759319"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267465688" name="" descr=""/>
                              <pic:cNvPicPr/>
                              <pic:nvPr/>
                            </pic:nvPicPr>
                            <pic:blipFill rotWithShape="1">
                              <a:blip r:embed="rId32"/>
                              <a:stretch/>
                            </pic:blipFill>
                            <pic:spPr bwMode="auto">
                              <a:xfrm>
                                <a:off x="0" y="0"/>
                                <a:ext cx="375931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96.01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5385"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5.38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36715" cy="266211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3836714" cy="26621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02.10pt;height:209.61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69915" cy="231921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2769914" cy="23192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18.10pt;height:182.61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5385"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15.38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rPr>
                <w:b/>
                <w:bCs/>
              </w:rPr>
            </w: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5686425" cy="79629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812780" name=""/>
                        <pic:cNvPicPr>
                          <a:picLocks noChangeAspect="1"/>
                        </pic:cNvPicPr>
                        <pic:nvPr/>
                      </pic:nvPicPr>
                      <pic:blipFill rotWithShape="1">
                        <a:blip r:embed="rId37"/>
                        <a:stretch/>
                      </pic:blipFill>
                      <pic:spPr bwMode="auto">
                        <a:xfrm>
                          <a:off x="0" y="0"/>
                          <a:ext cx="5686425" cy="7962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47.75pt;height:627.00pt;mso-wrap-distance-left:0.00pt;mso-wrap-distance-top:0.00pt;mso-wrap-distance-right:0.00pt;mso-wrap-distance-bottom:0.00pt;z-index:1;" stroked="false">
                <v:imagedata r:id="rId37" o:title=""/>
                <o:lock v:ext="edit" rotation="t"/>
              </v:shape>
            </w:pict>
          </mc:Fallback>
        </mc:AlternateContent>
      </w:r>
      <w:r>
        <w:rPr>
          <w:iCs/>
          <w:lang w:val="pt-BR"/>
        </w:rPr>
      </w:r>
      <w:r>
        <w:rPr>
          <w:iCs/>
          <w:lang w:val="pt-BR"/>
        </w:rPr>
      </w:r>
    </w:p>
    <w:p>
      <w:pPr>
        <w:pBdr/>
        <w:spacing/>
        <w:ind/>
        <w:rPr/>
      </w:pPr>
      <w:r/>
      <w:r/>
    </w:p>
    <w:p>
      <w:pPr>
        <w:pBdr/>
        <w:spacing/>
        <w:ind/>
        <w:rPr/>
      </w:pPr>
      <w:r>
        <mc:AlternateContent>
          <mc:Choice Requires="wpg">
            <w:drawing>
              <wp:inline xmlns:wp="http://schemas.openxmlformats.org/drawingml/2006/wordprocessingDrawing" distT="0" distB="0" distL="0" distR="0">
                <wp:extent cx="5972175" cy="806767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928090" name=""/>
                        <pic:cNvPicPr>
                          <a:picLocks noChangeAspect="1"/>
                        </pic:cNvPicPr>
                        <pic:nvPr/>
                      </pic:nvPicPr>
                      <pic:blipFill rotWithShape="1">
                        <a:blip r:embed="rId38"/>
                        <a:stretch/>
                      </pic:blipFill>
                      <pic:spPr bwMode="auto">
                        <a:xfrm>
                          <a:off x="0" y="0"/>
                          <a:ext cx="5972175" cy="806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0.25pt;height:635.25pt;mso-wrap-distance-left:0.00pt;mso-wrap-distance-top:0.00pt;mso-wrap-distance-right:0.00pt;mso-wrap-distance-bottom:0.00pt;z-index:1;" stroked="false">
                <v:imagedata r:id="rId38" o:title=""/>
                <o:lock v:ext="edit" rotation="t"/>
              </v:shape>
            </w:pict>
          </mc:Fallback>
        </mc:AlternateContent>
      </w:r>
      <w:r/>
    </w:p>
    <w:p>
      <w:pPr>
        <w:pBdr/>
        <w:spacing/>
        <w:ind/>
        <w:rPr/>
      </w:pPr>
      <w:r/>
      <w:r/>
    </w:p>
    <w:p>
      <w:pPr>
        <w:pBdr/>
        <w:spacing/>
        <w:ind/>
        <w:rPr/>
      </w:pPr>
      <w:r/>
      <w:r/>
    </w:p>
    <w:p>
      <w:pPr>
        <w:pBdr/>
        <w:spacing/>
        <w:ind/>
        <w:rPr/>
      </w:pPr>
      <w:r>
        <mc:AlternateContent>
          <mc:Choice Requires="wpg">
            <w:drawing>
              <wp:inline xmlns:wp="http://schemas.openxmlformats.org/drawingml/2006/wordprocessingDrawing" distT="0" distB="0" distL="0" distR="0">
                <wp:extent cx="5953125" cy="796290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39868" name=""/>
                        <pic:cNvPicPr>
                          <a:picLocks noChangeAspect="1"/>
                        </pic:cNvPicPr>
                        <pic:nvPr/>
                      </pic:nvPicPr>
                      <pic:blipFill rotWithShape="1">
                        <a:blip r:embed="rId39"/>
                        <a:stretch/>
                      </pic:blipFill>
                      <pic:spPr bwMode="auto">
                        <a:xfrm>
                          <a:off x="0" y="0"/>
                          <a:ext cx="5953124" cy="7962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68.75pt;height:627.00pt;mso-wrap-distance-left:0.00pt;mso-wrap-distance-top:0.00pt;mso-wrap-distance-right:0.00pt;mso-wrap-distance-bottom:0.00pt;z-index:1;" stroked="false">
                <v:imagedata r:id="rId39" o:title=""/>
                <o:lock v:ext="edit" rotation="t"/>
              </v:shape>
            </w:pict>
          </mc:Fallback>
        </mc:AlternateContent>
      </w:r>
      <w:r/>
    </w:p>
    <w:p>
      <w:pPr>
        <w:pBdr/>
        <w:spacing/>
        <w:ind/>
        <w:rPr/>
      </w:pPr>
      <w:r/>
      <w:r/>
    </w:p>
    <w:p>
      <w:pPr>
        <w:pBdr/>
        <w:spacing/>
        <w:ind/>
        <w:rPr/>
      </w:pPr>
      <w:r/>
      <w:r/>
    </w:p>
    <w:p>
      <w:pPr>
        <w:pBdr/>
        <w:spacing/>
        <w:ind/>
        <w:rPr/>
      </w:pPr>
      <w:r>
        <mc:AlternateContent>
          <mc:Choice Requires="wpg">
            <w:drawing>
              <wp:inline xmlns:wp="http://schemas.openxmlformats.org/drawingml/2006/wordprocessingDrawing" distT="0" distB="0" distL="0" distR="0">
                <wp:extent cx="5743575" cy="809625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42776" name=""/>
                        <pic:cNvPicPr>
                          <a:picLocks noChangeAspect="1"/>
                        </pic:cNvPicPr>
                        <pic:nvPr/>
                      </pic:nvPicPr>
                      <pic:blipFill rotWithShape="1">
                        <a:blip r:embed="rId40"/>
                        <a:stretch/>
                      </pic:blipFill>
                      <pic:spPr bwMode="auto">
                        <a:xfrm>
                          <a:off x="0" y="0"/>
                          <a:ext cx="5743574" cy="80962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52.25pt;height:637.50pt;mso-wrap-distance-left:0.00pt;mso-wrap-distance-top:0.00pt;mso-wrap-distance-right:0.00pt;mso-wrap-distance-bottom:0.00pt;z-index:1;" stroked="false">
                <v:imagedata r:id="rId40" o:title=""/>
                <o:lock v:ext="edit" rotation="t"/>
              </v:shape>
            </w:pict>
          </mc:Fallback>
        </mc:AlternateContent>
      </w:r>
      <w:r/>
    </w:p>
    <w:p>
      <w:pPr>
        <w:pBdr/>
        <w:spacing/>
        <w:ind/>
        <w:rPr/>
      </w:pPr>
      <w:r/>
      <w:r/>
    </w:p>
    <w:p>
      <w:pPr>
        <w:pBdr/>
        <w:spacing/>
        <w:ind/>
        <w:rPr/>
      </w:pPr>
      <w:r>
        <mc:AlternateContent>
          <mc:Choice Requires="wpg">
            <w:drawing>
              <wp:inline xmlns:wp="http://schemas.openxmlformats.org/drawingml/2006/wordprocessingDrawing" distT="0" distB="0" distL="0" distR="0">
                <wp:extent cx="5810250" cy="7915275"/>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035210" name=""/>
                        <pic:cNvPicPr>
                          <a:picLocks noChangeAspect="1"/>
                        </pic:cNvPicPr>
                        <pic:nvPr/>
                      </pic:nvPicPr>
                      <pic:blipFill rotWithShape="1">
                        <a:blip r:embed="rId41"/>
                        <a:stretch/>
                      </pic:blipFill>
                      <pic:spPr bwMode="auto">
                        <a:xfrm>
                          <a:off x="0" y="0"/>
                          <a:ext cx="5810249" cy="7915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57.50pt;height:623.25pt;mso-wrap-distance-left:0.00pt;mso-wrap-distance-top:0.00pt;mso-wrap-distance-right:0.00pt;mso-wrap-distance-bottom:0.00pt;z-index:1;" stroked="false">
                <v:imagedata r:id="rId41" o:title=""/>
                <o:lock v:ext="edit" rotation="t"/>
              </v:shape>
            </w:pict>
          </mc:Fallback>
        </mc:AlternateContent>
      </w:r>
      <w:r/>
    </w:p>
    <w:p>
      <w:pPr>
        <w:pBdr/>
        <w:spacing/>
        <w:ind w:firstLine="0"/>
        <w:rPr/>
      </w:pPr>
      <w:r>
        <mc:AlternateContent>
          <mc:Choice Requires="wpg">
            <w:drawing>
              <wp:inline xmlns:wp="http://schemas.openxmlformats.org/drawingml/2006/wordprocessingDrawing" distT="0" distB="0" distL="0" distR="0">
                <wp:extent cx="5781675" cy="7715250"/>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696638" name=""/>
                        <pic:cNvPicPr>
                          <a:picLocks noChangeAspect="1"/>
                        </pic:cNvPicPr>
                        <pic:nvPr/>
                      </pic:nvPicPr>
                      <pic:blipFill rotWithShape="1">
                        <a:blip r:embed="rId42"/>
                        <a:stretch/>
                      </pic:blipFill>
                      <pic:spPr bwMode="auto">
                        <a:xfrm>
                          <a:off x="0" y="0"/>
                          <a:ext cx="5781674" cy="77152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55.25pt;height:607.50pt;mso-wrap-distance-left:0.00pt;mso-wrap-distance-top:0.00pt;mso-wrap-distance-right:0.00pt;mso-wrap-distance-bottom:0.00pt;z-index:1;" stroked="false">
                <v:imagedata r:id="rId42" o:title=""/>
                <o:lock v:ext="edit" rotation="t"/>
              </v:shape>
            </w:pict>
          </mc:Fallback>
        </mc:AlternateContent>
      </w: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273</cp:revision>
  <dcterms:created xsi:type="dcterms:W3CDTF">2025-09-15T09:58:00Z</dcterms:created>
  <dcterms:modified xsi:type="dcterms:W3CDTF">2026-01-26T10:11:15Z</dcterms:modified>
</cp:coreProperties>
</file>