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1584628</wp:posOffset>
                </wp:positionV>
                <wp:extent cx="5467350" cy="283845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8384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275/2026/0120/VFI-CT.24.A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Đắc Hưng</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Giá trị quyền sử dụng đất của thửa đất số 18, tờ bản đồ số 58 có địa chỉ tại xã Văn Mô</w:t>
                            </w:r>
                            <w:r>
                              <w:rPr>
                                <w:color w:val="000000"/>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124.77pt;mso-position-vertical:absolute;width:430.50pt;height:223.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275/2026/0120/VFI-CT.24.A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Đắc Hưng</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Giá trị quyền sử dụng đất của thửa đất số 18, tờ bản đồ số 58 có địa chỉ tại xã Văn Mô</w:t>
                      </w:r>
                      <w:r>
                        <w:rPr>
                          <w:color w:val="000000"/>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275/2026/0120/VFI-CT.24.A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16 tháng 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Đắc Hưng</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275/2026/0120/VFI-HĐTĐ.24.A</w:t>
      </w:r>
      <w:r>
        <w:rPr>
          <w:spacing w:val="-4"/>
          <w:lang w:val="vi-VN"/>
        </w:rPr>
        <w:t xml:space="preserve"> ký ngày </w:t>
      </w:r>
      <w:r>
        <w:rPr>
          <w:color w:val="000000" w:themeColor="text1"/>
          <w:spacing w:val="-4"/>
        </w:rPr>
        <w:t xml:space="preserve">15 tháng 1 năm 2026</w:t>
      </w:r>
      <w:r>
        <w:rPr>
          <w:spacing w:val="-4"/>
          <w:lang w:val="vi-VN"/>
        </w:rPr>
        <w:t xml:space="preserve"> </w:t>
      </w:r>
      <w:r>
        <w:rPr>
          <w:spacing w:val="-4"/>
          <w:lang w:val="vi-VN"/>
        </w:rPr>
        <w:t xml:space="preserve">giữa </w:t>
      </w:r>
      <w:r>
        <w:rPr>
          <w:color w:val="000000" w:themeColor="text1"/>
          <w:spacing w:val="-4"/>
        </w:rPr>
        <w:t xml:space="preserve">Ông Nguyễn Đắc Hưng và Ngân hàng TMCP Sài Gòn – Hà Nội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275/2026/0120/VFI-BC.24.A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16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01233B51">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Tên</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khách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hàng</w:t>
            </w:r>
            <w:r/>
          </w:p>
        </w:tc>
        <w:tc>
          <w:tcPr>
            <w:shd w:val="clear" w:color="auto" w:fill="auto"/>
            <w:tcBorders/>
            <w:tcW w:w="248" w:type="pct"/>
            <w:vAlign w:val="center"/>
            <w:textDirection w:val="lrTb"/>
            <w:noWrap w:val="false"/>
          </w:tcPr>
          <w:p w14:paraId="4DB5EAF7">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3643" w:type="pct"/>
            <w:vAlign w:val="center"/>
            <w:textDirection w:val="lrTb"/>
            <w:noWrap w:val="false"/>
          </w:tcPr>
          <w:p w14:paraId="53F85080">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b/>
                <w:color w:val="000000"/>
                <w:sz w:val="24"/>
              </w:rPr>
              <w:t xml:space="preserve">ÔNG NGUYỄN ĐẮC HƯNG</w:t>
            </w:r>
            <w:r/>
          </w:p>
        </w:tc>
      </w:tr>
      <w:tr>
        <w:trPr>
          <w:trHeight w:val="20"/>
        </w:trPr>
        <w:tc>
          <w:tcPr>
            <w:shd w:val="clear" w:color="auto" w:fill="auto"/>
            <w:tcBorders/>
            <w:tcW w:w="1109" w:type="pct"/>
            <w:vAlign w:val="center"/>
            <w:textDirection w:val="lrTb"/>
            <w:noWrap w:val="false"/>
          </w:tcPr>
          <w:p w14:paraId="7D0E9722">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pacing w:val="-4"/>
                <w:sz w:val="24"/>
              </w:rPr>
              <w:t xml:space="preserve">CCCD</w:t>
            </w:r>
            <w:r/>
          </w:p>
        </w:tc>
        <w:tc>
          <w:tcPr>
            <w:shd w:val="clear" w:color="auto" w:fill="auto"/>
            <w:tcBorders/>
            <w:tcW w:w="248" w:type="pct"/>
            <w:vAlign w:val="center"/>
            <w:textDirection w:val="lrTb"/>
            <w:noWrap w:val="false"/>
          </w:tcPr>
          <w:p w14:paraId="64C3A43C">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3643" w:type="pct"/>
            <w:vAlign w:val="center"/>
            <w:textDirection w:val="lrTb"/>
            <w:noWrap w:val="false"/>
          </w:tcPr>
          <w:p w14:paraId="053E506E">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027081000031</w:t>
            </w:r>
            <w:r/>
          </w:p>
        </w:tc>
      </w:tr>
      <w:tr>
        <w:trPr>
          <w:trHeight w:val="20"/>
        </w:trPr>
        <w:tc>
          <w:tcPr>
            <w:shd w:val="clear" w:color="auto" w:fill="auto"/>
            <w:tcBorders/>
            <w:tcW w:w="1109" w:type="pct"/>
            <w:vAlign w:val="center"/>
            <w:textDirection w:val="lrTb"/>
            <w:noWrap w:val="false"/>
          </w:tcPr>
          <w:p w14:paraId="34ACAD59">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Địa</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pacing w:val="-5"/>
                <w:sz w:val="24"/>
              </w:rPr>
              <w:t xml:space="preserve">chỉ</w:t>
            </w:r>
            <w:r/>
          </w:p>
        </w:tc>
        <w:tc>
          <w:tcPr>
            <w:shd w:val="clear" w:color="auto" w:fill="auto"/>
            <w:tcBorders/>
            <w:tcW w:w="248" w:type="pct"/>
            <w:vAlign w:val="center"/>
            <w:textDirection w:val="lrTb"/>
            <w:noWrap w:val="false"/>
          </w:tcPr>
          <w:p w14:paraId="58924AF5">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3643" w:type="pct"/>
            <w:vAlign w:val="center"/>
            <w:textDirection w:val="lrTb"/>
            <w:noWrap w:val="false"/>
          </w:tcPr>
          <w:p w14:paraId="1DDF7701">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130 Tôn Đức Thắng, Quốc Từ Giám, Đống Đa, Thành phố Hà Nội</w:t>
            </w:r>
            <w:r>
              <w:rPr>
                <w:rFonts w:ascii="Times New Roman" w:hAnsi="Times New Roman" w:eastAsia="Times New Roman" w:cs="Times New Roman"/>
                <w:color w:val="000000"/>
                <w:spacing w:val="-4"/>
                <w:sz w:val="24"/>
              </w:rPr>
              <w:t xml:space="preserve">.</w:t>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Giá trị quyền sử dụng đất của thửa đất số 18, tờ bản đồ số 58 có địa chỉ tại xã Văn Mô</w:t>
      </w:r>
      <w:r>
        <w:rPr>
          <w:color w:val="000000" w:themeColor="text1"/>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Giá trị quyền sử dụng đất của thửa đất số 18, tờ bản đồ số 58 có địa chỉ tại xã Văn Mô</w:t>
            </w:r>
            <w:r>
              <w:rPr>
                <w:color w:val="000000"/>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tại đô thị</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282,2</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51.000.000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14.392.200.000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14.392.200.000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14.392.000.000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bốn tỷ, ba trăm chín mươi hai triệu đồng</w:t>
            </w:r>
            <w:r>
              <w:rPr>
                <w:b/>
                <w:bCs/>
                <w:i/>
                <w:iCs/>
                <w:color w:val="000000"/>
              </w:rPr>
              <w:t xml:space="preserve">./.)</w:t>
            </w:r>
            <w:r>
              <w:rPr>
                <w:b/>
                <w:bCs/>
                <w:i/>
                <w:iCs/>
                <w:color w:val="000000"/>
              </w:rPr>
            </w:r>
          </w:p>
        </w:tc>
      </w:tr>
    </w:tbl>
    <w:p w14:paraId="28189F5F">
      <w:pPr>
        <w:pBdr/>
        <w:spacing w:after="120" w:before="120" w:line="312" w:lineRule="auto"/>
        <w:ind/>
        <w:jc w:val="both"/>
        <w:rPr>
          <w:b/>
          <w:bCs/>
        </w:rPr>
      </w:pPr>
      <w:r>
        <w:rPr>
          <w:b/>
          <w:bCs/>
          <w:highlight w:val="none"/>
          <w:lang w:val="vi-VN"/>
        </w:rPr>
      </w:r>
      <w:r>
        <w:rPr>
          <w:rFonts w:ascii="Times New Roman" w:hAnsi="Times New Roman" w:eastAsia="Times New Roman" w:cs="Times New Roman"/>
          <w:b/>
          <w:i/>
          <w:color w:val="000000"/>
          <w:sz w:val="24"/>
        </w:rPr>
        <w:t xml:space="preserve">Ghi chú:</w:t>
      </w:r>
      <w:r>
        <w:rPr>
          <w:rFonts w:ascii="Times New Roman" w:hAnsi="Times New Roman" w:eastAsia="Times New Roman" w:cs="Times New Roman"/>
          <w:i/>
          <w:color w:val="000000"/>
          <w:sz w:val="24"/>
        </w:rPr>
        <w:t xml:space="preserve"> Tại thời điểm thẩm định giá, thửa đất thẩm định là các thửa đất trống, do vậy Tổ thẩm định giả định các thửa đất đủ điều kiện được giao dịch mua bán bình thường trên thị trường để xác định giá trị tài sản thẩm định giá theo đúng nội dung ký kết tại Hợp đồ</w:t>
      </w:r>
      <w:r>
        <w:rPr>
          <w:rFonts w:ascii="Times New Roman" w:hAnsi="Times New Roman" w:eastAsia="Times New Roman" w:cs="Times New Roman"/>
          <w:i/>
          <w:color w:val="000000"/>
          <w:sz w:val="24"/>
        </w:rPr>
        <w:t xml:space="preserve">ng thẩm định giá số 275/2026/0120/VFI-HĐTĐ.24.A ký ngày 16/01/2025 giữa Ông Nguyễn Đắc Hưng và Ngân hàng TMCP Sài Gòn – Hà Nội với Công ty cổ phần Thẩm định và Đầu tư tài chính Hoa Sen</w:t>
      </w:r>
      <w:r>
        <w:rPr>
          <w:b/>
          <w:bCs/>
          <w:highlight w:val="none"/>
          <w:lang w:val="vi-VN"/>
        </w:rPr>
      </w:r>
      <w:r>
        <w:rPr>
          <w:b/>
          <w:bCs/>
          <w:highlight w:val="none"/>
          <w:lang w:val="vi-VN"/>
        </w:rPr>
      </w:r>
      <w:r>
        <w:rPr>
          <w:b/>
          <w:bCs/>
          <w:highlight w:val="none"/>
          <w:lang w:val="vi-VN"/>
        </w:rPr>
      </w:r>
    </w:p>
    <w:p w14:paraId="36D8D0BD" w14:textId="3E64D425">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275/2026/0120/VFI-CT.24.A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16 tháng 01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275/2026/0120/VFI-CT.24.A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7FCF30E4">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Tên</w:t>
            </w:r>
            <w:r>
              <w:rPr>
                <w:rFonts w:ascii="Times New Roman" w:hAnsi="Times New Roman" w:eastAsia="Times New Roman" w:cs="Times New Roman"/>
                <w:color w:val="000000"/>
                <w:spacing w:val="-3"/>
                <w:sz w:val="24"/>
              </w:rPr>
              <w:t xml:space="preserve"> </w:t>
            </w:r>
            <w:r>
              <w:rPr>
                <w:rFonts w:ascii="Times New Roman" w:hAnsi="Times New Roman" w:eastAsia="Times New Roman" w:cs="Times New Roman"/>
                <w:color w:val="000000"/>
                <w:sz w:val="24"/>
              </w:rPr>
              <w:t xml:space="preserve">khách</w:t>
            </w:r>
            <w:r>
              <w:rPr>
                <w:rFonts w:ascii="Times New Roman" w:hAnsi="Times New Roman" w:eastAsia="Times New Roman" w:cs="Times New Roman"/>
                <w:color w:val="000000"/>
                <w:spacing w:val="-1"/>
                <w:sz w:val="24"/>
              </w:rPr>
              <w:t xml:space="preserve"> </w:t>
            </w:r>
            <w:r>
              <w:rPr>
                <w:rFonts w:ascii="Times New Roman" w:hAnsi="Times New Roman" w:eastAsia="Times New Roman" w:cs="Times New Roman"/>
                <w:color w:val="000000"/>
                <w:spacing w:val="-4"/>
                <w:sz w:val="24"/>
              </w:rPr>
              <w:t xml:space="preserve">hàng</w:t>
            </w:r>
            <w:r/>
          </w:p>
        </w:tc>
        <w:tc>
          <w:tcPr>
            <w:tcBorders/>
            <w:tcW w:w="284" w:type="dxa"/>
            <w:vAlign w:val="center"/>
            <w:textDirection w:val="lrTb"/>
            <w:noWrap w:val="false"/>
          </w:tcPr>
          <w:p w14:paraId="77AF3483">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6945" w:type="dxa"/>
            <w:vAlign w:val="center"/>
            <w:textDirection w:val="lrTb"/>
            <w:noWrap w:val="false"/>
          </w:tcPr>
          <w:p w14:paraId="4C47CBEE">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b/>
                <w:color w:val="000000"/>
                <w:sz w:val="24"/>
              </w:rPr>
              <w:t xml:space="preserve">ÔNG NGUYỄN ĐẮC HƯNG</w:t>
            </w:r>
            <w:r/>
          </w:p>
        </w:tc>
      </w:tr>
      <w:tr>
        <w:trPr>
          <w:trHeight w:val="20"/>
        </w:trPr>
        <w:tc>
          <w:tcPr>
            <w:tcBorders/>
            <w:tcW w:w="2518" w:type="dxa"/>
            <w:vAlign w:val="center"/>
            <w:textDirection w:val="lrTb"/>
            <w:noWrap w:val="false"/>
          </w:tcPr>
          <w:p w14:paraId="66C8D791">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pacing w:val="-4"/>
                <w:sz w:val="24"/>
              </w:rPr>
              <w:t xml:space="preserve">CCCD</w:t>
            </w:r>
            <w:r/>
          </w:p>
        </w:tc>
        <w:tc>
          <w:tcPr>
            <w:tcBorders/>
            <w:tcW w:w="284" w:type="dxa"/>
            <w:vAlign w:val="center"/>
            <w:textDirection w:val="lrTb"/>
            <w:noWrap w:val="false"/>
          </w:tcPr>
          <w:p w14:paraId="0AB14FA7">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6945" w:type="dxa"/>
            <w:vAlign w:val="center"/>
            <w:textDirection w:val="lrTb"/>
            <w:noWrap w:val="false"/>
          </w:tcPr>
          <w:p w14:paraId="23F0DFB8">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027081000031</w:t>
            </w:r>
            <w:r/>
          </w:p>
        </w:tc>
      </w:tr>
      <w:tr>
        <w:trPr>
          <w:trHeight w:val="20"/>
        </w:trPr>
        <w:tc>
          <w:tcPr>
            <w:tcBorders/>
            <w:tcW w:w="2518" w:type="dxa"/>
            <w:vAlign w:val="center"/>
            <w:textDirection w:val="lrTb"/>
            <w:noWrap w:val="false"/>
          </w:tcPr>
          <w:p w14:paraId="5C5619BF">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Địa</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pacing w:val="-5"/>
                <w:sz w:val="24"/>
              </w:rPr>
              <w:t xml:space="preserve">chỉ</w:t>
            </w:r>
            <w:r/>
          </w:p>
        </w:tc>
        <w:tc>
          <w:tcPr>
            <w:tcBorders/>
            <w:tcW w:w="284" w:type="dxa"/>
            <w:vAlign w:val="center"/>
            <w:textDirection w:val="lrTb"/>
            <w:noWrap w:val="false"/>
          </w:tcPr>
          <w:p w14:paraId="736A8D7B">
            <w:pPr>
              <w:pBdr>
                <w:top w:val="none" w:color="000000" w:sz="4" w:space="0"/>
                <w:left w:val="none" w:color="000000" w:sz="4" w:space="0"/>
                <w:bottom w:val="none" w:color="000000" w:sz="4" w:space="0"/>
                <w:right w:val="none" w:color="000000" w:sz="4" w:space="0"/>
              </w:pBdr>
              <w:spacing w:after="60" w:before="60" w:line="264" w:lineRule="auto"/>
              <w:ind w:right="0" w:firstLine="0" w:left="0"/>
              <w:jc w:val="center"/>
              <w:rPr/>
            </w:pPr>
            <w:r>
              <w:rPr>
                <w:rFonts w:ascii="Times New Roman" w:hAnsi="Times New Roman" w:eastAsia="Times New Roman" w:cs="Times New Roman"/>
                <w:color w:val="000000"/>
                <w:spacing w:val="-10"/>
                <w:sz w:val="24"/>
              </w:rPr>
              <w:t xml:space="preserve">:</w:t>
            </w:r>
            <w:r/>
          </w:p>
        </w:tc>
        <w:tc>
          <w:tcPr>
            <w:tcBorders/>
            <w:tcW w:w="6945" w:type="dxa"/>
            <w:vAlign w:val="center"/>
            <w:textDirection w:val="lrTb"/>
            <w:noWrap w:val="false"/>
          </w:tcPr>
          <w:p w14:paraId="04454F6E">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130 Tôn Đức Thắng, Quốc Từ Giám, Đống Đa, Thành phố Hà Nội</w:t>
            </w:r>
            <w:r>
              <w:rPr>
                <w:rFonts w:ascii="Times New Roman" w:hAnsi="Times New Roman" w:eastAsia="Times New Roman" w:cs="Times New Roman"/>
                <w:color w:val="000000"/>
                <w:spacing w:val="-4"/>
                <w:sz w:val="24"/>
              </w:rPr>
              <w:t xml:space="preserve">.</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Giá trị quyền sử dụng đất của thửa đất số 18, tờ bản đồ số 58 có địa chỉ tại xã Văn Mô</w:t>
            </w:r>
            <w:r>
              <w:rPr>
                <w:bCs/>
                <w:color w:val="000000" w:themeColor="text1"/>
                <w:lang w:val="pt-BR"/>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Xã Văn Môn, tỉnh Bắc Ninh</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Cs/>
          <w:color w:val="000000" w:themeColor="text1"/>
          <w:lang w:val="pt-BR"/>
        </w:rPr>
      </w:pPr>
      <w:r>
        <w:rPr>
          <w:bCs/>
          <w:color w:val="000000" w:themeColor="text1"/>
          <w:lang w:val="pt-BR"/>
        </w:rPr>
        <w:t xml:space="preserve">Giấy chứng nhận quyền sử dụng đất, quyền sở hũu tài sản gắn liền với đất số AA05253306 số vào sổ chấp GCN CT3314/Q</w:t>
      </w:r>
      <w:r>
        <w:rPr>
          <w:bCs/>
          <w:color w:val="000000" w:themeColor="text1"/>
          <w:lang w:val="pt-BR"/>
        </w:rPr>
        <w:t xml:space="preserve">01 tại thửa đất số 18, tờ bản đồ số 58 có địa chỉ xã Văn Môn, tỉnh Bắc Ninh do Sở Nông nghiệp và Môi trường tỉnh Bắc Ninh cấp ngày 06/01/2026 cho Công ty Cổ phần đầu tư nhà và thương mại Hưng Ngân. </w:t>
      </w:r>
      <w:r>
        <w:rPr>
          <w:i/>
          <w:iCs/>
          <w:lang w:val="pt-BR"/>
        </w:rPr>
      </w:r>
    </w:p>
    <w:p w14:paraId="4715F06B">
      <w:pPr>
        <w:pStyle w:val="856"/>
        <w:numPr>
          <w:ilvl w:val="0"/>
          <w:numId w:val="2"/>
        </w:numPr>
        <w:pBdr/>
        <w:tabs>
          <w:tab w:val="left" w:leader="none" w:pos="993"/>
        </w:tabs>
        <w:spacing w:after="120" w:before="120" w:line="276" w:lineRule="auto"/>
        <w:ind/>
        <w:jc w:val="both"/>
        <w:rPr>
          <w:bCs/>
          <w:i/>
          <w:lang w:val="pt-BR"/>
        </w:rPr>
      </w:pPr>
      <w:r>
        <w:rPr>
          <w:bCs/>
          <w:color w:val="000000" w:themeColor="text1"/>
          <w:lang w:val="pt-BR"/>
        </w:rPr>
        <w:t xml:space="preserve">Văn bản số 383/SXD-QLN ngày 14/01/2026 của Sở Xây dựng t</w:t>
      </w:r>
      <w:r>
        <w:rPr>
          <w:bCs/>
          <w:color w:val="000000" w:themeColor="text1"/>
          <w:lang w:val="pt-BR"/>
        </w:rPr>
        <w:t xml:space="preserve">ỉnh Bắc Ninh về việc điều kiện nhà ở hình thành trong tương lai đủ điều kiện bán, cho thuê mua thuộc Dự án ĐTXD Khu đô thị dịch vụ phía Tây thị trấn Chờ, phân khu A – Khu 3, huyện Yên Phong, tỉnh Bắc Ninh (nay là xã Văn Môn và xã Yên Phong, tỉnh Bắc Ninh).</w:t>
      </w:r>
      <w:r>
        <w:rPr>
          <w:lang w:val="pt-BR"/>
        </w:rPr>
        <w:t xml:space="preserve">.</w:t>
      </w:r>
      <w:r>
        <w:rPr>
          <w:i/>
          <w:iCs/>
          <w:lang w:val="pt-BR"/>
        </w:rPr>
      </w: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thẩm định giá đồng số </w:t>
      </w:r>
      <w:r>
        <w:rPr>
          <w:color w:val="000000" w:themeColor="text1"/>
          <w:spacing w:val="-4"/>
          <w:lang w:val="vi-VN"/>
        </w:rPr>
        <w:t xml:space="preserve">275/2026/0120/VFI-HĐTĐ.24.A</w:t>
      </w:r>
      <w:r>
        <w:rPr>
          <w:spacing w:val="-4"/>
          <w:lang w:val="vi-VN"/>
        </w:rPr>
        <w:t xml:space="preserve"> ký ngày </w:t>
      </w:r>
      <w:r>
        <w:rPr>
          <w:color w:val="000000" w:themeColor="text1"/>
          <w:spacing w:val="-4"/>
        </w:rPr>
        <w:t xml:space="preserve">15 tháng 1 năm 2026</w:t>
      </w:r>
      <w:r>
        <w:rPr>
          <w:spacing w:val="-4"/>
          <w:lang w:val="vi-VN"/>
        </w:rPr>
        <w:t xml:space="preserve"> </w:t>
      </w:r>
      <w:r>
        <w:rPr>
          <w:spacing w:val="-4"/>
          <w:lang w:val="vi-VN"/>
        </w:rPr>
        <w:t xml:space="preserve">giữa </w:t>
      </w:r>
      <w:r>
        <w:rPr>
          <w:color w:val="000000" w:themeColor="text1"/>
          <w:spacing w:val="-4"/>
        </w:rPr>
        <w:t xml:space="preserve">Ông Nguyễn Đắc Hưng và Ngân hàng TMCP Sài Gòn – Hà Nội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
        <w:rPr>
          <w:color w:val="000000" w:themeColor="text1"/>
          <w:lang w:val="pt-BR"/>
        </w:rPr>
        <w:t xml:space="preserve">.</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0B6C5EE7">
      <w:pPr>
        <w:pStyle w:val="856"/>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i/>
          <w:iCs/>
          <w:lang w:val="pt-BR"/>
        </w:rPr>
      </w:r>
      <w:r>
        <w:rPr>
          <w:rFonts w:ascii="Times New Roman" w:hAnsi="Times New Roman" w:eastAsia="Times New Roman" w:cs="Times New Roman"/>
          <w:color w:val="000000"/>
          <w:sz w:val="24"/>
        </w:rPr>
        <w:t xml:space="preserve">Bắc</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Ninh – Điểm sáng kinh tế phía Bắc. Bắc Ninh, một trong những tỉnh thành công nghiệp hóa nhanh nhất cả nước, đang trở thành tâm điểm của thị trường bất động sản phía Bắc. Đến năm 2025, kỳ vọng về sự bùng nổ của thị trường này ngày càng rõ nét. Bài viết phân</w:t>
      </w:r>
      <w:r>
        <w:rPr>
          <w:rFonts w:ascii="Times New Roman" w:hAnsi="Times New Roman" w:eastAsia="Times New Roman" w:cs="Times New Roman"/>
          <w:color w:val="000000"/>
          <w:sz w:val="24"/>
        </w:rPr>
        <w:t xml:space="preserve"> tích sâu về</w:t>
      </w:r>
      <w:r>
        <w:rPr>
          <w:color w:val="000000" w:themeColor="text1"/>
          <w:spacing w:val="-4"/>
          <w:lang w:val="undefined" w:bidi="undefined"/>
        </w:rPr>
      </w:r>
      <w:r>
        <w:rPr>
          <w:rFonts w:ascii="Times New Roman" w:hAnsi="Times New Roman" w:eastAsia="Times New Roman" w:cs="Times New Roman"/>
          <w:color w:val="000000"/>
          <w:sz w:val="24"/>
        </w:rPr>
        <w:t xml:space="preserve"> tiềm năng, thách thức, và xu hướng định hình thị trường bất động sản Bắc Ninh trong giai đoạn tới.</w:t>
      </w:r>
      <w:r/>
    </w:p>
    <w:p w14:paraId="76B60490">
      <w:pPr>
        <w:pStyle w:val="856"/>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Bắc Ninh là tỉnh</w:t>
      </w:r>
      <w:r>
        <w:rPr>
          <w:i/>
          <w:iCs/>
          <w:lang w:val="pt-BR" w:bidi="pt-BR"/>
        </w:rPr>
      </w:r>
      <w:r>
        <w:rPr>
          <w:rFonts w:ascii="Times New Roman" w:hAnsi="Times New Roman" w:eastAsia="Times New Roman" w:cs="Times New Roman"/>
          <w:color w:val="000000"/>
          <w:sz w:val="24"/>
        </w:rPr>
        <w:t xml:space="preserve"> có quy mô GDP đứng thứ 6 cả nước (2023), đóng góp chính từ khu công nghiệp (KCN) và thu hút FDI. Với vị trí giáp Hà Nội, hạ tầng giao thông phát triển, tỉnh đang chuyển mình từ nông nghiệp sang công nghiệp – dịch vụ.</w:t>
      </w:r>
      <w:r/>
    </w:p>
    <w:p w14:paraId="01B05785">
      <w:pPr>
        <w:pStyle w:val="856"/>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Với sự gia tăng mạnh mẽ của các dự án FDI, nhu cầu về đất công nghiệp tại Bắc Ninh đang tăng cao. Các khu công nghiệp như Yên Phong, Quế Võ và Tiên Sơn đã thu hút nhiều tập </w:t>
      </w:r>
      <w:r>
        <w:rPr>
          <w:i/>
          <w:iCs/>
          <w:lang w:val="pt-BR"/>
        </w:rPr>
        <w:t xml:space="preserve">đoàn </w:t>
      </w:r>
      <w:r>
        <w:rPr>
          <w:rFonts w:ascii="Times New Roman" w:hAnsi="Times New Roman" w:eastAsia="Times New Roman" w:cs="Times New Roman"/>
          <w:color w:val="000000"/>
          <w:sz w:val="24"/>
        </w:rPr>
        <w:t xml:space="preserve">lớn, tạo động lực cho thị trường bất động sản công nghiệp phát triển. Dự kiến,</w:t>
      </w:r>
      <w:r>
        <w:rPr>
          <w:rFonts w:ascii="Times New Roman" w:hAnsi="Times New Roman" w:eastAsia="Times New Roman" w:cs="Times New Roman"/>
          <w:color w:val="000000"/>
          <w:sz w:val="24"/>
        </w:rPr>
        <w:t xml:space="preserve"> năm 2025, Bắc Ninh sẽ tiếp tục mở rộng các khu công nghiệp và cải thiện hạ tầng để đáp ứng nhu cầu của các nhà đầu tư.</w:t>
      </w:r>
      <w:r/>
    </w:p>
    <w:p w14:paraId="47CB7861">
      <w:pPr>
        <w:pStyle w:val="856"/>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Sự phát triển của công nghiệp kéo theo nhu cầu về các dịch vụ thương mại và tiện ích. Các trung </w:t>
      </w:r>
      <w:r>
        <w:rPr>
          <w:i/>
          <w:iCs/>
          <w:lang w:val="pt-BR"/>
        </w:rPr>
        <w:t xml:space="preserve">tâm </w:t>
      </w:r>
      <w:r>
        <w:rPr>
          <w:rFonts w:ascii="Times New Roman" w:hAnsi="Times New Roman" w:eastAsia="Times New Roman" w:cs="Times New Roman"/>
          <w:color w:val="000000"/>
          <w:sz w:val="24"/>
        </w:rPr>
        <w:t xml:space="preserve">thương mại, siêu thị và khu mua sắm đang được đầu tư mạnh mẽ tại thành phố Bắc Ninh và thị xã Từ Sơn. Điều này không chỉ đáp ứng nhu cầu mua sắm của người d</w:t>
      </w:r>
      <w:r>
        <w:rPr>
          <w:rFonts w:ascii="Times New Roman" w:hAnsi="Times New Roman" w:eastAsia="Times New Roman" w:cs="Times New Roman"/>
          <w:color w:val="000000"/>
          <w:sz w:val="24"/>
        </w:rPr>
        <w:t xml:space="preserve">ân mà còn tạo ra cơ hội kinh doanh cho các doanh nghiệp trong lĩnh vực bán lẻ và dịch vụ, bất động sản. (Senvangdata.com.vn)</w:t>
      </w:r>
      <w:r/>
    </w:p>
    <w:p w14:paraId="369D9AE1">
      <w:pPr>
        <w:pStyle w:val="856"/>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Thị trường bất động sản Bắc Ninh hứa hẹn sôi động nhờ động lực công nghiệp và hạ tầng. Tuy nhiên, nhà đầu tư cần đánh giá kỹ rủi ro pháp lý, môi trường để tối ưu hóa lợi nhuận. </w:t>
      </w:r>
      <w:r>
        <w:rPr>
          <w:i/>
          <w:iCs/>
          <w:lang w:val="pt-BR"/>
        </w:rPr>
        <w:t xml:space="preserve">Với </w:t>
      </w:r>
      <w:r>
        <w:rPr>
          <w:rFonts w:ascii="Times New Roman" w:hAnsi="Times New Roman" w:eastAsia="Times New Roman" w:cs="Times New Roman"/>
          <w:color w:val="000000"/>
          <w:sz w:val="24"/>
        </w:rPr>
        <w:t xml:space="preserve">chiến lược dài hạn và chọn lọc dự án, Bắc Ninh vẫn là “miền đất hứa” cho nh</w:t>
      </w:r>
      <w:r>
        <w:rPr>
          <w:rFonts w:ascii="Times New Roman" w:hAnsi="Times New Roman" w:eastAsia="Times New Roman" w:cs="Times New Roman"/>
          <w:color w:val="000000"/>
          <w:sz w:val="24"/>
        </w:rPr>
        <w:t xml:space="preserve">ững ai biết nắm bắt thời cơ.</w:t>
      </w:r>
      <w:r/>
    </w:p>
    <w:p w14:paraId="74976E0B">
      <w:pPr>
        <w:pBdr>
          <w:top w:val="none" w:color="000000" w:sz="4" w:space="0"/>
          <w:left w:val="none" w:color="000000" w:sz="4" w:space="0"/>
          <w:bottom w:val="none" w:color="000000" w:sz="4" w:space="0"/>
          <w:right w:val="none" w:color="000000" w:sz="4" w:space="0"/>
        </w:pBdr>
        <w:spacing w:after="60" w:before="60" w:line="276" w:lineRule="auto"/>
        <w:ind w:right="0" w:firstLine="0" w:left="357"/>
        <w:jc w:val="both"/>
        <w:rPr/>
      </w:pPr>
      <w:r>
        <w:rPr>
          <w:rFonts w:ascii="Times New Roman" w:hAnsi="Times New Roman" w:eastAsia="Times New Roman" w:cs="Times New Roman"/>
          <w:color w:val="000000"/>
          <w:sz w:val="24"/>
        </w:rPr>
        <w:t xml:space="preserve">Nguồn:</w:t>
      </w:r>
      <w:r>
        <w:rPr>
          <w:rFonts w:ascii="Times New Roman" w:hAnsi="Times New Roman" w:eastAsia="Times New Roman" w:cs="Times New Roman"/>
          <w:i/>
          <w:color w:val="000000"/>
          <w:sz w:val="24"/>
        </w:rPr>
        <w:t xml:space="preserve">(https://datbacninh.com.vn/thi-truong-bat-dong-san-bac-ninh-2025-tiem-nang-va-thach-thuc/)</w:t>
      </w: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Giá trị quyền sử dụng đất của thửa đất số 18, tờ bản đồ số 58 có địa chỉ tại xã Văn Mô</w:t>
            </w:r>
            <w:r>
              <w:rPr>
                <w:b/>
                <w:bCs/>
                <w:color w:val="000000"/>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18</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58</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14:paraId="1AE6211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Xã Văn Môn, tỉnh Bắc Ninh</w:t>
            </w: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14:paraId="15AC87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282,2</w:t>
            </w:r>
            <w:r/>
          </w:p>
        </w:tc>
        <w:tc>
          <w:tcPr>
            <w:tcBorders/>
            <w:tcW w:w="2126" w:type="dxa"/>
            <w:vAlign w:val="center"/>
            <w:textDirection w:val="lrTb"/>
            <w:noWrap w:val="false"/>
          </w:tcPr>
          <w:p w14:paraId="1C13480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cW w:w="2007" w:type="dxa"/>
            <w:vAlign w:val="center"/>
            <w:textDirection w:val="lrTb"/>
            <w:noWrap w:val="false"/>
          </w:tcPr>
          <w:p w14:paraId="597E8A4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14:paraId="06F92E3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14:paraId="1236D2A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cW w:w="2007" w:type="dxa"/>
            <w:vAlign w:val="center"/>
            <w:textDirection w:val="lrTb"/>
            <w:noWrap w:val="false"/>
          </w:tcPr>
          <w:p w14:paraId="672C47D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Đến ngày 05/05/2070</w:t>
            </w: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47D111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Ghi chú</w:t>
            </w:r>
            <w:r/>
          </w:p>
        </w:tc>
        <w:tc>
          <w:tcPr>
            <w:gridSpan w:val="3"/>
            <w:tcBorders/>
            <w:tcW w:w="6259" w:type="dxa"/>
            <w:vAlign w:val="center"/>
            <w:textDirection w:val="lrTb"/>
            <w:noWrap w:val="false"/>
          </w:tcPr>
          <w:p w14:paraId="0BE8C3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Thửa đất là lô số BT1-2 quy hoạch chi tiết xây dựng khu đô thị và dịch vụ phía tây thị trấn Chờ, xã Yên Phụ, huyện Yên Phong, tỉnh Bắc Ninh (cũ).</w:t>
            </w: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5EA35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14:paraId="4BAD93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Tại thời điểm thẩm định giá, tổ thẩm không thu thập được thông tin quy hoạch liên quan đến thửa đất</w:t>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14:paraId="5707B8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w:t>
            </w:r>
            <w:r/>
          </w:p>
        </w:tc>
        <w:tc>
          <w:tcPr>
            <w:tcBorders/>
            <w:tcW w:w="2126" w:type="dxa"/>
            <w:vAlign w:val="center"/>
            <w:textDirection w:val="lrTb"/>
            <w:noWrap w:val="false"/>
          </w:tcPr>
          <w:p w14:paraId="54AA8F1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tcW w:w="2007" w:type="dxa"/>
            <w:vAlign w:val="center"/>
            <w:textDirection w:val="lrTb"/>
            <w:noWrap w:val="false"/>
          </w:tcPr>
          <w:p w14:paraId="06489B9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1 mặt tiền</w:t>
            </w: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5C30AA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25m</w:t>
            </w:r>
            <w:r/>
          </w:p>
        </w:tc>
        <w:tc>
          <w:tcPr>
            <w:tcBorders/>
            <w:tcW w:w="2126" w:type="dxa"/>
            <w:vAlign w:val="center"/>
            <w:textDirection w:val="lrTb"/>
            <w:noWrap w:val="false"/>
          </w:tcPr>
          <w:p w14:paraId="4F14C4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tcW w:w="2007" w:type="dxa"/>
            <w:vAlign w:val="center"/>
            <w:textDirection w:val="lrTb"/>
            <w:noWrap w:val="false"/>
          </w:tcPr>
          <w:p w14:paraId="4C7A2C0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25m</w:t>
            </w: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196BC8F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Tiếp giáp đường quy hoạch nội bộ trong khu đô thị, cách đường DT.286 khoảng 400m</w:t>
            </w: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p>
        </w:tc>
        <w:tc>
          <w:tcPr>
            <w:gridSpan w:val="3"/>
            <w:tcBorders/>
            <w:tcW w:w="6259" w:type="dxa"/>
            <w:vAlign w:val="center"/>
            <w:textDirection w:val="lrTb"/>
            <w:noWrap w:val="false"/>
          </w:tcPr>
          <w:p w14:paraId="541FF92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Bắc: </w:t>
            </w:r>
            <w:r>
              <w:rPr>
                <w:rFonts w:ascii="Times New Roman" w:hAnsi="Times New Roman" w:eastAsia="Times New Roman" w:cs="Times New Roman"/>
                <w:color w:val="000000"/>
                <w:sz w:val="24"/>
                <w:szCs w:val="24"/>
                <w:lang w:val="undefined"/>
              </w:rPr>
              <w:t xml:space="preserve">tiếp </w:t>
            </w:r>
            <w:r>
              <w:rPr>
                <w:rFonts w:ascii="Times New Roman" w:hAnsi="Times New Roman" w:eastAsia="Times New Roman" w:cs="Times New Roman"/>
                <w:color w:val="000000"/>
                <w:sz w:val="24"/>
              </w:rPr>
              <w:t xml:space="preserve">giáp đường nhựa  </w:t>
            </w:r>
            <w:r/>
          </w:p>
          <w:p w14:paraId="036DC04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 Các hướng khác: giáp các thửa đất khác.</w:t>
            </w:r>
            <w:r/>
            <w:r>
              <w:rPr>
                <w:rFonts w:ascii="Times New Roman" w:hAnsi="Times New Roman" w:eastAsia="Times New Roman" w:cs="Times New Roman"/>
                <w:color w:val="000000"/>
                <w:sz w:val="24"/>
              </w:rPr>
            </w:r>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21.200919</w:t>
            </w:r>
            <w:r>
              <w:rPr>
                <w:color w:val="000000"/>
              </w:rPr>
              <w:t xml:space="preserve">, </w:t>
            </w:r>
            <w:r>
              <w:rPr>
                <w:color w:val="000000"/>
              </w:rPr>
              <w:t xml:space="preserve">105.937297</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4490673"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490672"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3.60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14:paraId="1DCB99F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282,2</w:t>
            </w:r>
            <w:r/>
          </w:p>
        </w:tc>
        <w:tc>
          <w:tcPr>
            <w:tcBorders/>
            <w:tcW w:w="2126" w:type="dxa"/>
            <w:vAlign w:val="center"/>
            <w:textDirection w:val="lrTb"/>
            <w:noWrap w:val="false"/>
          </w:tcPr>
          <w:p w14:paraId="2E8E848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cW w:w="2007" w:type="dxa"/>
            <w:vAlign w:val="center"/>
            <w:textDirection w:val="lrTb"/>
            <w:noWrap w:val="false"/>
          </w:tcPr>
          <w:p w14:paraId="7AF98E7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14:paraId="7DC447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cW w:w="2126" w:type="dxa"/>
            <w:vAlign w:val="center"/>
            <w:textDirection w:val="lrTb"/>
            <w:noWrap w:val="false"/>
          </w:tcPr>
          <w:p w14:paraId="26A7EFB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W w:w="2007" w:type="dxa"/>
            <w:vAlign w:val="center"/>
            <w:textDirection w:val="lrTb"/>
            <w:noWrap w:val="false"/>
          </w:tcPr>
          <w:p w14:paraId="05CA6C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14:paraId="00FAB3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Vuôn vắn</w:t>
            </w:r>
            <w:r/>
          </w:p>
        </w:tc>
        <w:tc>
          <w:tcPr>
            <w:tcBorders/>
            <w:tcW w:w="2126" w:type="dxa"/>
            <w:vAlign w:val="center"/>
            <w:textDirection w:val="lrTb"/>
            <w:noWrap w:val="false"/>
          </w:tcPr>
          <w:p w14:paraId="4D408C8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mặt tiền chính:</w:t>
            </w:r>
            <w:r/>
          </w:p>
        </w:tc>
        <w:tc>
          <w:tcPr>
            <w:tcBorders/>
            <w:tcW w:w="2007" w:type="dxa"/>
            <w:vAlign w:val="center"/>
            <w:textDirection w:val="lrTb"/>
            <w:noWrap w:val="false"/>
          </w:tcPr>
          <w:p w14:paraId="06109E7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Bắc </w:t>
            </w: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14:paraId="660CF8C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14:paraId="3F12C7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14:paraId="42BE38C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Đông đúc</w:t>
            </w:r>
            <w:r/>
          </w:p>
        </w:tc>
        <w:tc>
          <w:tcPr>
            <w:tcBorders/>
            <w:tcW w:w="2126" w:type="dxa"/>
            <w:vAlign w:val="center"/>
            <w:textDirection w:val="lrTb"/>
            <w:noWrap w:val="false"/>
          </w:tcPr>
          <w:p w14:paraId="7C8FBC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tcW w:w="2007" w:type="dxa"/>
            <w:vAlign w:val="center"/>
            <w:textDirection w:val="lrTb"/>
            <w:noWrap w:val="false"/>
          </w:tcPr>
          <w:p w14:paraId="70DCFB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14:paraId="35B494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Thích hợp để ở</w:t>
            </w:r>
            <w:r/>
          </w:p>
        </w:tc>
        <w:tc>
          <w:tcPr>
            <w:tcBorders/>
            <w:tcW w:w="2126" w:type="dxa"/>
            <w:vAlign w:val="center"/>
            <w:textDirection w:val="lrTb"/>
            <w:noWrap w:val="false"/>
          </w:tcPr>
          <w:p w14:paraId="07BF938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tcW w:w="2007" w:type="dxa"/>
            <w:vAlign w:val="center"/>
            <w:textDirection w:val="lrTb"/>
            <w:noWrap w:val="false"/>
          </w:tcPr>
          <w:p w14:paraId="6878A5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Tại thời điểm khảo sát hiện trạng tài sản là đất trống chưa có công trình xây dựng trên đất.</w:t>
            </w: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71760635">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thảm định giá, căn cứ hồ sơ pháp lý khách hàng cung cấp tổ thẩm định nhận thấy khách hàng thẩm định giá không phải là chủ tài sản trên giấy chứng nhận, bên cạnh đó chúng tôi chưa được cung cấp bất cứ hồ sơ nào liên quan đến việc xác lập quyền</w:t>
      </w:r>
      <w:r>
        <w:rPr>
          <w:rFonts w:ascii="Times New Roman" w:hAnsi="Times New Roman" w:eastAsia="Times New Roman" w:cs="Times New Roman"/>
          <w:color w:val="000000"/>
          <w:sz w:val="24"/>
        </w:rPr>
        <w:t xml:space="preserve"> sử dụng và sở hữu tài sản giữa chủ tài sản và khách hàng thẩm định giá. Đề nghij khách hàng thẩm định giá lưu ý để hoàn thiện các thủ tục pháp lý.</w:t>
      </w:r>
      <w:r/>
    </w:p>
    <w:p w14:paraId="777A64E7">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Style w:val="860"/>
        <w:tblInd w:w="-289" w:type="dxa"/>
        <w:tblW w:w="51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99"/>
        <w:gridCol w:w="1708"/>
        <w:gridCol w:w="1704"/>
        <w:gridCol w:w="1781"/>
        <w:gridCol w:w="1781"/>
        <w:gridCol w:w="1781"/>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9" w:type="dxa"/>
            <w:vAlign w:val="top"/>
            <w:textDirection w:val="lrTb"/>
            <w:noWrap w:val="false"/>
          </w:tcPr>
          <w:p w14:paraId="482897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8" w:type="dxa"/>
            <w:vAlign w:val="top"/>
            <w:textDirection w:val="lrTb"/>
            <w:noWrap w:val="false"/>
          </w:tcPr>
          <w:p w14:paraId="026DF6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4" w:type="dxa"/>
            <w:vAlign w:val="top"/>
            <w:textDirection w:val="lrTb"/>
            <w:noWrap w:val="false"/>
          </w:tcPr>
          <w:p w14:paraId="510ECE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81" w:type="dxa"/>
            <w:vAlign w:val="top"/>
            <w:textDirection w:val="lrTb"/>
            <w:noWrap w:val="false"/>
          </w:tcPr>
          <w:p w14:paraId="0FE9D0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81" w:type="dxa"/>
            <w:vAlign w:val="top"/>
            <w:textDirection w:val="lrTb"/>
            <w:noWrap w:val="false"/>
          </w:tcPr>
          <w:p w14:paraId="6AA549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70784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top"/>
            <w:textDirection w:val="lrTb"/>
            <w:noWrap w:val="false"/>
          </w:tcPr>
          <w:p w14:paraId="4F5345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08" w:type="dxa"/>
            <w:vAlign w:val="top"/>
            <w:textDirection w:val="lrTb"/>
            <w:noWrap w:val="false"/>
          </w:tcPr>
          <w:p w14:paraId="6CC96A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4" w:type="dxa"/>
            <w:vAlign w:val="top"/>
            <w:textDirection w:val="lrTb"/>
            <w:noWrap w:val="false"/>
          </w:tcPr>
          <w:p w14:paraId="3FC780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top"/>
            <w:textDirection w:val="lrTb"/>
            <w:noWrap w:val="false"/>
          </w:tcPr>
          <w:p w14:paraId="1F651BEA">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top"/>
            <w:textDirection w:val="lrTb"/>
            <w:noWrap w:val="false"/>
          </w:tcPr>
          <w:p w14:paraId="4F2AE9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87D4F17">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2"/>
                <w:u w:val="single"/>
              </w:rPr>
              <w:t xml:space="preserve"> </w:t>
            </w:r>
            <w:r/>
          </w:p>
        </w:tc>
      </w:tr>
      <w:tr>
        <w:trPr>
          <w:trHeight w:val="84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CA281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47B538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408766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BT1-2, Xã Văn Môn, Huyện Yên Phong, Tỉnh Bắc Ninh,</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66BBD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Phong, Tỉnh Bắc Ninh,</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9DB70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Phong, Tỉnh Bắc Ninh,</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4241C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Phong, Tỉnh Bắc Ninh,</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234F6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03F6B6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5D9804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34D4E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BFA76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05DC8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39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50AC2E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BFACC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2C20B3E7">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E6433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0839288888</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1E151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0839288888</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F3A37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0916088286</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5523C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200BA5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3F3528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819AB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1BA02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8BBD1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47D921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3268BE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5FF02B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E8261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49C3D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9D364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562AB1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02152B7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7E9888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chuyển nhượng chủ đầu tư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A461F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FD52F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3E41B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17C0FF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4A536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7E2797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0DA04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A625A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C7F1E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C6951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38A9C1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31C340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EBD12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00796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A6A44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29A38F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291573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63AA25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659EC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BA7DA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DA29D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11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12180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55EB03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71CE7C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nội, cách đường DT.286 khoảng 400m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392A5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nội, cách đường DT.286 khoảng 200m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DC2DE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nội, cách đường DT.286 khoảng 250m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5B661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nội, cách đường DT.286 khoảng 300m</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66F8F3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0D2118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Đường trước mặt tài sản</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6091E0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078A8B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1A9709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10m</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02197F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12m</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576DD3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384BEA0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23D159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136,3</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C0F03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73,6</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4E98B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39A1F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E7590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43F645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3B532E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14541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BDB7A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75B30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6,00</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00752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26A7A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78AAE2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73B9E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23D9F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4C68C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B008B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6EAB1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154773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Vát góc</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1044A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18284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A65AF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r>
      <w:tr>
        <w:trPr>
          <w:trHeight w:val="30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2B258C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4274D6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749886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A0A55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78172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4FEFE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790A7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999E6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5D1E9E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76D9B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971EA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F2BE1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7836B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1EAF61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5587E3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A0F36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BB5ED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509ED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BFF25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19C849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6F323E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E906C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0656F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Nhà 3 tầng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A26C2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642A99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8B15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3B434A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AF525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18AD2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3,0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EDC12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1F9F8E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331CE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26F85A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54839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94F0E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225,0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4D16E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40A88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3AADA5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2B3983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8B51D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5.600.000.000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1633E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7.100.000.000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CF40A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6.350.000.000</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4AFD46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09868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489543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0966E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5.040.000.000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5CB05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6.390.000.000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D1B8D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5.715.000.000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1648EB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54F951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3A1241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FF5D8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2AA3D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5E67F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BB101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47227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1E306F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52418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E914D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1.275.921.900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721D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129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1A2DE1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531D59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số 409/QĐ-BXD (đồng/m²)</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657AB9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A0F59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442A9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7.088.455</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FD710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D1989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93D45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455039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28562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0FD49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64215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B063B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3045431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6825CC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7B3BA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5.040.000.000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518EF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5.114.078.100</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78C79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5.715.000.000</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38F21E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7ADD8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464AE7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1E8813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68.478.261</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18D2F9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68.187.708</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1C36C3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72.341.772</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2F047B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03319F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val="false"/>
          </w:tcPr>
          <w:p w14:paraId="63F097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BD57C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EA8B4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3D90A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34632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94262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4EC7BA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02C35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0C4F5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B3962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5DD6AD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1F953B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43EEBA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590C7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D8466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5AAA3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037916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18E322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50241B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78E36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CB62F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71437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DD6A9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16ED23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Đường trước mặt tài sản</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634909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7CEA0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10273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FA4D7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A560F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47A817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308728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59699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43D6A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0EC9B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D544B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24C9FF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21677B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6B0AE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35ADD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9AA2E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5E939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6A9BA7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600F22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3CD98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96255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EE863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60A376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46980A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070893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B7F36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4607B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EE67D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56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71544D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77C9FC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75169E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172D8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22028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5D787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tcPr>
          <w:p w14:paraId="5F1402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08" w:type="dxa"/>
            <w:vAlign w:val="center"/>
            <w:textDirection w:val="lrTb"/>
            <w:noWrap w:val="false"/>
          </w:tcPr>
          <w:p w14:paraId="04C467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4" w:type="dxa"/>
            <w:vAlign w:val="center"/>
            <w:textDirection w:val="lrTb"/>
            <w:noWrap/>
          </w:tcPr>
          <w:p w14:paraId="3554DB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184FF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C9AE6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26C62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38"/>
        <w:gridCol w:w="1403"/>
        <w:gridCol w:w="753"/>
        <w:gridCol w:w="1658"/>
        <w:gridCol w:w="1658"/>
        <w:gridCol w:w="1658"/>
        <w:gridCol w:w="1658"/>
      </w:tblGrid>
      <w:t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787CC9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F2A83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5348BF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4BD3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6B0D8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3C2F5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89226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2C5B71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85481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0A17C7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83E9C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36840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CB9D9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5.114.078.100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543D7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5.715.000.000</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27743E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6E763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1E1F2C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23DDA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A53F2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68.478.261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0F270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68.187.708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CDCA3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72.341.772</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60F721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BA4954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3E412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EBB4D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449A6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7A882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D3C32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7AE532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C94EEE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1FF1D4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ED3B7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chuyển nhượng chủ đầu tư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70134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CFF05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DBC05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c>
          <w:tcPr>
            <w:tcBorders>
              <w:left w:val="single" w:color="000000" w:sz="8" w:space="0"/>
              <w:bottom w:val="single" w:color="000000" w:sz="8" w:space="0"/>
              <w:right w:val="single" w:color="000000" w:sz="8" w:space="0"/>
            </w:tcBorders>
            <w:vMerge w:val="continue"/>
            <w:textDirection w:val="lrTb"/>
            <w:noWrap w:val="false"/>
          </w:tcPr>
          <w:p w14:paraId="57A5B82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0B5118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FD10F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FCE36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BCD76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9FAB0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72245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r>
      <w:tr>
        <w:trPr/>
        <w:tc>
          <w:tcPr>
            <w:tcBorders>
              <w:left w:val="single" w:color="000000" w:sz="8" w:space="0"/>
              <w:bottom w:val="single" w:color="000000" w:sz="8" w:space="0"/>
              <w:right w:val="single" w:color="000000" w:sz="8" w:space="0"/>
            </w:tcBorders>
            <w:vMerge w:val="continue"/>
            <w:textDirection w:val="lrTb"/>
            <w:noWrap w:val="false"/>
          </w:tcPr>
          <w:p w14:paraId="5F232AA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15A69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277673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62589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1DB4D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-13.695.652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A8220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-13.637.542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E8DCE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-14.468.354 </w:t>
            </w:r>
            <w:r/>
          </w:p>
        </w:tc>
      </w:tr>
      <w:tr>
        <w:trPr/>
        <w:tc>
          <w:tcPr>
            <w:tcBorders>
              <w:left w:val="single" w:color="000000" w:sz="8" w:space="0"/>
              <w:bottom w:val="single" w:color="000000" w:sz="8" w:space="0"/>
              <w:right w:val="single" w:color="000000" w:sz="8" w:space="0"/>
            </w:tcBorders>
            <w:vMerge w:val="continue"/>
            <w:textDirection w:val="lrTb"/>
            <w:noWrap w:val="false"/>
          </w:tcPr>
          <w:p w14:paraId="58725E9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FB1A8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2F2C23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1FAB1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A6BBF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54.782.609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DB982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54.550.166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84704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57.873.418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16DFCE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C01639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74E663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07E2B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148A7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68C2E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4E016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c>
          <w:tcPr>
            <w:tcBorders>
              <w:left w:val="single" w:color="000000" w:sz="8" w:space="0"/>
              <w:bottom w:val="single" w:color="000000" w:sz="8" w:space="0"/>
              <w:right w:val="single" w:color="000000" w:sz="8" w:space="0"/>
            </w:tcBorders>
            <w:vMerge w:val="continue"/>
            <w:textDirection w:val="lrTb"/>
            <w:noWrap w:val="false"/>
          </w:tcPr>
          <w:p w14:paraId="063DE1D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0357B3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0A013C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D1B8D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ECAE3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05AC1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A903F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c>
          <w:tcPr>
            <w:tcBorders>
              <w:left w:val="single" w:color="000000" w:sz="8" w:space="0"/>
              <w:bottom w:val="single" w:color="000000" w:sz="8" w:space="0"/>
              <w:right w:val="single" w:color="000000" w:sz="8" w:space="0"/>
            </w:tcBorders>
            <w:vMerge w:val="continue"/>
            <w:textDirection w:val="lrTb"/>
            <w:noWrap w:val="false"/>
          </w:tcPr>
          <w:p w14:paraId="2ADEC0C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09D0BD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148938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8C7F5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2A22F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19BC0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F93E2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c>
          <w:tcPr>
            <w:tcBorders>
              <w:left w:val="single" w:color="000000" w:sz="8" w:space="0"/>
              <w:bottom w:val="single" w:color="000000" w:sz="8" w:space="0"/>
              <w:right w:val="single" w:color="000000" w:sz="8" w:space="0"/>
            </w:tcBorders>
            <w:vMerge w:val="continue"/>
            <w:textDirection w:val="lrTb"/>
            <w:noWrap w:val="false"/>
          </w:tcPr>
          <w:p w14:paraId="7E3306F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BE0A08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051A3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E4DF5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D6017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68.478.261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15B15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68.187.708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A3580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72.341.772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0A8E7C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2E00AD6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5803FF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C3339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cách đường DT.286 khoảng 400m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17C35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cách đường DT.286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E5AAE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cách đường DT.286 khoảng 250m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3D9DB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cách đường DT.286 khoảng 300m</w:t>
            </w:r>
            <w:r/>
          </w:p>
        </w:tc>
      </w:tr>
      <w:tr>
        <w:trPr/>
        <w:tc>
          <w:tcPr>
            <w:tcBorders>
              <w:left w:val="single" w:color="000000" w:sz="8" w:space="0"/>
              <w:bottom w:val="single" w:color="000000" w:sz="8" w:space="0"/>
              <w:right w:val="single" w:color="000000" w:sz="8" w:space="0"/>
            </w:tcBorders>
            <w:vMerge w:val="continue"/>
            <w:textDirection w:val="lrTb"/>
            <w:noWrap w:val="false"/>
          </w:tcPr>
          <w:p w14:paraId="761C6B8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96993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4DAAEB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E37E1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AA11D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9CD05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4CB16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c>
          <w:tcPr>
            <w:tcBorders>
              <w:left w:val="single" w:color="000000" w:sz="8" w:space="0"/>
              <w:bottom w:val="single" w:color="000000" w:sz="8" w:space="0"/>
              <w:right w:val="single" w:color="000000" w:sz="8" w:space="0"/>
            </w:tcBorders>
            <w:vMerge w:val="continue"/>
            <w:textDirection w:val="lrTb"/>
            <w:noWrap w:val="false"/>
          </w:tcPr>
          <w:p w14:paraId="0A9234C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C24A94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13925B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481CD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3EFB3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E9504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B20C7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c>
          <w:tcPr>
            <w:tcBorders>
              <w:left w:val="single" w:color="000000" w:sz="8" w:space="0"/>
              <w:bottom w:val="single" w:color="000000" w:sz="8" w:space="0"/>
              <w:right w:val="single" w:color="000000" w:sz="8" w:space="0"/>
            </w:tcBorders>
            <w:vMerge w:val="continue"/>
            <w:textDirection w:val="lrTb"/>
            <w:noWrap w:val="false"/>
          </w:tcPr>
          <w:p w14:paraId="587D633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B8B010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6AEF20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48CAF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083A1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68.478.261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D7745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68.187.708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2BE16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72.341.772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3EDEA3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09083B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Đường trước mặt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66F70F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BAE57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E623E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40EE7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C445B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12m</w:t>
            </w:r>
            <w:r/>
          </w:p>
        </w:tc>
      </w:tr>
      <w:tr>
        <w:trPr/>
        <w:tc>
          <w:tcPr>
            <w:tcBorders>
              <w:left w:val="single" w:color="000000" w:sz="8" w:space="0"/>
              <w:bottom w:val="single" w:color="000000" w:sz="8" w:space="0"/>
              <w:right w:val="single" w:color="000000" w:sz="8" w:space="0"/>
            </w:tcBorders>
            <w:vMerge w:val="continue"/>
            <w:textDirection w:val="lrTb"/>
            <w:noWrap w:val="false"/>
          </w:tcPr>
          <w:p w14:paraId="2148608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5CC5D0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42CB47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611D5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EFF9E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931CA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39536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c>
          <w:tcPr>
            <w:tcBorders>
              <w:left w:val="single" w:color="000000" w:sz="8" w:space="0"/>
              <w:bottom w:val="single" w:color="000000" w:sz="8" w:space="0"/>
              <w:right w:val="single" w:color="000000" w:sz="8" w:space="0"/>
            </w:tcBorders>
            <w:vMerge w:val="continue"/>
            <w:textDirection w:val="lrTb"/>
            <w:noWrap w:val="false"/>
          </w:tcPr>
          <w:p w14:paraId="35384D4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141E157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6E4C9A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BEFC0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82871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10.271.739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8F5BA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10.228.156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791C6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10.851.266 </w:t>
            </w:r>
            <w:r/>
          </w:p>
        </w:tc>
      </w:tr>
      <w:tr>
        <w:trPr/>
        <w:tc>
          <w:tcPr>
            <w:tcBorders>
              <w:left w:val="single" w:color="000000" w:sz="8" w:space="0"/>
              <w:bottom w:val="single" w:color="000000" w:sz="8" w:space="0"/>
              <w:right w:val="single" w:color="000000" w:sz="8" w:space="0"/>
            </w:tcBorders>
            <w:vMerge w:val="continue"/>
            <w:textDirection w:val="lrTb"/>
            <w:noWrap w:val="false"/>
          </w:tcPr>
          <w:p w14:paraId="7C92928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43D8EB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5F482C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34073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90499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5DDE2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78.415.864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442AC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83.193.038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7B6741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A9D42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BBAAA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E18EE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831CE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00DDE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FCB43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79</w:t>
            </w:r>
            <w:r/>
          </w:p>
        </w:tc>
      </w:tr>
      <w:tr>
        <w:trPr/>
        <w:tc>
          <w:tcPr>
            <w:tcBorders>
              <w:left w:val="single" w:color="000000" w:sz="8" w:space="0"/>
              <w:bottom w:val="single" w:color="000000" w:sz="8" w:space="0"/>
              <w:right w:val="single" w:color="000000" w:sz="8" w:space="0"/>
            </w:tcBorders>
            <w:vMerge w:val="continue"/>
            <w:textDirection w:val="lrTb"/>
            <w:noWrap w:val="false"/>
          </w:tcPr>
          <w:p w14:paraId="56A2D9E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3901E1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3232A7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14DAD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CEA5B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CBF6F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4FA16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-25,00%</w:t>
            </w:r>
            <w:r/>
          </w:p>
        </w:tc>
      </w:tr>
      <w:tr>
        <w:trPr/>
        <w:tc>
          <w:tcPr>
            <w:tcBorders>
              <w:left w:val="single" w:color="000000" w:sz="8" w:space="0"/>
              <w:bottom w:val="single" w:color="000000" w:sz="8" w:space="0"/>
              <w:right w:val="single" w:color="000000" w:sz="8" w:space="0"/>
            </w:tcBorders>
            <w:vMerge w:val="continue"/>
            <w:textDirection w:val="lrTb"/>
            <w:noWrap w:val="false"/>
          </w:tcPr>
          <w:p w14:paraId="3DA1131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673A2B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74DF8B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B8C6F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21530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-17.119.565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5D08D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-17.046.927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A9473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-18.085.443 </w:t>
            </w:r>
            <w:r/>
          </w:p>
        </w:tc>
      </w:tr>
      <w:tr>
        <w:trPr/>
        <w:tc>
          <w:tcPr>
            <w:tcBorders>
              <w:left w:val="single" w:color="000000" w:sz="8" w:space="0"/>
              <w:bottom w:val="single" w:color="000000" w:sz="8" w:space="0"/>
              <w:right w:val="single" w:color="000000" w:sz="8" w:space="0"/>
            </w:tcBorders>
            <w:vMerge w:val="continue"/>
            <w:textDirection w:val="lrTb"/>
            <w:noWrap w:val="false"/>
          </w:tcPr>
          <w:p w14:paraId="01AA7B2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4440A0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3E2940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0BC2F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C63D9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61.630.435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7B6BB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61.368.937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43B90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65.107.595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527ECA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tcPr>
          <w:p w14:paraId="37B3259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36D9B3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26FBE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7CA35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3929D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D2D24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w:t>
            </w:r>
            <w:r/>
          </w:p>
        </w:tc>
      </w:tr>
      <w:tr>
        <w:trPr/>
        <w:tc>
          <w:tcPr>
            <w:tcBorders>
              <w:left w:val="single" w:color="000000" w:sz="8" w:space="0"/>
              <w:bottom w:val="single" w:color="000000" w:sz="8" w:space="0"/>
              <w:right w:val="single" w:color="000000" w:sz="8" w:space="0"/>
            </w:tcBorders>
            <w:vMerge w:val="continue"/>
            <w:textDirection w:val="lrTb"/>
            <w:noWrap w:val="false"/>
          </w:tcPr>
          <w:p w14:paraId="63E4CBE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08FB2E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39893E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906C0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89BF4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E74F8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FC4A4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r>
      <w:tr>
        <w:trPr/>
        <w:tc>
          <w:tcPr>
            <w:tcBorders>
              <w:left w:val="single" w:color="000000" w:sz="8" w:space="0"/>
              <w:bottom w:val="single" w:color="000000" w:sz="8" w:space="0"/>
              <w:right w:val="single" w:color="000000" w:sz="8" w:space="0"/>
            </w:tcBorders>
            <w:vMerge w:val="continue"/>
            <w:textDirection w:val="lrTb"/>
            <w:noWrap w:val="false"/>
          </w:tcPr>
          <w:p w14:paraId="708AAC2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4EEEB6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E17B0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E105C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0CA71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5.478.261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E9EBA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4.773.140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30E53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5.787.342 </w:t>
            </w:r>
            <w:r/>
          </w:p>
        </w:tc>
      </w:tr>
      <w:tr>
        <w:trPr/>
        <w:tc>
          <w:tcPr>
            <w:tcBorders>
              <w:left w:val="single" w:color="000000" w:sz="8" w:space="0"/>
              <w:bottom w:val="single" w:color="000000" w:sz="8" w:space="0"/>
              <w:right w:val="single" w:color="000000" w:sz="8" w:space="0"/>
            </w:tcBorders>
            <w:vMerge w:val="continue"/>
            <w:textDirection w:val="lrTb"/>
            <w:noWrap w:val="false"/>
          </w:tcPr>
          <w:p w14:paraId="4EF7D24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8E82AF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7A77EA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4918E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D85C1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67.108.696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354BB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66.142.077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49F70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70.894.937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55A85B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8B25C0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08DFB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3E6C6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E9E85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11F52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A1D25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w:t>
            </w:r>
            <w:r/>
          </w:p>
        </w:tc>
      </w:tr>
      <w:tr>
        <w:trPr/>
        <w:tc>
          <w:tcPr>
            <w:tcBorders>
              <w:left w:val="single" w:color="000000" w:sz="8" w:space="0"/>
              <w:bottom w:val="single" w:color="000000" w:sz="8" w:space="0"/>
              <w:right w:val="single" w:color="000000" w:sz="8" w:space="0"/>
            </w:tcBorders>
            <w:vMerge w:val="continue"/>
            <w:textDirection w:val="lrTb"/>
            <w:noWrap w:val="false"/>
          </w:tcPr>
          <w:p w14:paraId="4FC2BA2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E13B8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4EE782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A24C4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7737B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B8EB6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3FC7C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c>
          <w:tcPr>
            <w:tcBorders>
              <w:left w:val="single" w:color="000000" w:sz="8" w:space="0"/>
              <w:bottom w:val="single" w:color="000000" w:sz="8" w:space="0"/>
              <w:right w:val="single" w:color="000000" w:sz="8" w:space="0"/>
            </w:tcBorders>
            <w:vMerge w:val="continue"/>
            <w:textDirection w:val="lrTb"/>
            <w:noWrap w:val="false"/>
          </w:tcPr>
          <w:p w14:paraId="0351F3E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68E6FD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5139D5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D8825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C28BE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B10DC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18724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-10.851.266 </w:t>
            </w:r>
            <w:r/>
          </w:p>
        </w:tc>
      </w:tr>
      <w:tr>
        <w:trPr/>
        <w:tc>
          <w:tcPr>
            <w:tcBorders>
              <w:left w:val="single" w:color="000000" w:sz="8" w:space="0"/>
              <w:bottom w:val="single" w:color="000000" w:sz="8" w:space="0"/>
              <w:right w:val="single" w:color="000000" w:sz="8" w:space="0"/>
            </w:tcBorders>
            <w:vMerge w:val="continue"/>
            <w:textDirection w:val="lrTb"/>
            <w:noWrap w:val="false"/>
          </w:tcPr>
          <w:p w14:paraId="4F2F310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0C464EC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6BD17A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5686E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A20E7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67.108.696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C1BB0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66.142.077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66424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60.043.671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476CA0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34F4A1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F7303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F7D44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vắn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357BD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vắn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56128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vắn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28E57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Vạt góc</w:t>
            </w:r>
            <w:r/>
          </w:p>
        </w:tc>
      </w:tr>
      <w:tr>
        <w:trPr/>
        <w:tc>
          <w:tcPr>
            <w:tcBorders>
              <w:left w:val="single" w:color="000000" w:sz="8" w:space="0"/>
              <w:bottom w:val="single" w:color="000000" w:sz="8" w:space="0"/>
              <w:right w:val="single" w:color="000000" w:sz="8" w:space="0"/>
            </w:tcBorders>
            <w:vMerge w:val="continue"/>
            <w:textDirection w:val="lrTb"/>
            <w:noWrap w:val="false"/>
          </w:tcPr>
          <w:p w14:paraId="1D89EDD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161111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754A85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B5EF7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6F72C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79248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7C8A5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c>
          <w:tcPr>
            <w:tcBorders>
              <w:left w:val="single" w:color="000000" w:sz="8" w:space="0"/>
              <w:bottom w:val="single" w:color="000000" w:sz="8" w:space="0"/>
              <w:right w:val="single" w:color="000000" w:sz="8" w:space="0"/>
            </w:tcBorders>
            <w:vMerge w:val="continue"/>
            <w:textDirection w:val="lrTb"/>
            <w:noWrap w:val="false"/>
          </w:tcPr>
          <w:p w14:paraId="359DFA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2A4E0D9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12918D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B1845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9AECB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EC8F8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ADCA2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2.170.253 </w:t>
            </w:r>
            <w:r/>
          </w:p>
        </w:tc>
      </w:tr>
      <w:tr>
        <w:trPr/>
        <w:tc>
          <w:tcPr>
            <w:tcBorders>
              <w:left w:val="single" w:color="000000" w:sz="8" w:space="0"/>
              <w:bottom w:val="single" w:color="000000" w:sz="8" w:space="0"/>
              <w:right w:val="single" w:color="000000" w:sz="8" w:space="0"/>
            </w:tcBorders>
            <w:vMerge w:val="continue"/>
            <w:textDirection w:val="lrTb"/>
            <w:noWrap w:val="false"/>
          </w:tcPr>
          <w:p w14:paraId="569F1B2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209497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1CDA93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4577B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5232E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67.108.696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25D3A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66.142.077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01E57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62.213.924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5A671F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0EC58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05EF4F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225B3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45A28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D7E32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C3E68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r>
      <w:tr>
        <w:trPr/>
        <w:tc>
          <w:tcPr>
            <w:tcBorders>
              <w:left w:val="single" w:color="000000" w:sz="8" w:space="0"/>
              <w:bottom w:val="single" w:color="000000" w:sz="8" w:space="0"/>
              <w:right w:val="single" w:color="000000" w:sz="8" w:space="0"/>
            </w:tcBorders>
            <w:vMerge w:val="continue"/>
            <w:textDirection w:val="lrTb"/>
            <w:noWrap w:val="false"/>
          </w:tcPr>
          <w:p w14:paraId="5F27F60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2D499D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0EFA72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CF49E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2ECA9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F49CB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EA1D7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c>
          <w:tcPr>
            <w:tcBorders>
              <w:left w:val="single" w:color="000000" w:sz="8" w:space="0"/>
              <w:bottom w:val="single" w:color="000000" w:sz="8" w:space="0"/>
              <w:right w:val="single" w:color="000000" w:sz="8" w:space="0"/>
            </w:tcBorders>
            <w:vMerge w:val="continue"/>
            <w:textDirection w:val="lrTb"/>
            <w:noWrap w:val="false"/>
          </w:tcPr>
          <w:p w14:paraId="2533DEB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C70B5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130A6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E30AD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95507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A7510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3D685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c>
          <w:tcPr>
            <w:tcBorders>
              <w:left w:val="single" w:color="000000" w:sz="8" w:space="0"/>
              <w:bottom w:val="single" w:color="000000" w:sz="8" w:space="0"/>
              <w:right w:val="single" w:color="000000" w:sz="8" w:space="0"/>
            </w:tcBorders>
            <w:vMerge w:val="continue"/>
            <w:textDirection w:val="lrTb"/>
            <w:noWrap w:val="false"/>
          </w:tcPr>
          <w:p w14:paraId="325B992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59FBD70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65D320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D02D5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27FCC3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67.108.696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EC2E7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66.142.077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7090E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62.213.924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vMerge w:val="restart"/>
            <w:textDirection w:val="lrTb"/>
            <w:noWrap w:val="false"/>
          </w:tcPr>
          <w:p w14:paraId="66F1E2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14E22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B4239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9798A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5ABB2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E1E04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3BB9B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w:t>
            </w:r>
            <w:r/>
          </w:p>
        </w:tc>
      </w:tr>
      <w:tr>
        <w:trPr/>
        <w:tc>
          <w:tcPr>
            <w:tcBorders>
              <w:left w:val="single" w:color="000000" w:sz="8" w:space="0"/>
              <w:bottom w:val="single" w:color="000000" w:sz="8" w:space="0"/>
              <w:right w:val="single" w:color="000000" w:sz="8" w:space="0"/>
            </w:tcBorders>
            <w:vMerge w:val="continue"/>
            <w:textDirection w:val="lrTb"/>
            <w:noWrap w:val="false"/>
          </w:tcPr>
          <w:p w14:paraId="5D41CE1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B41E4B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05E115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B5E9F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E138B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D69F0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2355F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c>
          <w:tcPr>
            <w:tcBorders>
              <w:left w:val="single" w:color="000000" w:sz="8" w:space="0"/>
              <w:bottom w:val="single" w:color="000000" w:sz="8" w:space="0"/>
              <w:right w:val="single" w:color="000000" w:sz="8" w:space="0"/>
            </w:tcBorders>
            <w:vMerge w:val="continue"/>
            <w:textDirection w:val="lrTb"/>
            <w:noWrap w:val="false"/>
          </w:tcPr>
          <w:p w14:paraId="7616211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BEFF2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2C329D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F0A94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13B43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84961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32517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c>
          <w:tcPr>
            <w:tcBorders>
              <w:left w:val="single" w:color="000000" w:sz="8" w:space="0"/>
              <w:bottom w:val="single" w:color="000000" w:sz="8" w:space="0"/>
              <w:right w:val="single" w:color="000000" w:sz="8" w:space="0"/>
            </w:tcBorders>
            <w:vMerge w:val="continue"/>
            <w:textDirection w:val="lrTb"/>
            <w:noWrap w:val="false"/>
          </w:tcPr>
          <w:p w14:paraId="6CB62AB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1293D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30E02F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00A816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85284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67.108.696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56C8C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66.142.077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76F20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62.213.924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421F5D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tcPr>
          <w:p w14:paraId="0B6D457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D1D4A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3685F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07382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53.413.043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10128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52.504.535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D1FFA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47.745.570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6D00B4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7318B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CD38F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07548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973" w:type="dxa"/>
            <w:vAlign w:val="center"/>
            <w:textDirection w:val="lrTb"/>
            <w:noWrap w:val="false"/>
          </w:tcPr>
          <w:p w14:paraId="74B9BF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51.000.000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3579D9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BC4606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2ECB90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F38DE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9D359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C3B7B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102F5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7CAC1B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47AB55F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3DEE4B4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B8D17A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241AF9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5F8530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99364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30586E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7A0EDB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4527C0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58DD5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7263DC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46.565.217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4A59BC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45.685.764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3EBCC0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62.213.924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209BFF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358A3C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5961F7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666DBB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0E3899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4A6BB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46BECD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173FD7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6C25875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val="false"/>
          </w:tcPr>
          <w:p w14:paraId="1155E0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val="false"/>
          </w:tcPr>
          <w:p w14:paraId="10CB9D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68268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 - 25%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6A05E8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 - 25%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59441E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- 25%</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5C8922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03" w:type="dxa"/>
            <w:vAlign w:val="center"/>
            <w:textDirection w:val="lrTb"/>
            <w:noWrap w:val="false"/>
          </w:tcPr>
          <w:p w14:paraId="2FF9EA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53" w:type="dxa"/>
            <w:vAlign w:val="center"/>
            <w:textDirection w:val="lrTb"/>
            <w:noWrap/>
          </w:tcPr>
          <w:p w14:paraId="215562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6ACB2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792AC4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15.065.217 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355B62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15.683.173 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8" w:type="dxa"/>
            <w:vAlign w:val="center"/>
            <w:textDirection w:val="lrTb"/>
            <w:noWrap/>
          </w:tcPr>
          <w:p w14:paraId="1725FF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24.596.203 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-6,4</w:t>
      </w:r>
      <w:r>
        <w:t xml:space="preserve">% </w:t>
      </w:r>
      <w:r>
        <w:t xml:space="preserve">đến</w:t>
      </w:r>
      <w:r>
        <w:t xml:space="preserve"> </w:t>
      </w:r>
      <w:r>
        <w:t xml:space="preserve"> </w:t>
      </w:r>
      <w:r>
        <w:t xml:space="preserve">4,7</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51.000.000</w:t>
      </w:r>
      <w:r>
        <w:rPr>
          <w:b/>
          <w:bCs/>
          <w:color w:val="000000" w:themeColor="text1"/>
        </w:rPr>
        <w:t xml:space="preserve"> </w:t>
      </w:r>
      <w:r>
        <w:rPr>
          <w:b/>
          <w:bCs/>
        </w:rPr>
        <w:t xml:space="preserve">đồng</w:t>
      </w:r>
      <w:r>
        <w:rPr>
          <w:b/>
          <w:bCs/>
        </w:rPr>
        <w:t xml:space="preserve">/m².</w:t>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Giá trị quyền sử dụng đất của thửa đất số 18, tờ bản đồ số 58 có địa chỉ tại xã Văn Mô</w:t>
            </w:r>
            <w:r>
              <w:rPr>
                <w:color w:val="000000"/>
              </w:rPr>
              <w:t xml:space="preserve">n, tỉnh Bắc Ninh theo Giấy chứng nhận quyền sử dụng đất, quyền sở hũu tài sản gắn liền với đất số AA05253306 số vào sổ chấp GCN CT3314/Q01 Sở Nông nghiệp và Môi trường tỉnh Bắc Ninh cấp ngày 06/01/2026 cho Công ty Cổ phần đầu tư nhà và thương mại Hưng Ngân</w:t>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282.2</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51.000.000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14.392.200.000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14.392.200.000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14.392.000.000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bốn tỷ, ba trăm chín mươi hai triệu đồng</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p>
    <w:p w14:paraId="3F9FFBDA">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thảm định giá, căn cứ hồ sơ pháp lý khách hàng cung cấp tổ thẩm định nhận thấy khách hàng thẩm định giá không phải là chủ tài sản trên giấy chứng nhận, bên cạnh đó chúng tôi chưa được cung cấp bất cứ hồ sơ nào liên quan đến việc xác lập quyền</w:t>
      </w:r>
      <w:r>
        <w:rPr>
          <w:rFonts w:ascii="Times New Roman" w:hAnsi="Times New Roman" w:eastAsia="Times New Roman" w:cs="Times New Roman"/>
          <w:color w:val="000000"/>
          <w:sz w:val="24"/>
        </w:rPr>
        <w:t xml:space="preserve"> sử dụng và sở hữu tài sản giữa chủ tài sản và khách hàng thẩm định giá. Đề nghij khách hàng thẩm định giá lưu ý để hoàn thiện các thủ tục pháp lý.</w:t>
      </w:r>
      <w:r/>
    </w:p>
    <w:p w14:paraId="7BDA69FD">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275/2026/0120/VFI-CT.24.A</w:t>
      </w:r>
      <w:r>
        <w:rPr>
          <w:color w:val="ff0000"/>
          <w:lang w:val="vi-VN"/>
        </w:rPr>
        <w:t xml:space="preserve"> </w:t>
      </w:r>
      <w:r>
        <w:rPr>
          <w:color w:val="000000" w:themeColor="text1"/>
        </w:rPr>
        <w:t xml:space="preserve">ngày 16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bCs/>
                <w:lang w:val="pt-BR"/>
              </w:rPr>
            </w:pPr>
            <w:r>
              <w:rPr>
                <w:rFonts w:eastAsia="Calibri"/>
                <w:b/>
                <w:lang w:val="pt-BR"/>
              </w:rPr>
              <w:t xml:space="preserve">CHỦ TỊCH HĐQT KIÊM TỔNG </w:t>
            </w:r>
            <w:r>
              <w:rPr>
                <w:rFonts w:eastAsia="Calibri"/>
                <w:b/>
                <w:lang w:val="pt-BR"/>
              </w:rPr>
            </w:r>
          </w:p>
          <w:p w14:paraId="285914D2">
            <w:pPr>
              <w:pBdr/>
              <w:spacing w:line="276" w:lineRule="auto"/>
              <w:ind/>
              <w:jc w:val="center"/>
              <w:rPr>
                <w:rFonts w:eastAsia="Calibri"/>
                <w:b/>
                <w:bCs/>
                <w:lang w:val="pt-BR"/>
              </w:rPr>
            </w:pPr>
            <w:r>
              <w:rPr>
                <w:rFonts w:eastAsia="Calibri"/>
                <w:b/>
                <w:lang w:val="pt-BR"/>
              </w:rPr>
              <w:t xml:space="preserve">GIÁM ĐỐC</w:t>
            </w:r>
            <w:r>
              <w:rPr>
                <w:rFonts w:eastAsia="Calibri"/>
                <w:b/>
                <w:lang w:val="pt-BR"/>
              </w:rPr>
            </w: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275/2026/0120/VFI-BC.24.A</w:t>
      </w:r>
      <w:r>
        <w:rPr>
          <w:i/>
          <w:lang w:val="pt-BR"/>
        </w:rPr>
        <w:t xml:space="preserve"> </w:t>
      </w:r>
      <w:r>
        <w:rPr>
          <w:i/>
          <w:lang w:val="pt-BR"/>
        </w:rPr>
        <w:t xml:space="preserve">16 tháng 01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130"/>
        <w:gridCol w:w="4395"/>
      </w:tblGrid>
      <w:tr>
        <w:trPr/>
        <w:tc>
          <w:tcPr>
            <w:tcBorders/>
            <w:tcW w:w="5130"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395"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5130"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80580" cy="346950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9152" name=""/>
                              <pic:cNvPicPr>
                                <a:picLocks noChangeAspect="1"/>
                              </pic:cNvPicPr>
                              <pic:nvPr/>
                            </pic:nvPicPr>
                            <pic:blipFill rotWithShape="1">
                              <a:blip r:embed="rId18"/>
                              <a:stretch/>
                            </pic:blipFill>
                            <pic:spPr bwMode="auto">
                              <a:xfrm flipH="0" flipV="0">
                                <a:off x="0" y="0"/>
                                <a:ext cx="2580580" cy="34695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3.20pt;height:273.19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395"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59014" cy="175440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02350" name=""/>
                              <pic:cNvPicPr>
                                <a:picLocks noChangeAspect="1"/>
                              </pic:cNvPicPr>
                              <pic:nvPr/>
                            </pic:nvPicPr>
                            <pic:blipFill rotWithShape="1">
                              <a:blip r:embed="rId19"/>
                              <a:stretch/>
                            </pic:blipFill>
                            <pic:spPr bwMode="auto">
                              <a:xfrm flipH="0" flipV="0">
                                <a:off x="0" y="0"/>
                                <a:ext cx="2959013" cy="17544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2.99pt;height:138.1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5130"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tcBorders/>
            <w:tcW w:w="4395"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rHeight w:val="372"/>
        </w:trPr>
        <w:tc>
          <w:tcPr>
            <w:tcBorders/>
            <w:tcW w:w="5130"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45680" cy="213426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37654" name=""/>
                              <pic:cNvPicPr>
                                <a:picLocks noChangeAspect="1"/>
                              </pic:cNvPicPr>
                              <pic:nvPr/>
                            </pic:nvPicPr>
                            <pic:blipFill rotWithShape="1">
                              <a:blip r:embed="rId20"/>
                              <a:stretch/>
                            </pic:blipFill>
                            <pic:spPr bwMode="auto">
                              <a:xfrm flipH="0" flipV="0">
                                <a:off x="0" y="0"/>
                                <a:ext cx="2845680" cy="21342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4.07pt;height:168.0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395"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3507" cy="197375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18915" name=""/>
                              <pic:cNvPicPr>
                                <a:picLocks noChangeAspect="1"/>
                              </pic:cNvPicPr>
                              <pic:nvPr/>
                            </pic:nvPicPr>
                            <pic:blipFill rotWithShape="1">
                              <a:blip r:embed="rId21"/>
                              <a:stretch/>
                            </pic:blipFill>
                            <pic:spPr bwMode="auto">
                              <a:xfrm flipH="0" flipV="0">
                                <a:off x="0" y="0"/>
                                <a:ext cx="2633507" cy="19737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7.36pt;height:155.41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5130"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395"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5130" w:type="dxa"/>
            <w:vAlign w:val="center"/>
            <w:textDirection w:val="lrTb"/>
            <w:noWrap w:val="false"/>
          </w:tcPr>
          <w:p w14:paraId="61FD01ED" w14:textId="6B88897D">
            <w:pPr>
              <w:pBdr/>
              <w:spacing w:after="120"/>
              <w:ind/>
              <w:jc w:val="center"/>
              <w:rPr>
                <w:i/>
                <w:lang w:val="pt-BR"/>
              </w:rPr>
            </w:pPr>
            <w:r>
              <w:rPr>
                <w:i/>
                <w:lang w:val="pt-BR"/>
              </w:rPr>
            </w:r>
            <w:r/>
            <w:r>
              <mc:AlternateContent>
                <mc:Choice Requires="wpg">
                  <w:drawing>
                    <wp:inline xmlns:wp="http://schemas.openxmlformats.org/drawingml/2006/wordprocessingDrawing" distT="0" distB="0" distL="0" distR="0">
                      <wp:extent cx="2935022" cy="219973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65381" name=""/>
                              <pic:cNvPicPr>
                                <a:picLocks noChangeAspect="1"/>
                              </pic:cNvPicPr>
                              <pic:nvPr/>
                            </pic:nvPicPr>
                            <pic:blipFill rotWithShape="1">
                              <a:blip r:embed="rId22"/>
                              <a:stretch/>
                            </pic:blipFill>
                            <pic:spPr bwMode="auto">
                              <a:xfrm flipH="0" flipV="0">
                                <a:off x="0" y="0"/>
                                <a:ext cx="2935022" cy="21997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10pt;height:173.21pt;mso-wrap-distance-left:0.00pt;mso-wrap-distance-top:0.00pt;mso-wrap-distance-right:0.00pt;mso-wrap-distance-bottom:0.00pt;z-index:1;" stroked="false">
                      <v:imagedata r:id="rId22" o:title=""/>
                      <o:lock v:ext="edit" rotation="t"/>
                    </v:shape>
                  </w:pict>
                </mc:Fallback>
              </mc:AlternateContent>
            </w:r>
            <w:r/>
            <w:r>
              <w:rPr>
                <w:i/>
                <w:lang w:val="pt-BR"/>
              </w:rPr>
            </w:r>
            <w:r>
              <w:rPr>
                <w:i/>
                <w:lang w:val="pt-BR"/>
              </w:rPr>
            </w:r>
          </w:p>
        </w:tc>
        <w:tc>
          <w:tcPr>
            <w:tcBorders/>
            <w:tcW w:w="4395"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93745" cy="202030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12092" name=""/>
                              <pic:cNvPicPr>
                                <a:picLocks noChangeAspect="1"/>
                              </pic:cNvPicPr>
                              <pic:nvPr/>
                            </pic:nvPicPr>
                            <pic:blipFill rotWithShape="1">
                              <a:blip r:embed="rId23"/>
                              <a:stretch/>
                            </pic:blipFill>
                            <pic:spPr bwMode="auto">
                              <a:xfrm flipH="0" flipV="0">
                                <a:off x="0" y="0"/>
                                <a:ext cx="2693744" cy="20203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2.11pt;height:159.08pt;mso-wrap-distance-left:0.00pt;mso-wrap-distance-top:0.00pt;mso-wrap-distance-right:0.00pt;mso-wrap-distance-bottom:0.00pt;z-index:1;" stroked="false">
                      <v:imagedata r:id="rId23" o:title=""/>
                      <o:lock v:ext="edit" rotation="t"/>
                    </v:shape>
                  </w:pict>
                </mc:Fallback>
              </mc:AlternateContent>
            </w: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275/2026/0120/VFI-BC.24.A</w:t>
      </w:r>
      <w:r>
        <w:rPr>
          <w:i/>
          <w:lang w:val="pt-BR"/>
        </w:rPr>
        <w:t xml:space="preserve"> </w:t>
      </w:r>
      <w:r>
        <w:rPr>
          <w:i/>
          <w:lang w:val="pt-BR"/>
        </w:rPr>
        <w:t xml:space="preserve">ngày 16 tháng 01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0839288888</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5.600.000.000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5.040.000.000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(73.6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Văn Môn, Huyện Yên Phong, Tỉnh Bắc Ninh, khoảng cách ra đường chính Cách đường DT286 khoảng 200mm, độ rộng đường trước mặt tài sản 10m, Cách đường DT286 khoảng 200m, mặt tiền 6.4m, 21.195017123883122, 105.94783517757617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73.6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65670F8">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67DDE">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D2B6D5">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đô thị, khu phân lô/tái định cư</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474040"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flipH="0" flipV="0">
                                <a:off x="0" y="0"/>
                                <a:ext cx="547403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31.03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586122"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1305787060" name="" descr=""/>
                              <pic:cNvPicPr/>
                              <pic:nvPr/>
                            </pic:nvPicPr>
                            <pic:blipFill rotWithShape="1">
                              <a:blip r:embed="rId25"/>
                              <a:stretch/>
                            </pic:blipFill>
                            <pic:spPr bwMode="auto">
                              <a:xfrm>
                                <a:off x="0" y="0"/>
                                <a:ext cx="5586121"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39.85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540715"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1117675486" name="" descr=""/>
                              <pic:cNvPicPr/>
                              <pic:nvPr/>
                            </pic:nvPicPr>
                            <pic:blipFill rotWithShape="1">
                              <a:blip r:embed="rId26"/>
                              <a:stretch/>
                            </pic:blipFill>
                            <pic:spPr bwMode="auto">
                              <a:xfrm flipH="0" flipV="0">
                                <a:off x="0" y="0"/>
                                <a:ext cx="554071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36.28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Lê Thị Quỳnh Anh</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0839288888</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7.100.000.000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6.390.000.000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(75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Thị trấn Chờ, Huyện Yên Phong, Tỉnh Bắc Ninh, khoảng cách ra đường chính Cách đường DT286 khoảng 250mm, độ rộng đường trước mặt tài sản 10m, Cách đường DT286 khoảng 250m, mặt tiền 5m, 21.19438573362303, 105.94825766411077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75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65670F8">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67DDE">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D2B6D5">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đô thị, khu phân lô/tái định cư</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69265"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536926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22.78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58612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55861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39.85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61179"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496117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90.64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Lê Thị Quỳnh Anh</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https://www.facebook.com/groups/BatdongsanYenPhong/posts/25401086499530224/</w:t>
            </w:r>
            <w:r>
              <w:rPr>
                <w:color w:val="000000" w:themeColor="text1"/>
                <w:sz w:val="22"/>
                <w:szCs w:val="22"/>
              </w:rPr>
              <w:br/>
            </w:r>
            <w:r>
              <w:rPr>
                <w:sz w:val="22"/>
                <w:szCs w:val="22"/>
              </w:rPr>
              <w:t xml:space="preserve">SĐT: </w:t>
            </w:r>
            <w:r>
              <w:rPr>
                <w:color w:val="000000" w:themeColor="text1"/>
                <w:sz w:val="22"/>
                <w:szCs w:val="22"/>
              </w:rPr>
              <w:t xml:space="preserve">0916088286</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6.350.000.000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5.715.000.000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(79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Thị trấn Chờ, Huyện Yên Phong, Tỉnh Bắc Ninh, khoảng cách ra đường chính Cách đường DT286 khoảng 300m, độ rộng đường trước mặt tài sản 12m, Cách đường DT286 khoảng 300m, mặt tiền 6m, 21.192507021277343, 105.9486157562013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Vạt góc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đô thị, khu phân lô/tái định cư</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05016"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4050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46.85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469927"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1139826117" name="" descr=""/>
                              <pic:cNvPicPr/>
                              <pic:nvPr/>
                            </pic:nvPicPr>
                            <pic:blipFill rotWithShape="1">
                              <a:blip r:embed="rId31"/>
                              <a:stretch/>
                            </pic:blipFill>
                            <pic:spPr bwMode="auto">
                              <a:xfrm>
                                <a:off x="0" y="0"/>
                                <a:ext cx="546992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30.70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302590" cy="3107785"/>
                      <wp:effectExtent l="0" t="0" r="0" b="0"/>
                      <wp:docPr id="20" name=""/>
                      <wp:cNvGraphicFramePr/>
                      <a:graphic xmlns:a="http://schemas.openxmlformats.org/drawingml/2006/main">
                        <a:graphicData uri="http://schemas.openxmlformats.org/drawingml/2006/picture">
                          <pic:pic xmlns:pic="http://schemas.openxmlformats.org/drawingml/2006/picture">
                            <pic:nvPicPr>
                              <pic:cNvPr id="1519020295" name="" descr=""/>
                              <pic:cNvPicPr/>
                              <pic:nvPr/>
                            </pic:nvPicPr>
                            <pic:blipFill rotWithShape="1">
                              <a:blip r:embed="rId32"/>
                              <a:stretch/>
                            </pic:blipFill>
                            <pic:spPr bwMode="auto">
                              <a:xfrm flipH="0" flipV="0">
                                <a:off x="0" y="0"/>
                                <a:ext cx="5302589" cy="31077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7.53pt;height:244.71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Lê Thị Quỳnh Anh</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8">
    <w:nsid w:val="35846971"/>
    <w:lvl w:ilvl="0">
      <w:isLgl w:val="false"/>
      <w:lvlJc w:val="left"/>
      <w:lvlText w:val="-"/>
      <w:numFmt w:val="bullet"/>
      <w:pPr>
        <w:pBdr/>
        <w:spacing/>
        <w:ind w:hanging="360" w:left="135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7F889B2D"/>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1">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2">
    <w:nsid w:val="75990BE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3A9BEA0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Quỳnh Anh</cp:lastModifiedBy>
  <cp:revision>270</cp:revision>
  <dcterms:created xsi:type="dcterms:W3CDTF">2025-09-15T09:58:00Z</dcterms:created>
  <dcterms:modified xsi:type="dcterms:W3CDTF">2026-01-20T02:32:37Z</dcterms:modified>
</cp:coreProperties>
</file>