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-381871</wp:posOffset>
                </wp:positionV>
                <wp:extent cx="5467350" cy="327660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765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275/2026/0250/VFI-CT.48.A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ĐỨC NINH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16, tờ bản đồ số: 38 có địa chỉ: Thôn Kiêu Kỵ, xã Gia Lâm, thành phố Hà Nội theo Giấ</w:t>
                            </w:r>
                            <w:r>
                              <w:rPr>
                                <w:color w:val="000000"/>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30.07pt;mso-position-vertical:absolute;width:430.50pt;height:258.0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275/2026/0250/VFI-CT.48.A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ĐỨC NINH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16, tờ bản đồ số: 38 có địa chỉ: Thôn Kiêu Kỵ, xã Gia Lâm, thành phố Hà Nội theo Giấ</w:t>
                      </w:r>
                      <w:r>
                        <w:rPr>
                          <w:color w:val="000000"/>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50" w:type="dxa"/>
        <w:tblBorders/>
        <w:tblLayout w:type="fixed"/>
        <w:tblLook w:val="04A0" w:firstRow="1" w:lastRow="0" w:firstColumn="1" w:lastColumn="0" w:noHBand="0" w:noVBand="1"/>
      </w:tblPr>
      <w:tblGrid>
        <w:gridCol w:w="1871"/>
        <w:gridCol w:w="3090"/>
        <w:gridCol w:w="4961"/>
        <w:gridCol w:w="29"/>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7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961"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w:t>
            </w:r>
            <w:r>
              <w:rPr>
                <w:rStyle w:val="1027"/>
                <w:rFonts w:ascii="Times New Roman" w:hAnsi="Times New Roman"/>
                <w:color w:val="000000" w:themeColor="text1"/>
                <w:lang w:val="pt-BR"/>
              </w:rPr>
              <w:t xml:space="preserve">: </w:t>
            </w:r>
            <w:r>
              <w:rPr>
                <w:rStyle w:val="1027"/>
                <w:rFonts w:ascii="Times New Roman" w:hAnsi="Times New Roman"/>
                <w:color w:val="000000" w:themeColor="text1"/>
                <w:lang w:val="pt-BR"/>
              </w:rPr>
              <w:t xml:space="preserve">275/2026/0250/VFI-CT.48.A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w:t>
            </w:r>
            <w:r>
              <w:rPr>
                <w:rStyle w:val="1027"/>
                <w:rFonts w:ascii="Times New Roman" w:hAnsi="Times New Roman"/>
                <w:i/>
                <w:color w:val="auto"/>
              </w:rPr>
              <w:t xml:space="preserve">Hà</w:t>
            </w:r>
            <w:r>
              <w:rPr>
                <w:rStyle w:val="1027"/>
                <w:rFonts w:ascii="Times New Roman" w:hAnsi="Times New Roman"/>
                <w:i/>
                <w:color w:val="auto"/>
              </w:rPr>
              <w:t xml:space="preserve"> </w:t>
            </w:r>
            <w:r>
              <w:rPr>
                <w:rStyle w:val="1027"/>
                <w:rFonts w:ascii="Times New Roman" w:hAnsi="Times New Roman"/>
                <w:i/>
                <w:color w:val="auto"/>
              </w:rPr>
              <w:t xml:space="preserve">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2 tháng 2 năm 2026</w:t>
            </w:r>
            <w:r>
              <w:rPr>
                <w:color w:val="000000" w:themeColor="text1"/>
                <w:sz w:val="24"/>
                <w:szCs w:val="24"/>
                <w:lang w:val="vi-VN"/>
              </w:rPr>
            </w:r>
            <w:r>
              <w:rPr>
                <w:color w:val="000000" w:themeColor="text1"/>
                <w:sz w:val="24"/>
                <w:szCs w:val="24"/>
                <w:lang w:val="vi-VN"/>
              </w:rPr>
            </w:r>
          </w:p>
        </w:tc>
      </w:tr>
    </w:tbl>
    <w:p>
      <w:pPr>
        <w:pStyle w:val="1028"/>
        <w:pBdr/>
        <w:spacing w:after="120" w:before="200" w:line="288" w:lineRule="auto"/>
        <w:ind/>
        <w:jc w:val="center"/>
        <w:rPr>
          <w:rStyle w:val="1027"/>
          <w:rFonts w:ascii="Times New Roman" w:hAnsi="Times New Roman"/>
          <w:b/>
          <w:bCs/>
          <w:color w:val="auto"/>
          <w:sz w:val="30"/>
          <w:szCs w:val="30"/>
          <w:lang w:val="vi-VN"/>
        </w:rPr>
      </w:pP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ĐỨC NINH</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275/2026/0250/VFI-HĐTĐ.48.A</w:t>
      </w:r>
      <w:r>
        <w:rPr>
          <w:spacing w:val="-4"/>
          <w:lang w:val="vi-VN"/>
        </w:rPr>
        <w:t xml:space="preserve"> ký ngày </w:t>
      </w:r>
      <w:r>
        <w:rPr>
          <w:color w:val="000000" w:themeColor="text1"/>
          <w:spacing w:val="-4"/>
        </w:rPr>
        <w:t xml:space="preserve">30 tháng 1 năm 2026</w:t>
      </w:r>
      <w:r>
        <w:rPr>
          <w:spacing w:val="-4"/>
          <w:lang w:val="vi-VN"/>
        </w:rPr>
        <w:t xml:space="preserve"> </w:t>
      </w:r>
      <w:r>
        <w:rPr>
          <w:spacing w:val="-4"/>
          <w:lang w:val="vi-VN"/>
        </w:rPr>
        <w:t xml:space="preserve">giữa </w:t>
      </w:r>
      <w:r>
        <w:rPr>
          <w:color w:val="000000" w:themeColor="text1"/>
          <w:spacing w:val="-4"/>
        </w:rPr>
        <w:t xml:space="preserve">Ông Nguyễn Đức Ninh</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275/2026/0250/VFI-BC.48.A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 tháng 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ÔNG NGUYỄN ĐỨC NINH</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033070004633</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16, tờ bản đồ số: 38 có địa chỉ: Thôn Kiêu Kỵ, xã Gia Lâm, thành phố Hà Nội theo Giấ</w:t>
      </w:r>
      <w:r>
        <w:rPr>
          <w:color w:val="000000" w:themeColor="text1"/>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W w:w="494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0"/>
        <w:gridCol w:w="2178"/>
        <w:gridCol w:w="1802"/>
        <w:gridCol w:w="2581"/>
        <w:gridCol w:w="2164"/>
      </w:tblGrid>
      <w:tr>
        <w:trPr>
          <w:trHeight w:val="20"/>
        </w:trPr>
        <w:tc>
          <w:tcPr>
            <w:shd w:val="clear" w:color="000000" w:fill="ffffff"/>
            <w:tcBorders/>
            <w:tcW w:w="700"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17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700"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561"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16, tờ bản đồ số: 38 có địa chỉ: Thôn Kiêu Kỵ, xã Gia Lâm, thành phố Hà Nội theo Giấ</w:t>
            </w:r>
            <w:r>
              <w:rPr>
                <w:color w:val="000000"/>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b/>
                <w:bCs/>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00"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178" w:type="dxa"/>
            <w:vAlign w:val="center"/>
            <w:textDirection w:val="lrTb"/>
            <w:noWrap w:val="false"/>
          </w:tcPr>
          <w:p>
            <w:pPr>
              <w:pBdr/>
              <w:spacing w:after="40" w:before="40" w:line="288" w:lineRule="auto"/>
              <w:ind/>
              <w:rPr>
                <w:b w:val="0"/>
                <w:bCs w:val="0"/>
              </w:rPr>
            </w:pPr>
            <w:r>
              <w:rPr>
                <w:b w:val="0"/>
                <w:bCs w:val="0"/>
              </w:rPr>
              <w:t xml:space="preserve">Đất ở tại nông thôn</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70,6</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90.000.000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6.354.000.000</w:t>
            </w:r>
            <w:r/>
          </w:p>
        </w:tc>
      </w:tr>
      <w:tr>
        <w:trPr>
          <w:trHeight w:val="20"/>
        </w:trPr>
        <w:tc>
          <w:tcPr>
            <w:gridSpan w:val="4"/>
            <w:tcBorders/>
            <w:tcW w:w="726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6.354.000.000</w:t>
            </w:r>
            <w:r>
              <w:rPr>
                <w:b/>
                <w:bCs/>
                <w:color w:val="000000"/>
              </w:rPr>
            </w:r>
            <w:r>
              <w:rPr>
                <w:b/>
                <w:bCs/>
                <w:color w:val="000000"/>
              </w:rPr>
            </w:r>
          </w:p>
        </w:tc>
      </w:tr>
      <w:tr>
        <w:trPr>
          <w:trHeight w:val="20"/>
        </w:trPr>
        <w:tc>
          <w:tcPr>
            <w:gridSpan w:val="5"/>
            <w:tcBorders/>
            <w:tcW w:w="9426"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ba trăm năm mươi bốn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729"/>
        <w:gridCol w:w="3302"/>
        <w:gridCol w:w="5031"/>
        <w:gridCol w:w="29"/>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031"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w:t>
            </w:r>
            <w:r>
              <w:rPr>
                <w:rStyle w:val="1027"/>
                <w:rFonts w:ascii="Times New Roman" w:hAnsi="Times New Roman"/>
                <w:color w:val="000000" w:themeColor="text1"/>
                <w:lang w:val="pt-BR"/>
              </w:rPr>
              <w:t xml:space="preserve">: </w:t>
            </w:r>
            <w:r>
              <w:rPr>
                <w:rStyle w:val="1027"/>
                <w:rFonts w:ascii="Times New Roman" w:hAnsi="Times New Roman"/>
                <w:color w:val="000000" w:themeColor="text1"/>
                <w:lang w:val="pt-BR"/>
              </w:rPr>
              <w:t xml:space="preserve">275/2026/0250/VFI-BC.48.A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w:t>
            </w:r>
            <w:r>
              <w:rPr>
                <w:rStyle w:val="1027"/>
                <w:rFonts w:ascii="Times New Roman" w:hAnsi="Times New Roman"/>
                <w:i/>
                <w:color w:val="auto"/>
              </w:rPr>
              <w:t xml:space="preserve">Hà</w:t>
            </w:r>
            <w:r>
              <w:rPr>
                <w:rStyle w:val="1027"/>
                <w:rFonts w:ascii="Times New Roman" w:hAnsi="Times New Roman"/>
                <w:i/>
                <w:color w:val="auto"/>
              </w:rPr>
              <w:t xml:space="preserve"> </w:t>
            </w:r>
            <w:r>
              <w:rPr>
                <w:rStyle w:val="1027"/>
                <w:rFonts w:ascii="Times New Roman" w:hAnsi="Times New Roman"/>
                <w:i/>
                <w:color w:val="auto"/>
              </w:rPr>
              <w:t xml:space="preserve">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2 tháng 2 năm 2026</w:t>
            </w:r>
            <w:r>
              <w:rPr>
                <w:color w:val="000000" w:themeColor="text1"/>
                <w:sz w:val="24"/>
                <w:szCs w:val="24"/>
                <w:lang w:val="vi-VN"/>
              </w:rPr>
            </w:r>
            <w:r>
              <w:rPr>
                <w:color w:val="000000" w:themeColor="text1"/>
                <w:sz w:val="24"/>
                <w:szCs w:val="24"/>
                <w:lang w:val="vi-VN"/>
              </w:rPr>
            </w:r>
          </w:p>
        </w:tc>
      </w:tr>
    </w:tbl>
    <w:p>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275/2026/0250/VFI-BC.48.A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 tháng 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ÔNG NGUYỄN ĐỨC NINH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033070004633</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16, tờ bản đồ số: 38 có địa chỉ: Thôn Kiêu Kỵ, xã Gia Lâm, thành phố Hà Nội theo Giấ</w:t>
            </w:r>
            <w:r>
              <w:rPr>
                <w:bCs/>
                <w:color w:val="000000" w:themeColor="text1"/>
                <w:lang w:val="pt-BR"/>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Thôn Kiêu Kỵ, xã Gia Lâm,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20.983972222222, 105.95213888889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30/1/2026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9"/>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9"/>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w:t>
      </w:r>
      <w:r>
        <w:rPr>
          <w:bCs/>
          <w:color w:val="000000" w:themeColor="text1"/>
          <w:lang w:val="pt-BR"/>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rFonts w:ascii="Times New Roman" w:hAnsi="Times New Roman" w:eastAsia="Times New Roman" w:cs="Times New Roman"/>
          <w:color w:val="000000"/>
          <w:spacing w:val="-4"/>
          <w:sz w:val="24"/>
        </w:rPr>
        <w:t xml:space="preserve">275/2026/0250/VFI-HĐTĐ.48.A</w:t>
      </w:r>
      <w:r>
        <w:rPr>
          <w:color w:val="000000" w:themeColor="text1"/>
          <w:lang w:val="pt-BR"/>
        </w:rPr>
        <w:t xml:space="preserve"> ngày 30/01/2026 giữa Ông Nguyễn Đức Ninh với Công ty Cổ phần Thẩm định và Đầu tư Tài chính Hoa Sen.</w:t>
      </w:r>
      <w:r>
        <w:rPr>
          <w:b/>
          <w:lang w:val="pt-BR"/>
        </w:rPr>
      </w:r>
      <w:r>
        <w:rPr>
          <w:b/>
          <w:lang w:val="pt-BR"/>
        </w:rPr>
      </w:r>
    </w:p>
    <w:p>
      <w:pPr>
        <w:pStyle w:val="1029"/>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lang w:val="pt-BR"/>
        </w:rPr>
        <w:tab/>
      </w:r>
      <w:r>
        <w:rPr>
          <w:rFonts w:ascii="Times New Roman" w:hAnsi="Times New Roman" w:eastAsia="Times New Roman" w:cs="Times New Roman"/>
          <w:b/>
          <w:color w:val="000000"/>
          <w:sz w:val="24"/>
        </w:rPr>
        <w:t xml:space="preserve">Quận Gia Lâm cũ</w:t>
      </w:r>
      <w:r>
        <w:rPr>
          <w:rFonts w:ascii="Times New Roman" w:hAnsi="Times New Roman" w:eastAsia="Times New Roman" w:cs="Times New Roman"/>
          <w:color w:val="000000"/>
          <w:sz w:val="24"/>
        </w:rPr>
        <w:t xml:space="preserve">, một phần của thủ đô Hà Nội, đang chứng kiến sự phát triển nhanh chóng trong lĩnh vực bất động sản. Nhiều dự án nhà ở, trung tâm thương mại và khu công nghiệp mới liên tục ra đời, mang lại cơ hội đầu tư hấp dẫn và cải thiện chất lượng sống cho người dân t</w:t>
      </w:r>
      <w:r>
        <w:rPr>
          <w:rFonts w:ascii="Times New Roman" w:hAnsi="Times New Roman" w:eastAsia="Times New Roman" w:cs="Times New Roman"/>
          <w:color w:val="000000"/>
          <w:sz w:val="24"/>
        </w:rPr>
        <w:t xml:space="preserve">rong khu vực. Hãy cùng Muaban.net tìm hiểu về tiềm năng bất động sản tại Gia Lâm trong bài viết dưới đây.</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color w:val="000000"/>
          <w:sz w:val="24"/>
        </w:rPr>
        <w:t xml:space="preserve">Thị trường bất động sản tại Quận Gia Lâm, Hà Nội trong những năm gần đây nổi lên như một điểm sáng thu hút sự chú ý của đông đảo nhà đầu tư và khách hàng. Nằm ở vị trí chiến lược, được quy hoạch bài bản và sở hữu nhiều lợi thế vượt trội, Gia Lâm đang dần k</w:t>
      </w:r>
      <w:r>
        <w:rPr>
          <w:rFonts w:ascii="Times New Roman" w:hAnsi="Times New Roman" w:eastAsia="Times New Roman" w:cs="Times New Roman"/>
          <w:color w:val="000000"/>
          <w:sz w:val="24"/>
        </w:rPr>
        <w:t xml:space="preserve">hẳng định vị thế là khu vực có tiềm năng phát triển BĐS mạnh mẽ bậc nhất thủ đô</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b/>
          <w:color w:val="000000"/>
          <w:sz w:val="24"/>
        </w:rPr>
        <w:t xml:space="preserve">Tiềm năng phát triển của bất động sản khu vực</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b/>
          <w:color w:val="000000"/>
          <w:sz w:val="24"/>
        </w:rPr>
        <w:t xml:space="preserve">Vị trí chiến lược:</w:t>
      </w:r>
      <w:r>
        <w:rPr>
          <w:rFonts w:ascii="Times New Roman" w:hAnsi="Times New Roman" w:eastAsia="Times New Roman" w:cs="Times New Roman"/>
          <w:color w:val="000000"/>
          <w:sz w:val="24"/>
        </w:rPr>
        <w:t xml:space="preserve"> Quận Gia Lâm sở hữu vị trí đắc địa, tiếp giáp với trung tâm thành phố Hà Nội và các tỉnh lân cận như Hưng Yên, Bắc Ninh Nhờ vậy, khu vực này có điều kiện thuận lợi để phát triển kinh tế – xã hội và thu hút đầu tư từ các doanh nghiệp trong và ngoài nước</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b/>
          <w:color w:val="000000"/>
          <w:sz w:val="24"/>
        </w:rPr>
        <w:t xml:space="preserve">Hạ tầng giao thông đồng bộ:</w:t>
      </w:r>
      <w:r>
        <w:rPr>
          <w:rFonts w:ascii="Times New Roman" w:hAnsi="Times New Roman" w:eastAsia="Times New Roman" w:cs="Times New Roman"/>
          <w:color w:val="000000"/>
          <w:sz w:val="24"/>
        </w:rPr>
        <w:t xml:space="preserve"> Quận được đầu tư mạnh mẽ về hạ tầng giao thông với nhiều tuyến đường quan trọng được xây dựng và nâng cấp như cao tốc Hà Nội – Hải Phòng, đường vành đai 3 mở rộng. Hệ thống giao thông đồng bộ giúp kết nối Gia Lâm với các khu vực khác trong thành phố và cá</w:t>
      </w:r>
      <w:r>
        <w:rPr>
          <w:rFonts w:ascii="Times New Roman" w:hAnsi="Times New Roman" w:eastAsia="Times New Roman" w:cs="Times New Roman"/>
          <w:color w:val="000000"/>
          <w:sz w:val="24"/>
        </w:rPr>
        <w:t xml:space="preserve">c tỉnh lân cận một cách nhanh chóng và thuận tiện</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b/>
          <w:color w:val="000000"/>
          <w:sz w:val="24"/>
        </w:rPr>
        <w:t xml:space="preserve">Quy hoạch bài bản: </w:t>
      </w:r>
      <w:r>
        <w:rPr>
          <w:rFonts w:ascii="Times New Roman" w:hAnsi="Times New Roman" w:eastAsia="Times New Roman" w:cs="Times New Roman"/>
          <w:color w:val="000000"/>
          <w:sz w:val="24"/>
        </w:rPr>
        <w:t xml:space="preserve">Quận Gia Lâm được quy hoạch trở thành trung tâm kinh tế – văn hóa – hành chính phía Đông Hà Nội, với nhiều khu đô thị mới hiện đại đang được triển khai. Quy hoạch bài bản giúp đảm bảo sự phát triển bền vững của khu vực và thu hút đầu tư vào lĩnh vực bất độ</w:t>
      </w:r>
      <w:r>
        <w:rPr>
          <w:rFonts w:ascii="Times New Roman" w:hAnsi="Times New Roman" w:eastAsia="Times New Roman" w:cs="Times New Roman"/>
          <w:color w:val="000000"/>
          <w:sz w:val="24"/>
        </w:rPr>
        <w:t xml:space="preserve">ng sản</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b/>
          <w:color w:val="000000"/>
          <w:sz w:val="24"/>
        </w:rPr>
        <w:t xml:space="preserve">Cơ sở hạ tầng phát triển:</w:t>
      </w:r>
      <w:r>
        <w:rPr>
          <w:rFonts w:ascii="Times New Roman" w:hAnsi="Times New Roman" w:eastAsia="Times New Roman" w:cs="Times New Roman"/>
          <w:color w:val="000000"/>
          <w:sz w:val="24"/>
        </w:rPr>
        <w:t xml:space="preserve"> Xuất hiện thêm nhiều trung tâm thương mại, khu vui chơi giải trí, bệnh viện, trường học, nhà thuốc,… nhờ vậy mà khu vực Quận Gia Lâm ngày càng thu hút nhiều người đổ về đây sinh sống và làm việc</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b/>
          <w:color w:val="000000"/>
          <w:sz w:val="24"/>
        </w:rPr>
        <w:t xml:space="preserve">Nhận định về tiềm năng trong tương lai:</w:t>
      </w:r>
      <w:r>
        <w:rPr>
          <w:rFonts w:ascii="Times New Roman" w:hAnsi="Times New Roman" w:eastAsia="Times New Roman" w:cs="Times New Roman"/>
          <w:color w:val="000000"/>
          <w:sz w:val="24"/>
        </w:rPr>
        <w:t xml:space="preserve"> Với những lợi thế về vị trí, hạ tầng và quy hoạch, thị trường bất động sản Gia Lâm được đánh giá là có tiềm năng phát triển rất lớn trong tương lai. Nhu cầu nhà ở và đầu tư tại khu vực này ngày càng tăng cao, hứa hẹn mang lại lợi nhuận hấp dẫn cho các nhà</w:t>
      </w:r>
      <w:r>
        <w:rPr>
          <w:rFonts w:ascii="Times New Roman" w:hAnsi="Times New Roman" w:eastAsia="Times New Roman" w:cs="Times New Roman"/>
          <w:color w:val="000000"/>
          <w:sz w:val="24"/>
        </w:rPr>
        <w:t xml:space="preserve"> đầu tư</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b/>
          <w:color w:val="000000"/>
          <w:sz w:val="24"/>
        </w:rPr>
        <w:t xml:space="preserve">Một số dự án bất động sản nổi bật ở Quận</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color w:val="000000"/>
          <w:sz w:val="24"/>
        </w:rPr>
        <w:t xml:space="preserve">1.Vinhomes Ocean Park</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color w:val="000000"/>
          <w:sz w:val="24"/>
        </w:rPr>
        <w:t xml:space="preserve">2. Đặng Xá New City</w:t>
      </w:r>
      <w:r/>
    </w:p>
    <w:p>
      <w:pPr>
        <w:pBdr>
          <w:top w:val="none" w:color="000000" w:sz="4" w:space="0"/>
          <w:left w:val="none" w:color="000000" w:sz="4" w:space="0"/>
          <w:bottom w:val="none" w:color="000000" w:sz="4" w:space="0"/>
          <w:right w:val="none" w:color="000000" w:sz="4" w:space="0"/>
        </w:pBdr>
        <w:spacing w:after="60" w:before="60" w:line="360" w:lineRule="auto"/>
        <w:ind w:right="0" w:firstLine="426" w:left="0"/>
        <w:rPr/>
      </w:pPr>
      <w:r>
        <w:rPr>
          <w:rFonts w:ascii="Times New Roman" w:hAnsi="Times New Roman" w:eastAsia="Times New Roman" w:cs="Times New Roman"/>
          <w:color w:val="000000"/>
          <w:sz w:val="24"/>
        </w:rPr>
        <w:t xml:space="preserve">3. Vinhomes River Park</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https://muaban.net/blog/gia-lam-537916/)</w:t>
      </w:r>
      <w:r>
        <w:rPr>
          <w:bCs/>
          <w:i/>
          <w:lang w:val="pt-BR"/>
        </w:rPr>
      </w:r>
      <w:r>
        <w:rPr>
          <w:bCs/>
          <w:i/>
          <w:lang w:val="pt-BR"/>
        </w:rPr>
      </w:r>
    </w:p>
    <w:p>
      <w:pPr>
        <w:pStyle w:val="102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16, tờ bản đồ số: 38 có địa chỉ: Thôn Kiêu Kỵ, xã Gia Lâm, thành phố Hà Nội theo Giấ</w:t>
            </w:r>
            <w:r>
              <w:rPr>
                <w:b/>
                <w:bCs/>
                <w:color w:val="000000"/>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38</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Thôn Kiêu Kỵ, xã Gia Lâm,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70,6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nông thôn</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bê tông</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4,0</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4,0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themeColor="text1"/>
              </w:rPr>
              <w:t xml:space="preserve">Tài sản cách đường Nguyễn Quý Trị khoảng 20m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firstLine="0" w:left="0"/>
              <w:rPr>
                <w:highlight w:val="none"/>
              </w:rPr>
            </w:pPr>
            <w:r>
              <w:t xml:space="preserve">-Hướng Tây: Tiếp giáp đường giao thông</w:t>
            </w:r>
            <w:r>
              <w:rPr>
                <w:highlight w:val="none"/>
              </w:rPr>
            </w:r>
            <w:r>
              <w:rPr>
                <w:highlight w:val="none"/>
              </w:rPr>
            </w:r>
          </w:p>
          <w:p>
            <w:pPr>
              <w:pBdr/>
              <w:spacing/>
              <w:ind w:firstLine="0" w:left="0"/>
              <w:rPr>
                <w:highlight w:val="none"/>
              </w:rPr>
            </w:pPr>
            <w:r>
              <w:rPr>
                <w:highlight w:val="none"/>
              </w:rPr>
              <w:t xml:space="preserve">-Các hướng còn lại: Tiếp giáp các thửa đất khác</w:t>
            </w:r>
            <w:r>
              <w:rPr>
                <w:highlight w:val="none"/>
              </w:rPr>
            </w:r>
            <w:r>
              <w:rPr>
                <w:highlight w:val="none"/>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20.983972222222</w:t>
            </w:r>
            <w:r>
              <w:rPr>
                <w:color w:val="000000"/>
              </w:rPr>
              <w:t xml:space="preserve">, </w:t>
            </w:r>
            <w:r>
              <w:rPr>
                <w:color w:val="000000"/>
              </w:rPr>
              <w:t xml:space="preserve">105.95213888889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1222"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1222"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2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70,6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5,26</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13,11 - 13,43</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Tương đối vuông vức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 Đất trống</w:t>
            </w:r>
            <w:r>
              <w:rPr>
                <w:b/>
                <w:bCs/>
                <w:color w:val="000000"/>
              </w:rPr>
            </w:r>
            <w:r>
              <w:rPr>
                <w:b/>
                <w:bCs/>
                <w:color w:val="000000"/>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Có</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t xml:space="preserve">Tài sản gần chùa Kiêu Kỵ</w:t>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89"/>
        <w:gridCol w:w="2117"/>
        <w:gridCol w:w="1699"/>
        <w:gridCol w:w="1699"/>
        <w:gridCol w:w="1699"/>
        <w:gridCol w:w="1699"/>
      </w:tblGrid>
      <w:tr>
        <w:trPr>
          <w:trHeight w:val="0"/>
          <w:tblHeader/>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STT</w:t>
            </w:r>
            <w:r>
              <w:rPr>
                <w:color w:val="000000" w:themeColor="text1"/>
                <w:highlight w:val="white"/>
              </w:rPr>
            </w:r>
            <w:r>
              <w:rPr>
                <w:color w:val="000000" w:themeColor="text1"/>
                <w:highlight w:val="white"/>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b/>
                <w:color w:val="000000" w:themeColor="text1"/>
                <w:sz w:val="22"/>
                <w:highlight w:val="white"/>
              </w:rPr>
              <w:t xml:space="preserve">ĐẶC ĐIỂM BĐS</w:t>
            </w:r>
            <w:r>
              <w:rPr>
                <w:color w:val="000000" w:themeColor="text1"/>
                <w:highlight w:val="white"/>
              </w:rPr>
            </w:r>
            <w:r>
              <w:rPr>
                <w:color w:val="000000" w:themeColor="text1"/>
                <w:highlight w:val="white"/>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TSTĐ</w:t>
            </w:r>
            <w:r>
              <w:rPr>
                <w:color w:val="000000" w:themeColor="text1"/>
                <w:highlight w:val="white"/>
              </w:rPr>
            </w:r>
            <w:r>
              <w:rPr>
                <w:color w:val="000000" w:themeColor="text1"/>
                <w:highlight w:val="white"/>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TSSS1</w:t>
            </w:r>
            <w:r>
              <w:rPr>
                <w:color w:val="000000" w:themeColor="text1"/>
                <w:highlight w:val="white"/>
              </w:rPr>
            </w:r>
            <w:r>
              <w:rPr>
                <w:color w:val="000000" w:themeColor="text1"/>
                <w:highlight w:val="white"/>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TSSS2</w:t>
            </w:r>
            <w:r>
              <w:rPr>
                <w:color w:val="000000" w:themeColor="text1"/>
                <w:highlight w:val="white"/>
              </w:rPr>
            </w:r>
            <w:r>
              <w:rPr>
                <w:color w:val="000000" w:themeColor="text1"/>
                <w:highlight w:val="white"/>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TSSS3</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A</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b/>
                <w:color w:val="000000" w:themeColor="text1"/>
                <w:sz w:val="22"/>
                <w:highlight w:val="white"/>
              </w:rPr>
              <w:t xml:space="preserve">Thông tin về tài sản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Địa chỉ</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Thôn Kiêu Kỵ, xã Gia Lâm, thành phố Hà Nội</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Xã Gia Lâm, thành phố Hà Nội</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Xã Gia Lâm, thành phố Hà Nội</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Xã Gia Lâm, thành phố Hà Nội</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2</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Nguồn tham khảo</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u w:val="single"/>
              </w:rPr>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https://guland.vn/post/ban-dat-3114m2-ngang-133m-gia-32-ty-xa-gia-lam-1644011</w:t>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none"/>
              </w:rPr>
              <w:t xml:space="preserve">L</w:t>
            </w:r>
            <w:r>
              <w:rPr>
                <w:rFonts w:ascii="Times New Roman" w:hAnsi="Times New Roman" w:eastAsia="Times New Roman" w:cs="Times New Roman"/>
                <w:color w:val="000000" w:themeColor="text1"/>
                <w:sz w:val="22"/>
                <w:highlight w:val="white"/>
              </w:rPr>
              <w:t xml:space="preserve">iên hệ trực tiếp</w:t>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https://www.facebook.com/share/p/1ByRUn6JWB/</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vMerge w:val="restart"/>
            <w:textDirection w:val="lrTb"/>
            <w:noWrap w:val="false"/>
          </w:tcPr>
          <w:p>
            <w:pPr>
              <w:pBdr/>
              <w:shd w:val="clear" w:color="ffffff" w:themeColor="background1" w:fill="ffffff" w:themeFill="background1"/>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w:t>
            </w:r>
            <w:r>
              <w:rPr>
                <w:color w:val="000000" w:themeColor="text1"/>
                <w:highlight w:val="white"/>
              </w:rPr>
            </w:r>
            <w:r>
              <w:rPr>
                <w:color w:val="000000" w:themeColor="text1"/>
                <w:highlight w:val="white"/>
              </w:rPr>
            </w:r>
          </w:p>
        </w:tc>
        <w:tc>
          <w:tcPr>
            <w:tcBorders>
              <w:left w:val="single" w:color="000000" w:sz="6" w:space="0"/>
              <w:bottom w:val="single" w:color="000000" w:sz="6" w:space="0"/>
              <w:right w:val="single" w:color="000000" w:sz="6" w:space="0"/>
            </w:tcBorders>
            <w:tcMar>
              <w:left w:w="15" w:type="dxa"/>
              <w:top w:w="15" w:type="dxa"/>
              <w:right w:w="15" w:type="dxa"/>
              <w:bottom w:w="0" w:type="dxa"/>
            </w:tcMar>
            <w:tcW w:w="2117" w:type="dxa"/>
            <w:vAlign w:val="center"/>
            <w:vMerge w:val="restart"/>
            <w:textDirection w:val="lrTb"/>
            <w:noWrap w:val="false"/>
          </w:tcPr>
          <w:p>
            <w:pPr>
              <w:pBdr/>
              <w:shd w:val="clear" w:color="ffffff" w:themeColor="background1" w:fill="ffffff" w:themeFill="background1"/>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Thông tin liên lạc</w:t>
            </w:r>
            <w:r>
              <w:rPr>
                <w:color w:val="000000" w:themeColor="text1"/>
                <w:highlight w:val="white"/>
              </w:rPr>
            </w:r>
            <w:r>
              <w:rPr>
                <w:color w:val="000000" w:themeColor="text1"/>
                <w:highlight w:val="white"/>
              </w:rPr>
            </w:r>
          </w:p>
        </w:tc>
        <w:tc>
          <w:tcPr>
            <w:tcBorders>
              <w:left w:val="single" w:color="000000" w:sz="6" w:space="0"/>
              <w:bottom w:val="single" w:color="000000" w:sz="6" w:space="0"/>
              <w:right w:val="single" w:color="000000" w:sz="6" w:space="0"/>
            </w:tcBorders>
            <w:tcMar>
              <w:left w:w="15" w:type="dxa"/>
              <w:top w:w="15" w:type="dxa"/>
              <w:right w:w="15" w:type="dxa"/>
              <w:bottom w:w="0" w:type="dxa"/>
            </w:tcMar>
            <w:tcW w:w="1699" w:type="dxa"/>
            <w:vAlign w:val="center"/>
            <w:vMerge w:val="restart"/>
            <w:textDirection w:val="lrTb"/>
            <w:noWrap w:val="false"/>
          </w:tcPr>
          <w:p>
            <w:pPr>
              <w:pBdr/>
              <w:shd w:val="clear" w:color="ffffff" w:themeColor="background1" w:fill="ffffff" w:themeFill="background1"/>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u w:val="single"/>
              </w:rPr>
            </w:r>
            <w:r>
              <w:rPr>
                <w:color w:val="000000" w:themeColor="text1"/>
                <w:highlight w:val="white"/>
              </w:rPr>
            </w:r>
            <w:r>
              <w:rPr>
                <w:color w:val="000000" w:themeColor="text1"/>
                <w:highlight w:val="white"/>
              </w:rPr>
            </w:r>
          </w:p>
        </w:tc>
        <w:tc>
          <w:tcPr>
            <w:shd w:val="clear" w:color="f5f5f5" w:fill="f5f5f5"/>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ind w:right="0" w:firstLine="0" w:left="0"/>
              <w:jc w:val="center"/>
              <w:rPr>
                <w:rFonts w:ascii="Times New Roman" w:hAnsi="Times New Roman" w:eastAsia="Times New Roman" w:cs="Times New Roman"/>
                <w:color w:val="000000" w:themeColor="text1"/>
                <w:sz w:val="22"/>
                <w:highlight w:val="white"/>
              </w:rPr>
            </w:pPr>
            <w:r>
              <w:rPr>
                <w:rFonts w:ascii="Times New Roman" w:hAnsi="Times New Roman" w:eastAsia="Times New Roman" w:cs="Times New Roman"/>
                <w:color w:val="000000" w:themeColor="text1"/>
                <w:sz w:val="22"/>
                <w:highlight w:val="white"/>
              </w:rPr>
              <w:t xml:space="preserve">SDT: 0938522556</w:t>
            </w:r>
            <w:r>
              <w:rPr>
                <w:rFonts w:ascii="Times New Roman" w:hAnsi="Times New Roman" w:eastAsia="Times New Roman" w:cs="Times New Roman"/>
                <w:color w:val="000000" w:themeColor="text1"/>
                <w:sz w:val="22"/>
                <w:highlight w:val="white"/>
              </w:rPr>
            </w:r>
            <w:r>
              <w:rPr>
                <w:rFonts w:ascii="Times New Roman" w:hAnsi="Times New Roman" w:eastAsia="Times New Roman" w:cs="Times New Roman"/>
                <w:color w:val="000000" w:themeColor="text1"/>
                <w:sz w:val="22"/>
                <w:highlight w:val="white"/>
              </w:rPr>
            </w:r>
          </w:p>
        </w:tc>
        <w:tc>
          <w:tcPr>
            <w:shd w:val="clear" w:color="f5f5f5" w:fill="f5f5f5"/>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ind w:right="0" w:firstLine="0" w:left="0"/>
              <w:jc w:val="center"/>
              <w:rPr>
                <w:rFonts w:ascii="Times New Roman" w:hAnsi="Times New Roman" w:eastAsia="Times New Roman" w:cs="Times New Roman"/>
                <w:color w:val="000000" w:themeColor="text1"/>
                <w:sz w:val="22"/>
                <w:highlight w:val="white"/>
              </w:rPr>
            </w:pPr>
            <w:r>
              <w:rPr>
                <w:rFonts w:ascii="Times New Roman" w:hAnsi="Times New Roman" w:eastAsia="Times New Roman" w:cs="Times New Roman"/>
                <w:color w:val="000000" w:themeColor="text1"/>
                <w:sz w:val="22"/>
                <w:highlight w:val="white"/>
              </w:rPr>
              <w:t xml:space="preserve">SDT: 0989894845</w:t>
            </w:r>
            <w:r>
              <w:rPr>
                <w:rFonts w:ascii="Times New Roman" w:hAnsi="Times New Roman" w:eastAsia="Times New Roman" w:cs="Times New Roman"/>
                <w:color w:val="000000" w:themeColor="text1"/>
                <w:sz w:val="22"/>
                <w:highlight w:val="white"/>
              </w:rPr>
            </w:r>
            <w:r>
              <w:rPr>
                <w:rFonts w:ascii="Times New Roman" w:hAnsi="Times New Roman" w:eastAsia="Times New Roman" w:cs="Times New Roman"/>
                <w:color w:val="000000" w:themeColor="text1"/>
                <w:sz w:val="22"/>
                <w:highlight w:val="white"/>
              </w:rPr>
            </w:r>
          </w:p>
        </w:tc>
        <w:tc>
          <w:tcPr>
            <w:shd w:val="clear" w:color="f5f5f5" w:fill="f5f5f5"/>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ind w:right="0" w:firstLine="0" w:left="0"/>
              <w:jc w:val="center"/>
              <w:rPr>
                <w:rFonts w:ascii="Times New Roman" w:hAnsi="Times New Roman" w:eastAsia="Times New Roman" w:cs="Times New Roman"/>
                <w:color w:val="000000" w:themeColor="text1"/>
                <w:sz w:val="22"/>
                <w:highlight w:val="white"/>
              </w:rPr>
            </w:pPr>
            <w:r>
              <w:rPr>
                <w:rFonts w:ascii="Times New Roman" w:hAnsi="Times New Roman" w:eastAsia="Times New Roman" w:cs="Times New Roman"/>
                <w:color w:val="000000" w:themeColor="text1"/>
                <w:sz w:val="22"/>
                <w:highlight w:val="white"/>
              </w:rPr>
              <w:t xml:space="preserve">SDT: 0936691766</w:t>
            </w:r>
            <w:r>
              <w:rPr>
                <w:rFonts w:ascii="Times New Roman" w:hAnsi="Times New Roman" w:eastAsia="Times New Roman" w:cs="Times New Roman"/>
                <w:color w:val="000000" w:themeColor="text1"/>
                <w:sz w:val="22"/>
                <w:highlight w:val="white"/>
              </w:rPr>
            </w:r>
            <w:r>
              <w:rPr>
                <w:rFonts w:ascii="Times New Roman" w:hAnsi="Times New Roman" w:eastAsia="Times New Roman" w:cs="Times New Roman"/>
                <w:color w:val="000000" w:themeColor="text1"/>
                <w:sz w:val="22"/>
                <w:highlight w:val="white"/>
              </w:rPr>
            </w:r>
          </w:p>
        </w:tc>
      </w:tr>
      <w:tr>
        <w:trPr>
          <w:trHeight w:val="0"/>
        </w:trPr>
        <w:tc>
          <w:tcPr>
            <w:tcBorders>
              <w:left w:val="single" w:color="000000" w:sz="6" w:space="0"/>
              <w:bottom w:val="single" w:color="000000" w:sz="6" w:space="0"/>
              <w:right w:val="single" w:color="000000" w:sz="6" w:space="0"/>
            </w:tcBorders>
            <w:vMerge w:val="continue"/>
            <w:textDirection w:val="lrTb"/>
            <w:noWrap w:val="false"/>
          </w:tcPr>
          <w:p>
            <w:pPr>
              <w:pBdr/>
              <w:spacing/>
              <w:ind/>
              <w:rPr/>
            </w:pPr>
            <w:r/>
            <w:r/>
          </w:p>
        </w:tc>
        <w:tc>
          <w:tcPr>
            <w:tcBorders>
              <w:left w:val="single" w:color="000000" w:sz="6" w:space="0"/>
              <w:bottom w:val="single" w:color="000000" w:sz="6" w:space="0"/>
              <w:right w:val="single" w:color="000000" w:sz="6" w:space="0"/>
            </w:tcBorders>
            <w:vMerge w:val="continue"/>
            <w:textDirection w:val="lrTb"/>
            <w:noWrap w:val="false"/>
          </w:tcPr>
          <w:p>
            <w:pPr>
              <w:pBdr/>
              <w:spacing/>
              <w:ind/>
              <w:rPr/>
            </w:pPr>
            <w:r/>
            <w:r/>
          </w:p>
        </w:tc>
        <w:tc>
          <w:tcPr>
            <w:tcBorders>
              <w:left w:val="single" w:color="000000" w:sz="6" w:space="0"/>
              <w:bottom w:val="single" w:color="000000" w:sz="6" w:space="0"/>
              <w:right w:val="single" w:color="000000" w:sz="6" w:space="0"/>
            </w:tcBorders>
            <w:vMerge w:val="continue"/>
            <w:textDirection w:val="lrTb"/>
            <w:noWrap w:val="false"/>
          </w:tcPr>
          <w:p>
            <w:pPr>
              <w:pBdr/>
              <w:spacing/>
              <w:ind/>
              <w:rPr/>
            </w:pPr>
            <w:r/>
            <w:r/>
          </w:p>
        </w:tc>
        <w:tc>
          <w:tcPr>
            <w:shd w:val="clear" w:color="f5f5f5" w:fill="f5f5f5"/>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ind w:right="0" w:firstLine="0" w:left="0"/>
              <w:jc w:val="center"/>
              <w:rPr>
                <w:rFonts w:ascii="Times New Roman" w:hAnsi="Times New Roman" w:eastAsia="Times New Roman" w:cs="Times New Roman"/>
                <w:color w:val="000000" w:themeColor="text1"/>
                <w:sz w:val="22"/>
                <w:highlight w:val="white"/>
              </w:rPr>
            </w:pPr>
            <w:r>
              <w:rPr>
                <w:rFonts w:ascii="Times New Roman" w:hAnsi="Times New Roman" w:eastAsia="Times New Roman" w:cs="Times New Roman"/>
                <w:color w:val="000000" w:themeColor="text1"/>
                <w:sz w:val="22"/>
                <w:highlight w:val="white"/>
              </w:rPr>
              <w:t xml:space="preserve">(Sale Phong)</w:t>
            </w:r>
            <w:r>
              <w:rPr>
                <w:rFonts w:ascii="Times New Roman" w:hAnsi="Times New Roman" w:eastAsia="Times New Roman" w:cs="Times New Roman"/>
                <w:color w:val="000000" w:themeColor="text1"/>
                <w:sz w:val="22"/>
                <w:highlight w:val="white"/>
              </w:rPr>
            </w:r>
            <w:r>
              <w:rPr>
                <w:rFonts w:ascii="Times New Roman" w:hAnsi="Times New Roman" w:eastAsia="Times New Roman" w:cs="Times New Roman"/>
                <w:color w:val="000000" w:themeColor="text1"/>
                <w:sz w:val="22"/>
                <w:highlight w:val="white"/>
              </w:rPr>
            </w:r>
          </w:p>
        </w:tc>
        <w:tc>
          <w:tcPr>
            <w:shd w:val="clear" w:color="f5f5f5" w:fill="f5f5f5"/>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ind w:right="0" w:firstLine="0" w:left="0"/>
              <w:jc w:val="center"/>
              <w:rPr>
                <w:rFonts w:ascii="Times New Roman" w:hAnsi="Times New Roman" w:eastAsia="Times New Roman" w:cs="Times New Roman"/>
                <w:color w:val="000000" w:themeColor="text1"/>
                <w:sz w:val="22"/>
                <w:highlight w:val="white"/>
              </w:rPr>
            </w:pPr>
            <w:r>
              <w:rPr>
                <w:rFonts w:ascii="Times New Roman" w:hAnsi="Times New Roman" w:eastAsia="Times New Roman" w:cs="Times New Roman"/>
                <w:color w:val="000000" w:themeColor="text1"/>
                <w:sz w:val="22"/>
                <w:highlight w:val="white"/>
              </w:rPr>
              <w:t xml:space="preserve">(Sale Trần Vỹ)</w:t>
            </w:r>
            <w:r>
              <w:rPr>
                <w:rFonts w:ascii="Times New Roman" w:hAnsi="Times New Roman" w:eastAsia="Times New Roman" w:cs="Times New Roman"/>
                <w:color w:val="000000" w:themeColor="text1"/>
                <w:sz w:val="22"/>
                <w:highlight w:val="white"/>
              </w:rPr>
            </w:r>
            <w:r>
              <w:rPr>
                <w:rFonts w:ascii="Times New Roman" w:hAnsi="Times New Roman" w:eastAsia="Times New Roman" w:cs="Times New Roman"/>
                <w:color w:val="000000" w:themeColor="text1"/>
                <w:sz w:val="22"/>
                <w:highlight w:val="white"/>
              </w:rPr>
            </w:r>
          </w:p>
        </w:tc>
        <w:tc>
          <w:tcPr>
            <w:shd w:val="clear" w:color="f5f5f5" w:fill="f5f5f5"/>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ind w:right="0" w:firstLine="0" w:left="0"/>
              <w:jc w:val="center"/>
              <w:rPr>
                <w:rFonts w:ascii="Times New Roman" w:hAnsi="Times New Roman" w:eastAsia="Times New Roman" w:cs="Times New Roman"/>
                <w:color w:val="000000" w:themeColor="text1"/>
                <w:sz w:val="22"/>
                <w:highlight w:val="white"/>
              </w:rPr>
            </w:pPr>
            <w:r>
              <w:rPr>
                <w:rFonts w:ascii="Times New Roman" w:hAnsi="Times New Roman" w:eastAsia="Times New Roman" w:cs="Times New Roman"/>
                <w:color w:val="000000" w:themeColor="text1"/>
                <w:sz w:val="22"/>
                <w:highlight w:val="white"/>
              </w:rPr>
              <w:t xml:space="preserve">(Sale Huy Hoàng)</w:t>
            </w:r>
            <w:r>
              <w:rPr>
                <w:rFonts w:ascii="Times New Roman" w:hAnsi="Times New Roman" w:eastAsia="Times New Roman" w:cs="Times New Roman"/>
                <w:color w:val="000000" w:themeColor="text1"/>
                <w:sz w:val="22"/>
                <w:highlight w:val="white"/>
              </w:rPr>
            </w:r>
            <w:r>
              <w:rPr>
                <w:rFonts w:ascii="Times New Roman" w:hAnsi="Times New Roman" w:eastAsia="Times New Roman" w:cs="Times New Roman"/>
                <w:color w:val="000000" w:themeColor="text1"/>
                <w:sz w:val="22"/>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hd w:val="clear" w:color="ffffff" w:themeColor="background1" w:fill="ffffff" w:themeFill="background1"/>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3</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hd w:val="clear" w:color="ffffff" w:themeColor="background1" w:fill="ffffff" w:themeFill="background1"/>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Tình trạng giao dịch</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hd w:val="clear" w:color="ffffff" w:themeColor="background1" w:fill="ffffff" w:themeFill="background1"/>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hd w:val="clear" w:color="ffffff" w:themeColor="background1" w:fill="ffffff" w:themeFill="background1"/>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Đang giao dịch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hd w:val="clear" w:color="ffffff" w:themeColor="background1" w:fill="ffffff" w:themeFill="background1"/>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Đang giao dịch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hd w:val="clear" w:color="ffffff" w:themeColor="background1" w:fill="ffffff" w:themeFill="background1"/>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Đang giao dịch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4</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Thời điểm thu thập thông tin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Tháng 2/2026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Tháng 2/2026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Tháng 2/2026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5</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Tính chất giao dịch</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Giao dịch bình thường trên thị trường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Giao dịch bình thường trên thị trường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Giao dịch bình thường trên thị trường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Giao dịch bình thường trên thị trường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6</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Pháp lý</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Có Giấy chứng nhận Quyền sử dụng đất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Có Giấy chứng nhận Quyền sử dụng đất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Có Giấy chứng nhận Quyền sử dụng đất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Có Giấy chứng nhận Quyền sử dụng đất</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7</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Mục đích sử dụng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Đất ở tại nông thôn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Đất ở tại nông thôn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Đất ở tại nông thôn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Đất ở tại nông thôn</w:t>
            </w:r>
            <w:r>
              <w:rPr>
                <w:color w:val="000000" w:themeColor="text1"/>
                <w:highlight w:val="white"/>
              </w:rPr>
            </w:r>
            <w:r>
              <w:rPr>
                <w:color w:val="000000" w:themeColor="text1"/>
                <w:highlight w:val="white"/>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8</w:t>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Thời hạn sử dụng đất</w:t>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Lâu dài</w:t>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Lâu dài</w:t>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Lâu dài</w:t>
            </w:r>
            <w:r>
              <w:rPr>
                <w:color w:val="000000" w:themeColor="text1"/>
                <w:highlight w:val="white"/>
              </w:rPr>
            </w:r>
            <w:r>
              <w:rPr>
                <w:color w:val="000000" w:themeColor="text1"/>
                <w:highlight w:val="white"/>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Lâu dài</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9</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Vị trí</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Tài sản cách đường Nguyễn Quý Trị khoảng 20m</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Tài sản cách đường Nguyễn Quý Trị khoảng 100m</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Tài sản cách đường Nguyễn Quý Trị khoảng 50m</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Tài sản cách đường Kiêu Kỵ khoảng 200m</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10</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Giao thông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4</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5</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5</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3</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11</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Diện tích đất</w:t>
              <w:br/>
              <w:t xml:space="preserve"> (m²)</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70,6</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311,4</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54</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93</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12</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Mặt tiền (m)</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5,26</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13,3</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11</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4,8</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13</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Số lượng mặt tiếp giáp</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Tiếp giáp 1 mặt tiền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Tiếp giáp 1 mặt tiền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Tiếp giáp 1 mặt tiền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Tiếp giáp 1 mặt tiền</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14</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Hình dáng thửa đất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đối vuông vức</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đối vuông vức</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đối vuông vức</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đối vuông vức</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15</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Lợi thế kinh doanh</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Phù hợp để ở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Phù hợp để ở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Phù hợp để ở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Phù hợp để ở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16</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Yếu tố khác (Yếu tố phong thủy/Yếu tố tâm linh)</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widowControl w:val="false"/>
              <w:pBdr/>
              <w:spacing w:line="235" w:lineRule="auto"/>
              <w:ind w:left="144"/>
              <w:jc w:val="center"/>
              <w:rPr>
                <w:lang w:eastAsia="ko-KR"/>
              </w:rPr>
            </w:pPr>
            <w:r>
              <w:rPr>
                <w:lang w:eastAsia="ko-KR"/>
              </w:rPr>
              <w:t xml:space="preserve">Tài sản gần chùa Kiêu Kỵ</w:t>
            </w:r>
            <w:r>
              <w:rPr>
                <w:lang w:eastAsia="ko-KR"/>
              </w:rPr>
            </w:r>
            <w:r>
              <w:rPr>
                <w:lang w:eastAsia="ko-KR"/>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Không có bất lợi thương mại</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Không có bất lợi thương mại</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Không có bất lợi thương mại</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17</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Điều kiện cơ sở hạ tầng kỹ thuật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Hạ tầng khu dân cư thông thường: Hệ thống cấp điện, cấp thoát nước đầy đủ</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Hạ tầng khu dân cư thông thường: Hệ thống cấp điện, cấp thoát nước đầy đủ</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Hạ tầng khu dân cư thông thường: Hệ thống cấp điện, cấp thoát nước đầy đủ</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Hạ tầng khu dân cư thông thường: Hệ thống cấp điện, cấp thoát nước đầy đủ</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18</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Tài sản trên đất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Nhà 1 tầng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Đất trống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Đất trống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Số tầng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highlight w:val="white"/>
                <w14:ligatures w14:val="none"/>
              </w:rPr>
            </w:pPr>
            <w:r>
              <w:rPr>
                <w:highlight w:val="white"/>
              </w:rPr>
              <w:t xml:space="preserve">1,0 </w:t>
            </w:r>
            <w:r>
              <w:rPr>
                <w:highlight w:val="white"/>
                <w14:ligatures w14:val="none"/>
              </w:rPr>
            </w:r>
            <w:r>
              <w:rPr>
                <w:highlight w:val="white"/>
                <w14:ligatures w14:val="non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Diện tích sàn sử dụng (m²)</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311,4</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19</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Giá rao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32.000.000.000</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7.000.000.000</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7.300.000.000</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20</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Giá thương lượng/bán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29.440.000.000</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6.440.000.000</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6.570.000.000</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B</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b/>
                <w:color w:val="000000" w:themeColor="text1"/>
                <w:sz w:val="22"/>
                <w:highlight w:val="white"/>
              </w:rPr>
              <w:t xml:space="preserve">Chi tiết tính toán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1</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b/>
                <w:color w:val="000000" w:themeColor="text1"/>
                <w:sz w:val="22"/>
                <w:highlight w:val="white"/>
              </w:rPr>
              <w:t xml:space="preserve">Giá trị tài sản trên đất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500.843.530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Đơn giá xây dựng theo Quyết định 409/QĐ-BXD năm 2025 của Bộ Xây Dựng (đồng/m²)</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4.020.902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 Tỷ lệ % CLCL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40%</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ind/>
              <w:rPr/>
            </w:pPr>
            <w: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ind/>
              <w:rPr/>
            </w:pPr>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2</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b/>
                <w:color w:val="000000" w:themeColor="text1"/>
                <w:sz w:val="22"/>
                <w:highlight w:val="white"/>
              </w:rPr>
              <w:t xml:space="preserve">Giá trị đất ở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28.939.156.470  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6.440.000.000  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6.570.000.000  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3</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b/>
                <w:color w:val="000000" w:themeColor="text1"/>
                <w:sz w:val="22"/>
                <w:highlight w:val="white"/>
              </w:rPr>
              <w:t xml:space="preserve">Đơn giá QSDĐ (đồng/m²)</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92.932.423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119.259.259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70.645.161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b/>
                <w:color w:val="000000" w:themeColor="text1"/>
                <w:sz w:val="22"/>
                <w:highlight w:val="white"/>
              </w:rPr>
              <w:t xml:space="preserve">C</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b/>
                <w:color w:val="000000" w:themeColor="text1"/>
                <w:sz w:val="22"/>
                <w:highlight w:val="white"/>
              </w:rPr>
              <w:t xml:space="preserve">NHẬN XÉT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1</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Pháp lý</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2</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Vị trí</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3</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Giao thông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Kém lợi thế hơn</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4</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Diện tích đất</w:t>
              <w:br/>
              <w:t xml:space="preserve"> (m²)</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Kém 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Kém lợi thế hơn</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5</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Mặt tiền (m)</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Kém lợi thế hơn</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6</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Số lượng mặt tiếp giáp</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7</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Hình dáng thửa đất</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Tương đồng</w:t>
            </w:r>
            <w:r>
              <w:rPr>
                <w:color w:val="000000" w:themeColor="text1"/>
                <w:highlight w:val="white"/>
              </w:rPr>
            </w:r>
            <w:r>
              <w:rPr>
                <w:color w:val="000000" w:themeColor="text1"/>
                <w:highlight w:val="white"/>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68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8</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2117" w:type="dxa"/>
            <w:vAlign w:val="center"/>
            <w:textDirection w:val="lrTb"/>
            <w:noWrap w:val="false"/>
          </w:tcPr>
          <w:p>
            <w:pPr>
              <w:pBdr/>
              <w:spacing w:after="0" w:before="0" w:line="240" w:lineRule="auto"/>
              <w:ind/>
              <w:rPr>
                <w:color w:val="000000" w:themeColor="text1"/>
                <w:highlight w:val="white"/>
              </w:rPr>
            </w:pPr>
            <w:r>
              <w:rPr>
                <w:rFonts w:ascii="Times New Roman" w:hAnsi="Times New Roman" w:eastAsia="Times New Roman" w:cs="Times New Roman"/>
                <w:color w:val="000000" w:themeColor="text1"/>
                <w:sz w:val="22"/>
                <w:highlight w:val="white"/>
              </w:rPr>
              <w:t xml:space="preserve">Yếu tố khác (Yếu tố phong thủy/Yếu tố tâm linh)</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c>
          <w:tcPr>
            <w:tcBorders>
              <w:bottom w:val="single" w:color="000000" w:sz="6" w:space="0"/>
              <w:right w:val="single" w:color="000000" w:sz="6" w:space="0"/>
            </w:tcBorders>
            <w:tcMar>
              <w:left w:w="15" w:type="dxa"/>
              <w:top w:w="15" w:type="dxa"/>
              <w:right w:w="15" w:type="dxa"/>
              <w:bottom w:w="0" w:type="dxa"/>
            </w:tcMar>
            <w:tcW w:w="1699" w:type="dxa"/>
            <w:vAlign w:val="center"/>
            <w:textDirection w:val="lrTb"/>
            <w:noWrap w:val="false"/>
          </w:tcPr>
          <w:p>
            <w:pPr>
              <w:pBdr/>
              <w:spacing w:after="0" w:before="0" w:line="240" w:lineRule="auto"/>
              <w:ind/>
              <w:jc w:val="center"/>
              <w:rPr>
                <w:color w:val="000000" w:themeColor="text1"/>
                <w:highlight w:val="white"/>
              </w:rPr>
            </w:pPr>
            <w:r>
              <w:rPr>
                <w:rFonts w:ascii="Times New Roman" w:hAnsi="Times New Roman" w:eastAsia="Times New Roman" w:cs="Times New Roman"/>
                <w:color w:val="000000" w:themeColor="text1"/>
                <w:sz w:val="22"/>
                <w:highlight w:val="white"/>
              </w:rPr>
              <w:t xml:space="preserve"> Lợi thế hơn</w:t>
            </w:r>
            <w:r>
              <w:rPr>
                <w:color w:val="000000" w:themeColor="text1"/>
                <w:highlight w:val="white"/>
              </w:rPr>
            </w:r>
            <w:r>
              <w:rPr>
                <w:color w:val="000000" w:themeColor="text1"/>
                <w:highlight w:val="white"/>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42"/>
        <w:gridCol w:w="1675"/>
        <w:gridCol w:w="672"/>
        <w:gridCol w:w="1634"/>
        <w:gridCol w:w="1634"/>
        <w:gridCol w:w="1634"/>
        <w:gridCol w:w="1634"/>
      </w:tblGrid>
      <w:tr>
        <w:trPr>
          <w:trHeight w:val="0"/>
          <w:tblHeader/>
        </w:trPr>
        <w:tc>
          <w:tcPr>
            <w:shd w:val="clear" w:color="ffffff" w:fill="ffffff"/>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thẩm định</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so sánh 1</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so sánh 2</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so sánh 3</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28.939.156.470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6.440.000.000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6.570.000.000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92.932.423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119.259.259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70.645.161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92.932.423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119.259.259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70.645.161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cách đường Nguyễn Quý Trị khoảng 20m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cách đường Nguyễn Quý Trị khoảng 100m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cách đường Nguyễn Quý Trị khoảng 50m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cách đường Kiêu Kỵ khoảng 200m</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7.064.516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92.932.423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119.259.259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77.709.677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4</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10,00%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-4.646.621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-5.962.963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7.064.516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88.285.802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113.296.296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84.774.194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Diện tích đất</w:t>
              <w:br/>
              <w:t xml:space="preserve"> (m²)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70,6</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311,4</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54,0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93,0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13.939.863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-5.962.963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3.532.258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102.225.665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107.333.333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88.306.452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5,26</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13,3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4,8</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4.646.621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-5.962.963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2.119.355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106.872.286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101.370.370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90.425.806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106.872.286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101.370.370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90.425.806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Tương đối vuông vức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Tương đối vuông vức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Tương đối vuông vức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Tương đối vuông vức</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106.872.286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101.370.370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90.425.806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Yếu tố khác (Yếu tố phong thủy/Yếu tố tâm linh)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r>
            <w:r>
              <w:rPr>
                <w:lang w:eastAsia="ko-KR"/>
              </w:rPr>
              <w:t xml:space="preserve">Tài sản gần chùa Kiêu Kỵ</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Không có bất lợi thương mại</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Không có bất lợi thương mại</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Không có bất lợi thương mại</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-10,00%</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-9.293.242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-11.925.926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-7.064.516 </w:t>
            </w:r>
            <w:r>
              <w:rPr>
                <w:color w:val="000000" w:themeColor="text1"/>
              </w:rPr>
            </w:r>
            <w:r>
              <w:rPr>
                <w:color w:val="000000" w:themeColor="text1"/>
              </w:rP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97.579.044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89.444.444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83.361.290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gridSpan w:val="3"/>
            <w:shd w:val="clear" w:color="ffffff" w:fill="ffffff"/>
            <w:tcBorders>
              <w:bottom w:val="single" w:color="000000" w:sz="6" w:space="0"/>
              <w:right w:val="single" w:color="000000" w:sz="6" w:space="0"/>
            </w:tcBorders>
            <w:tcMar>
              <w:left w:w="15" w:type="dxa"/>
              <w:top w:w="15" w:type="dxa"/>
              <w:right w:w="15" w:type="dxa"/>
              <w:bottom w:w="0" w:type="dxa"/>
            </w:tcMar>
            <w:tcW w:w="490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90.128.260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-0,8%</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-7,5%</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top w:val="single" w:color="000000" w:sz="6" w:space="0"/>
              <w:bottom w:val="single" w:color="000000" w:sz="6" w:space="0"/>
              <w:right w:val="single" w:color="000000" w:sz="4" w:space="0"/>
            </w:tcBorders>
            <w:tcMar>
              <w:left w:w="15" w:type="dxa"/>
              <w:top w:w="15" w:type="dxa"/>
              <w:right w:w="15" w:type="dxa"/>
              <w:bottom w:w="0" w:type="dxa"/>
            </w:tcMar>
            <w:tcW w:w="8883"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32.526.348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29.814.815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26.845.161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 </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5-15%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5-10%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3-10%</w:t>
            </w:r>
            <w:r>
              <w:rPr>
                <w:color w:val="000000" w:themeColor="text1"/>
              </w:rPr>
            </w:r>
            <w:r>
              <w:rPr>
                <w:color w:val="000000" w:themeColor="text1"/>
              </w:rP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4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6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4.646.621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(29.814.815)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6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12.716.129 </w:t>
            </w:r>
            <w:r>
              <w:rPr>
                <w:color w:val="000000" w:themeColor="text1"/>
              </w:rPr>
            </w:r>
            <w:r>
              <w:rPr>
                <w:color w:val="000000" w:themeColor="text1"/>
              </w:rPr>
            </w:r>
          </w:p>
        </w:tc>
      </w:tr>
    </w:tbl>
    <w:p>
      <w:pPr>
        <w:pBdr/>
        <w:spacing w:after="120" w:before="120" w:line="276" w:lineRule="auto"/>
        <w:ind/>
        <w:jc w:val="both"/>
        <w:rPr>
          <w:b/>
          <w:bCs/>
          <w:i/>
          <w:iCs/>
          <w:highlight w:val="none"/>
        </w:rPr>
      </w:pP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0,8% </w:t>
      </w:r>
      <w:r>
        <w:t xml:space="preserve">đến</w:t>
      </w:r>
      <w:r>
        <w:t xml:space="preserve"> 8,3</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60"/>
        <w:gridCol w:w="2386"/>
        <w:gridCol w:w="2409"/>
        <w:gridCol w:w="1843"/>
        <w:gridCol w:w="2126"/>
      </w:tblGrid>
      <w:tr>
        <w:trPr>
          <w:trHeight w:val="0"/>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TT</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238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Tài sản</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Mức giá chỉ dẫn của các TSSS</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184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color w:val="000000" w:themeColor="text1"/>
              </w:rPr>
            </w:r>
            <w:r>
              <w:rPr>
                <w:color w:val="000000" w:themeColor="text1"/>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1</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386" w:type="dxa"/>
            <w:vAlign w:val="center"/>
            <w:textDirection w:val="lrTb"/>
            <w:noWrap w:val="false"/>
          </w:tcPr>
          <w:p>
            <w:pPr>
              <w:pBdr/>
              <w:spacing w:after="0" w:before="0" w:line="240" w:lineRule="auto"/>
              <w:ind/>
              <w:jc w:val="both"/>
              <w:rPr>
                <w:color w:val="000000" w:themeColor="text1"/>
              </w:rPr>
            </w:pPr>
            <w:r>
              <w:rPr>
                <w:rFonts w:ascii="Times New Roman" w:hAnsi="Times New Roman" w:eastAsia="Times New Roman" w:cs="Times New Roman"/>
                <w:color w:val="000000" w:themeColor="text1"/>
                <w:sz w:val="24"/>
              </w:rPr>
              <w:t xml:space="preserve">Tài sản so sánh 1</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97.579.044 </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184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33,33%</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              32.526.348 </w:t>
            </w:r>
            <w:r>
              <w:rPr>
                <w:color w:val="000000" w:themeColor="text1"/>
              </w:rPr>
            </w:r>
            <w:r>
              <w:rPr>
                <w:color w:val="000000" w:themeColor="text1"/>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2</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386" w:type="dxa"/>
            <w:vAlign w:val="center"/>
            <w:textDirection w:val="lrTb"/>
            <w:noWrap w:val="false"/>
          </w:tcPr>
          <w:p>
            <w:pPr>
              <w:pBdr/>
              <w:spacing w:after="0" w:before="0" w:line="240" w:lineRule="auto"/>
              <w:ind/>
              <w:jc w:val="both"/>
              <w:rPr>
                <w:color w:val="000000" w:themeColor="text1"/>
              </w:rPr>
            </w:pPr>
            <w:r>
              <w:rPr>
                <w:rFonts w:ascii="Times New Roman" w:hAnsi="Times New Roman" w:eastAsia="Times New Roman" w:cs="Times New Roman"/>
                <w:color w:val="000000" w:themeColor="text1"/>
                <w:sz w:val="24"/>
              </w:rPr>
              <w:t xml:space="preserve">Tài sản so sánh 2</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89.444.444 </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184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33,33%</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              29.814.815 </w:t>
            </w:r>
            <w:r>
              <w:rPr>
                <w:color w:val="000000" w:themeColor="text1"/>
              </w:rPr>
            </w:r>
            <w:r>
              <w:rPr>
                <w:color w:val="000000" w:themeColor="text1"/>
              </w:rP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386" w:type="dxa"/>
            <w:vAlign w:val="center"/>
            <w:textDirection w:val="lrTb"/>
            <w:noWrap w:val="false"/>
          </w:tcPr>
          <w:p>
            <w:pPr>
              <w:pBdr/>
              <w:spacing w:after="0" w:before="0" w:line="240" w:lineRule="auto"/>
              <w:ind/>
              <w:jc w:val="both"/>
              <w:rPr>
                <w:color w:val="000000" w:themeColor="text1"/>
              </w:rPr>
            </w:pPr>
            <w:r>
              <w:rPr>
                <w:rFonts w:ascii="Times New Roman" w:hAnsi="Times New Roman" w:eastAsia="Times New Roman" w:cs="Times New Roman"/>
                <w:color w:val="000000" w:themeColor="text1"/>
                <w:sz w:val="24"/>
              </w:rPr>
              <w:t xml:space="preserve">Tài sản so sánh 3</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83.361.290 </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184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33,33%</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              27.787.097 </w:t>
            </w:r>
            <w:r>
              <w:rPr>
                <w:color w:val="000000" w:themeColor="text1"/>
              </w:rPr>
            </w:r>
            <w:r>
              <w:rPr>
                <w:color w:val="000000" w:themeColor="text1"/>
              </w:rPr>
            </w:r>
          </w:p>
        </w:tc>
      </w:tr>
      <w:tr>
        <w:trPr>
          <w:trHeight w:val="0"/>
        </w:trPr>
        <w:tc>
          <w:tcPr>
            <w:gridSpan w:val="4"/>
            <w:tcBorders>
              <w:top w:val="single" w:color="000000" w:sz="6" w:space="0"/>
              <w:left w:val="single" w:color="000000" w:sz="6" w:space="0"/>
              <w:bottom w:val="single" w:color="000000" w:sz="6" w:space="0"/>
              <w:right w:val="single" w:color="000000" w:sz="8" w:space="0"/>
            </w:tcBorders>
            <w:tcMar>
              <w:left w:w="15" w:type="dxa"/>
              <w:top w:w="15" w:type="dxa"/>
              <w:right w:w="15" w:type="dxa"/>
              <w:bottom w:w="0" w:type="dxa"/>
            </w:tcMar>
            <w:tcW w:w="7398"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Giá trị bình quân theo trọng số</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              90.128.260 </w:t>
            </w:r>
            <w:r>
              <w:rPr>
                <w:color w:val="000000" w:themeColor="text1"/>
              </w:rPr>
            </w:r>
            <w:r>
              <w:rPr>
                <w:color w:val="000000" w:themeColor="text1"/>
              </w:rPr>
            </w:r>
          </w:p>
        </w:tc>
      </w:tr>
      <w:tr>
        <w:trPr>
          <w:trHeight w:val="0"/>
        </w:trPr>
        <w:tc>
          <w:tcPr>
            <w:gridSpan w:val="4"/>
            <w:tcBorders>
              <w:top w:val="single" w:color="000000" w:sz="6" w:space="0"/>
              <w:left w:val="single" w:color="000000" w:sz="6" w:space="0"/>
              <w:bottom w:val="single" w:color="000000" w:sz="6" w:space="0"/>
              <w:right w:val="single" w:color="000000" w:sz="8" w:space="0"/>
            </w:tcBorders>
            <w:tcMar>
              <w:left w:w="15" w:type="dxa"/>
              <w:top w:w="15" w:type="dxa"/>
              <w:right w:w="15" w:type="dxa"/>
              <w:bottom w:w="0" w:type="dxa"/>
            </w:tcMar>
            <w:tcW w:w="7398"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Làm tròn</w:t>
            </w:r>
            <w:r>
              <w:rPr>
                <w:color w:val="000000" w:themeColor="text1"/>
              </w:rPr>
            </w:r>
            <w:r>
              <w:rPr>
                <w:color w:val="000000" w:themeColor="text1"/>
              </w:rP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              90.000.000 </w:t>
            </w:r>
            <w:r>
              <w:rPr>
                <w:color w:val="000000" w:themeColor="text1"/>
              </w:rPr>
            </w:r>
            <w:r>
              <w:rPr>
                <w:color w:val="000000" w:themeColor="text1"/>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90.000.000</w:t>
      </w:r>
      <w:r>
        <w:rPr>
          <w:b/>
          <w:bCs/>
          <w:color w:val="000000" w:themeColor="text1"/>
        </w:rPr>
        <w:t xml:space="preserve"> </w:t>
      </w:r>
      <w:r>
        <w:rPr>
          <w:b/>
          <w:bCs/>
        </w:rPr>
        <w:t xml:space="preserve">đồng</w:t>
      </w:r>
      <w:r>
        <w:rPr>
          <w:b/>
          <w:bCs/>
        </w:rPr>
        <w:t xml:space="preserve">/m².</w:t>
      </w:r>
      <w:r>
        <w:rPr>
          <w:b/>
          <w:bCs/>
        </w:rPr>
      </w:r>
      <w:r>
        <w:rPr>
          <w:b/>
          <w:bCs/>
        </w:rPr>
      </w:r>
    </w:p>
    <w:p>
      <w:pPr>
        <w:pStyle w:val="1029"/>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2"/>
        <w:gridCol w:w="2455"/>
        <w:gridCol w:w="1504"/>
        <w:gridCol w:w="480"/>
        <w:gridCol w:w="2166"/>
        <w:gridCol w:w="2229"/>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455"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504"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gridSpan w:val="2"/>
            <w:shd w:val="clear" w:color="000000" w:fill="ffffff"/>
            <w:tcBorders/>
            <w:tcW w:w="2646"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4"/>
            <w:shd w:val="clear" w:color="000000" w:fill="ffffff"/>
            <w:tcBorders/>
            <w:tcW w:w="6605"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16, tờ bản đồ số: 38 có địa chỉ: Thôn Kiêu Kỵ, xã Gia Lâm, thành phố Hà Nội theo Giấ</w:t>
            </w:r>
            <w:r>
              <w:rPr>
                <w:color w:val="000000"/>
              </w:rPr>
              <w:t xml:space="preserve">y chứng nhận quyền sử dụng đất, quyền sở hữu tài sản gắn liền với đất số: AA 03949145, số vào sổ cấp Giấy chứng nhận: CN4563 do Chi nhánh văn phòng đăng ký đất đai Hà Nội - Huyện Gia Lâm cấp ngày 17/12/2025 cho Ông Nguyễn Đức Ninh và Bà Ngô Thị Nguyệt Thuý</w:t>
            </w:r>
            <w:r>
              <w:rPr>
                <w:b/>
                <w:bCs/>
              </w:rPr>
              <w:t xml:space="preserve">.</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455" w:type="dxa"/>
            <w:vAlign w:val="center"/>
            <w:textDirection w:val="lrTb"/>
            <w:noWrap w:val="false"/>
          </w:tcPr>
          <w:p>
            <w:pPr>
              <w:pBdr/>
              <w:spacing w:after="40" w:before="40" w:line="288" w:lineRule="auto"/>
              <w:ind/>
              <w:rPr>
                <w:b w:val="0"/>
                <w:bCs w:val="0"/>
              </w:rPr>
            </w:pPr>
            <w:r>
              <w:rPr>
                <w:b w:val="0"/>
                <w:bCs w:val="0"/>
              </w:rPr>
              <w:t xml:space="preserve">Đất ở tại nông thôn</w:t>
            </w:r>
            <w:r>
              <w:rPr>
                <w:b w:val="0"/>
                <w:bCs w:val="0"/>
              </w:rPr>
            </w:r>
            <w:r>
              <w:rPr>
                <w:b w:val="0"/>
                <w:bCs w:val="0"/>
              </w:rPr>
            </w:r>
          </w:p>
        </w:tc>
        <w:tc>
          <w:tcPr>
            <w:gridSpan w:val="2"/>
            <w:tcBorders/>
            <w:tcW w:w="1984" w:type="dxa"/>
            <w:vAlign w:val="center"/>
            <w:textDirection w:val="lrTb"/>
            <w:noWrap/>
          </w:tcPr>
          <w:p>
            <w:pPr>
              <w:pBdr/>
              <w:spacing w:after="40" w:before="40" w:line="288" w:lineRule="auto"/>
              <w:ind/>
              <w:jc w:val="center"/>
              <w:rPr>
                <w:color w:val="000000"/>
              </w:rPr>
            </w:pPr>
            <w:r>
              <w:rPr>
                <w:color w:val="000000" w:themeColor="text1"/>
              </w:rPr>
              <w:t xml:space="preserve">70,6</w:t>
            </w:r>
            <w:r>
              <w:rPr>
                <w:color w:val="000000"/>
              </w:rPr>
            </w:r>
            <w:r>
              <w:rPr>
                <w:color w:val="000000"/>
              </w:rPr>
            </w:r>
          </w:p>
        </w:tc>
        <w:tc>
          <w:tcPr>
            <w:shd w:val="clear" w:color="000000" w:fill="ffffff"/>
            <w:tcBorders/>
            <w:tcW w:w="2166" w:type="dxa"/>
            <w:vAlign w:val="center"/>
            <w:textDirection w:val="lrTb"/>
            <w:noWrap w:val="false"/>
          </w:tcPr>
          <w:p>
            <w:pPr>
              <w:pBdr/>
              <w:spacing w:after="40" w:before="40" w:line="288" w:lineRule="auto"/>
              <w:ind/>
              <w:jc w:val="center"/>
              <w:rPr/>
            </w:pPr>
            <w:r>
              <w:rPr>
                <w:color w:val="000000" w:themeColor="text1"/>
              </w:rPr>
              <w:t xml:space="preserve">90.000.000</w:t>
            </w:r>
            <w:r/>
          </w:p>
        </w:tc>
        <w:tc>
          <w:tcPr>
            <w:shd w:val="clear" w:color="000000" w:fill="ffffff"/>
            <w:tcBorders/>
            <w:tcW w:w="2229" w:type="dxa"/>
            <w:vAlign w:val="center"/>
            <w:textDirection w:val="lrTb"/>
            <w:noWrap w:val="false"/>
          </w:tcPr>
          <w:p>
            <w:pPr>
              <w:pBdr/>
              <w:spacing w:after="40" w:before="40" w:line="288" w:lineRule="auto"/>
              <w:ind/>
              <w:jc w:val="center"/>
              <w:rPr/>
            </w:pPr>
            <w:r>
              <w:rPr>
                <w:color w:val="000000" w:themeColor="text1"/>
              </w:rPr>
              <w:t xml:space="preserve">6.354.000.000</w:t>
            </w:r>
            <w:r/>
          </w:p>
        </w:tc>
      </w:tr>
      <w:tr>
        <w:trPr>
          <w:trHeight w:val="20"/>
        </w:trPr>
        <w:tc>
          <w:tcPr>
            <w:gridSpan w:val="5"/>
            <w:tcBorders/>
            <w:tcW w:w="729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pPr>
              <w:pBdr/>
              <w:spacing w:after="40" w:before="40" w:line="288" w:lineRule="auto"/>
              <w:ind/>
              <w:jc w:val="center"/>
              <w:rPr>
                <w:b/>
                <w:bCs/>
                <w:color w:val="000000"/>
              </w:rPr>
            </w:pPr>
            <w:r>
              <w:rPr>
                <w:b/>
                <w:bCs/>
              </w:rPr>
              <w:t xml:space="preserve">6.354.000.000</w:t>
            </w:r>
            <w:r>
              <w:rPr>
                <w:b/>
                <w:bCs/>
                <w:color w:val="000000"/>
              </w:rPr>
            </w:r>
            <w:r>
              <w:rPr>
                <w:b/>
                <w:bCs/>
                <w:color w:val="000000"/>
              </w:rPr>
            </w:r>
          </w:p>
        </w:tc>
      </w:tr>
      <w:tr>
        <w:trPr>
          <w:trHeight w:val="20"/>
        </w:trPr>
        <w:tc>
          <w:tcPr>
            <w:gridSpan w:val="6"/>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ba trăm năm mươi bốn triệu</w:t>
            </w:r>
            <w:r>
              <w:rPr>
                <w:b/>
                <w:bCs/>
                <w:i/>
                <w:iCs/>
                <w:color w:val="000000"/>
              </w:rPr>
              <w:t xml:space="preserve">./.)</w:t>
            </w:r>
            <w:r>
              <w:rPr>
                <w:b/>
                <w:bCs/>
                <w:i/>
                <w:iCs/>
                <w:color w:val="000000"/>
              </w:rPr>
            </w:r>
            <w:r>
              <w:rPr>
                <w:b/>
                <w:bCs/>
                <w:i/>
                <w:iCs/>
                <w:color w:val="000000"/>
              </w:rPr>
            </w:r>
          </w:p>
        </w:tc>
      </w:tr>
    </w:tbl>
    <w:p>
      <w:pPr>
        <w:pStyle w:val="1029"/>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9"/>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9"/>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9"/>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9"/>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9"/>
        <w:pBdr/>
        <w:tabs>
          <w:tab w:val="left" w:leader="none" w:pos="993"/>
        </w:tabs>
        <w:spacing w:after="120" w:before="120" w:line="288" w:lineRule="auto"/>
        <w:ind w:left="0"/>
        <w:jc w:val="both"/>
        <w:rPr>
          <w:lang w:val="vi-VN"/>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vi-VN"/>
        </w:rPr>
      </w:r>
      <w:r>
        <w:rPr>
          <w:lang w:val="pt-BR"/>
        </w:rPr>
      </w:r>
    </w:p>
    <w:p>
      <w:pPr>
        <w:pStyle w:val="1029"/>
        <w:pBdr/>
        <w:tabs>
          <w:tab w:val="left" w:leader="none" w:pos="993"/>
        </w:tabs>
        <w:spacing w:after="120" w:before="120" w:line="288" w:lineRule="auto"/>
        <w:ind w:left="0"/>
        <w:jc w:val="both"/>
        <w:rPr>
          <w:lang w:val="pt-BR"/>
        </w:rPr>
      </w:pPr>
      <w:r>
        <w:rPr>
          <w:lang w:val="vi-VN"/>
        </w:rPr>
      </w: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275/2026/0250/VFI-CT.48.A</w:t>
      </w:r>
      <w:r>
        <w:rPr>
          <w:color w:val="ff0000"/>
          <w:lang w:val="vi-VN"/>
        </w:rPr>
        <w:t xml:space="preserve"> </w:t>
      </w:r>
      <w:r>
        <w:rPr>
          <w:color w:val="000000" w:themeColor="text1"/>
        </w:rPr>
        <w:t xml:space="preserve">ngày 2 tháng 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Đỗ Thanh Thảo</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275/2026/0250/VFI-BC.48.A</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1428750" cy="2232645"/>
                      <wp:effectExtent l="0" t="0" r="0" b="0"/>
                      <wp:docPr id="6" name=""/>
                      <wp:cNvGraphicFramePr/>
                      <a:graphic xmlns:a="http://schemas.openxmlformats.org/drawingml/2006/main">
                        <a:graphicData uri="http://schemas.openxmlformats.org/drawingml/2006/picture">
                          <pic:pic xmlns:pic="http://schemas.openxmlformats.org/drawingml/2006/picture">
                            <pic:nvPicPr>
                              <pic:cNvPr id="1722444133" name="" descr=""/>
                              <pic:cNvPicPr/>
                              <pic:nvPr/>
                            </pic:nvPicPr>
                            <pic:blipFill rotWithShape="1">
                              <a:blip r:embed="rId18"/>
                            </pic:blipFill>
                            <pic:spPr bwMode="auto">
                              <a:xfrm flipH="0" flipV="0">
                                <a:off x="0" y="0"/>
                                <a:ext cx="1428750" cy="223264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2.50pt;height:175.8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mc:AlternateContent>
                <mc:Choice Requires="wpg">
                  <w:drawing>
                    <wp:inline xmlns:wp="http://schemas.openxmlformats.org/drawingml/2006/wordprocessingDrawing" distT="0" distB="0" distL="0" distR="0">
                      <wp:extent cx="2540000" cy="190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1048500792" name="" descr=""/>
                              <pic:cNvPicPr/>
                              <pic:nvPr/>
                            </pic:nvPicPr>
                            <pic:blipFill rotWithShape="1">
                              <a:blip r:embed="rId19"/>
                            </pic:blipFill>
                            <pic:spPr bwMode="auto">
                              <a:xfrm>
                                <a:off x="0" y="0"/>
                                <a:ext cx="2539998" cy="19049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0.00pt;height:150.0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0.00pt;height:150.0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2540000" cy="190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1022014173" name="" descr=""/>
                              <pic:cNvPicPr/>
                              <pic:nvPr/>
                            </pic:nvPicPr>
                            <pic:blipFill rotWithShape="1">
                              <a:blip r:embed="rId21"/>
                            </pic:blipFill>
                            <pic:spPr bwMode="auto">
                              <a:xfrm rot="0" flipH="0" flipV="0">
                                <a:off x="0" y="0"/>
                                <a:ext cx="2539999" cy="190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0.00pt;height:150.00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2540000" cy="190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107368809" name="" descr=""/>
                              <pic:cNvPicPr/>
                              <pic:nvPr/>
                            </pic:nvPicPr>
                            <pic:blipFill rotWithShape="1">
                              <a:blip r:embed="rId22"/>
                            </pic:blipFill>
                            <pic:spPr bwMode="auto">
                              <a:xfrm>
                                <a:off x="0" y="0"/>
                                <a:ext cx="2539999" cy="190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0.00pt;height:150.00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i/>
                <w:lang w:val="pt-BR"/>
              </w:rPr>
              <mc:AlternateContent>
                <mc:Choice Requires="wpg">
                  <w:drawing>
                    <wp:inline xmlns:wp="http://schemas.openxmlformats.org/drawingml/2006/wordprocessingDrawing" distT="0" distB="0" distL="0" distR="0">
                      <wp:extent cx="2540000" cy="190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1180340394" name="" descr=""/>
                              <pic:cNvPicPr/>
                              <pic:nvPr/>
                            </pic:nvPicPr>
                            <pic:blipFill rotWithShape="1">
                              <a:blip r:embed="rId23"/>
                            </pic:blipFill>
                            <pic:spPr bwMode="auto">
                              <a:xfrm rot="0" flipH="0" flipV="0">
                                <a:off x="0" y="0"/>
                                <a:ext cx="2539999" cy="190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0.00pt;height:150.00pt;mso-wrap-distance-left:0.00pt;mso-wrap-distance-top:0.00pt;mso-wrap-distance-right:0.00pt;mso-wrap-distance-bottom:0.00pt;rotation:0;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275/2026/0250/VFI-BC.48.A</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6048375" cy="574601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50124" name=""/>
                        <pic:cNvPicPr>
                          <a:picLocks noChangeAspect="1"/>
                        </pic:cNvPicPr>
                        <pic:nvPr/>
                      </pic:nvPicPr>
                      <pic:blipFill rotWithShape="1">
                        <a:blip r:embed="rId24"/>
                        <a:stretch/>
                      </pic:blipFill>
                      <pic:spPr bwMode="auto">
                        <a:xfrm flipH="0" flipV="0">
                          <a:off x="0" y="0"/>
                          <a:ext cx="6048374" cy="57460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452.44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b/>
          <w:bCs/>
          <w:iCs/>
          <w:highlight w:val="none"/>
          <w:lang w:val="pt-BR"/>
        </w:rPr>
      </w:pPr>
      <w:r>
        <w:rPr>
          <w:b/>
          <w:bCs/>
          <w:iCs/>
          <w:lang w:val="pt-BR"/>
        </w:rPr>
        <w:t xml:space="preserve">TSSS2</w:t>
      </w:r>
      <w:r>
        <w:rPr>
          <w:b/>
          <w:bCs/>
          <w:iCs/>
          <w:highlight w:val="none"/>
          <w:lang w:val="pt-BR"/>
        </w:rPr>
      </w:r>
      <w:r>
        <w:rPr>
          <w:b/>
          <w:bCs/>
          <w:iCs/>
          <w:highlight w:val="none"/>
          <w:lang w:val="pt-BR"/>
        </w:rPr>
      </w:r>
    </w:p>
    <w:p>
      <w:pPr>
        <w:pBdr/>
        <w:spacing w:after="200" w:line="276" w:lineRule="auto"/>
        <w:ind/>
        <w:jc w:val="center"/>
        <w:rPr>
          <w:lang w:val="pt-BR"/>
        </w:rPr>
      </w:pPr>
      <w:r>
        <w:rPr>
          <w:b/>
          <w:bCs/>
          <w:iCs/>
          <w:highlight w:val="none"/>
          <w:lang w:val="pt-BR" w:bidi="pt-BR"/>
        </w:rPr>
      </w:r>
      <w:r>
        <mc:AlternateContent>
          <mc:Choice Requires="wpg">
            <w:drawing>
              <wp:inline xmlns:wp="http://schemas.openxmlformats.org/drawingml/2006/wordprocessingDrawing" distT="0" distB="0" distL="0" distR="0">
                <wp:extent cx="6048375" cy="5928853"/>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8259" name=""/>
                        <pic:cNvPicPr>
                          <a:picLocks noChangeAspect="1"/>
                        </pic:cNvPicPr>
                        <pic:nvPr/>
                      </pic:nvPicPr>
                      <pic:blipFill rotWithShape="1">
                        <a:blip r:embed="rId25"/>
                        <a:stretch/>
                      </pic:blipFill>
                      <pic:spPr bwMode="auto">
                        <a:xfrm flipH="0" flipV="0">
                          <a:off x="0" y="0"/>
                          <a:ext cx="6048374" cy="59288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466.84pt;mso-wrap-distance-left:0.00pt;mso-wrap-distance-top:0.00pt;mso-wrap-distance-right:0.00pt;mso-wrap-distance-bottom:0.00pt;z-index:1;" stroked="false">
                <v:imagedata r:id="rId25" o:title=""/>
                <o:lock v:ext="edit" rotation="t"/>
              </v:shape>
            </w:pict>
          </mc:Fallback>
        </mc:AlternateContent>
      </w:r>
      <w:r>
        <w:rPr>
          <w:lang w:val="pt-BR"/>
        </w:rPr>
      </w:r>
      <w:r>
        <w:rPr>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776453"/>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33581" name=""/>
                        <pic:cNvPicPr>
                          <a:picLocks noChangeAspect="1"/>
                        </pic:cNvPicPr>
                        <pic:nvPr/>
                      </pic:nvPicPr>
                      <pic:blipFill rotWithShape="1">
                        <a:blip r:embed="rId26"/>
                        <a:stretch/>
                      </pic:blipFill>
                      <pic:spPr bwMode="auto">
                        <a:xfrm flipH="0" flipV="0">
                          <a:off x="0" y="0"/>
                          <a:ext cx="6048374" cy="57764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454.84pt;mso-wrap-distance-left:0.00pt;mso-wrap-distance-top:0.00pt;mso-wrap-distance-right:0.00pt;mso-wrap-distance-bottom:0.00pt;z-index:1;" stroked="false">
                <v:imagedata r:id="rId26"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43F42D3"/>
    <w:lvl w:ilvl="0">
      <w:isLgl w:val="false"/>
      <w:lvlJc w:val="left"/>
      <w:lvlText w:val="–"/>
      <w:numFmt w:val="bullet"/>
      <w:pPr>
        <w:pBdr/>
        <w:spacing/>
        <w:ind w:hanging="360" w:left="709"/>
      </w:pPr>
      <w:rPr>
        <w:rFonts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778EAE5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274</cp:revision>
  <dcterms:created xsi:type="dcterms:W3CDTF">2025-09-15T09:58:00Z</dcterms:created>
  <dcterms:modified xsi:type="dcterms:W3CDTF">2026-02-07T02:33:25Z</dcterms:modified>
</cp:coreProperties>
</file>