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275/2026/0077/VFI-CT.53.A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TRỊNH VĂN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19, tờ bản đồ số: 17 có đị</w:t>
                            </w:r>
                            <w:r>
                              <w:rPr>
                                <w:color w:val="000000"/>
                              </w:rPr>
                              <w:t xml:space="preserve">a chỉ: Xã Hát Môn, Thành phố Hà Nội  theo Giấy chứng nhận quyền sử dụng dất, quyền sở hữu tài sản gắn liền với đất  số: AA 03479013, số vào sổ cấp GCN: CN 3521 do Chi nhánh Văn phòng Đăng ký đất đai- Huyện Phúc Thọ  cấp ngày 3/9/2025 cho Ông Trịnh Văn Tuấn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275/2026/0077/VFI-CT.53.A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TRỊNH VĂN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19, tờ bản đồ số: 17 có đị</w:t>
                      </w:r>
                      <w:r>
                        <w:rPr>
                          <w:color w:val="000000"/>
                        </w:rPr>
                        <w:t xml:space="preserve">a chỉ: Xã Hát Môn, Thành phố Hà Nội  theo Giấy chứng nhận quyền sử dụng dất, quyền sở hữu tài sản gắn liền với đất  số: AA 03479013, số vào sổ cấp GCN: CN 3521 do Chi nhánh Văn phòng Đăng ký đất đai- Huyện Phúc Thọ  cấp ngày 3/9/2025 cho Ông Trịnh Văn Tuấn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14:paraId="103F6C0D"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275/2026/0077/VFI-CT.53.A</w:t>
            </w:r>
            <w:r>
              <w:rPr>
                <w:color w:val="000000" w:themeColor="text1"/>
                <w:sz w:val="24"/>
                <w:szCs w:val="24"/>
              </w:rPr>
            </w:r>
            <w:r>
              <w:rPr>
                <w:color w:val="000000" w:themeColor="text1"/>
                <w:sz w:val="24"/>
                <w:szCs w:val="24"/>
              </w:rPr>
            </w:r>
          </w:p>
          <w:p w14:paraId="6C20F813" w14:textId="77777777">
            <w:pPr>
              <w:pStyle w:val="1026"/>
              <w:pBdr/>
              <w:spacing w:after="60"/>
              <w:ind w:right="-56"/>
              <w:jc w:val="left"/>
              <w:rPr>
                <w:color w:val="000000" w:themeColor="text1"/>
                <w:sz w:val="24"/>
                <w:szCs w:val="24"/>
                <w:lang w:val="vi-VN"/>
              </w:rPr>
            </w:pPr>
            <w:r>
              <w:rPr>
                <w:rStyle w:val="1025"/>
                <w:rFonts w:ascii="Times New Roman" w:hAnsi="Times New Roman"/>
                <w:i/>
                <w:color w:val="auto"/>
              </w:rPr>
              <w:t xml:space="preserve">                                                                                 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14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TRỊNH VĂN TUẤN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275/2026/0077/VFI-HĐTĐ.53.A</w:t>
      </w:r>
      <w:r>
        <w:rPr>
          <w:spacing w:val="-4"/>
          <w:lang w:val="vi-VN"/>
        </w:rPr>
        <w:t xml:space="preserve"> ký ngày </w:t>
      </w:r>
      <w:r>
        <w:rPr>
          <w:color w:val="000000" w:themeColor="text1"/>
          <w:spacing w:val="-4"/>
        </w:rPr>
        <w:t xml:space="preserve">13 tháng 1 năm 2026</w:t>
      </w:r>
      <w:r>
        <w:rPr>
          <w:spacing w:val="-4"/>
          <w:lang w:val="vi-VN"/>
        </w:rPr>
        <w:t xml:space="preserve"> </w:t>
      </w:r>
      <w:r>
        <w:rPr>
          <w:spacing w:val="-4"/>
          <w:lang w:val="vi-VN"/>
        </w:rPr>
        <w:t xml:space="preserve">giữa </w:t>
      </w:r>
      <w:r>
        <w:rPr>
          <w:color w:val="000000" w:themeColor="text1"/>
          <w:spacing w:val="-4"/>
        </w:rPr>
        <w:t xml:space="preserve">ÔNG TRỊNH VĂN TUẤN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275/2026/0077/VFI-BC.53.A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TRỊNH VĂN TUẤN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001072042968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Đường Hồng, xã Hát Môn,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19, tờ bản đồ số: 17 có đị</w:t>
      </w:r>
      <w:r>
        <w:rPr>
          <w:color w:val="000000" w:themeColor="text1"/>
        </w:rPr>
        <w:t xml:space="preserve">a chỉ: Xã Hát Môn, Thành phố Hà Nội  theo Giấy chứng nhận quyền sử dụng dất, quyền sở hữu tài sản gắn liền với đất  số: AA 03479013, số vào sổ cấp GCN: CN 3521 do Chi nhánh Văn phòng Đăng ký đất đai- Huyện Phúc Thọ  cấp ngày 3/9/2025 cho Ông Trịnh Văn Tuấn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t xml:space="preserve">Quyền sử dụng đất tại thửa đất số: 19, tờ bản đồ số: 17 có đị</w:t>
            </w:r>
            <w:r>
              <w:rPr>
                <w:b/>
                <w:bCs/>
                <w:color w:val="000000"/>
              </w:rPr>
              <w:t xml:space="preserve">a chỉ: Xã Hát Môn, Thành phố Hà Nội  theo Giấy chứng nhận quyền sử dụng dất, quyền sở hữu tài sản gắn liền với đất  số: AA 03479013, số vào sổ cấp GCN: CN 3521 do Chi nhánh Văn phòng Đăng ký đất đai- Huyện Phúc Thọ  cấp ngày 3/9/2025 cho Ông Trịnh Văn Tuấn</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367</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33.000.000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12.111.000.000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12.111.000.000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một trăm mười một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866"/>
        <w:gridCol w:w="11692"/>
      </w:tblGrid>
      <w:tr>
        <w:trPr>
          <w:trHeight w:val="1152"/>
        </w:trPr>
        <w:tc>
          <w:tcPr>
            <w:gridSpan w:val="2"/>
            <w:tcBorders/>
            <w:tcW w:w="2722"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692"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1866" w:type="dxa"/>
            <w:textDirection w:val="lrTb"/>
            <w:noWrap w:val="false"/>
          </w:tcPr>
          <w:p w14:paraId="55E7402E"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275/2026/0077/VFI-CT.53.A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1692" w:type="dxa"/>
            <w:textDirection w:val="lrTb"/>
            <w:noWrap w:val="false"/>
          </w:tcPr>
          <w:p w14:paraId="2396134F" w14:textId="77777777">
            <w:pPr>
              <w:pStyle w:val="1026"/>
              <w:pBdr/>
              <w:spacing w:after="60"/>
              <w:ind w:right="-56"/>
              <w:jc w:val="left"/>
              <w:rPr>
                <w:color w:val="000000" w:themeColor="text1"/>
                <w:sz w:val="24"/>
                <w:szCs w:val="24"/>
                <w:lang w:val="vi-VN"/>
              </w:rPr>
            </w:pPr>
            <w:r>
              <w:rPr>
                <w:rStyle w:val="1025"/>
                <w:rFonts w:ascii="Times New Roman" w:hAnsi="Times New Roman"/>
                <w:i/>
                <w:color w:val="auto"/>
              </w:rPr>
              <w:t xml:space="preserve">                                                            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14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275/2026/0077/VFI-CT.53.A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049D0B3">
            <w:pPr>
              <w:pBdr/>
              <w:spacing/>
              <w:ind/>
              <w:rPr/>
            </w:pPr>
            <w:r>
              <w:rPr>
                <w:b/>
                <w:bCs/>
              </w:rPr>
              <w:t xml:space="preserve">ÔNG TRỊNH VĂN TUẤN</w:t>
            </w:r>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8BAF533">
            <w:pPr>
              <w:pBdr/>
              <w:spacing w:after="40" w:before="40" w:line="276" w:lineRule="auto"/>
              <w:ind/>
              <w:jc w:val="both"/>
              <w:rPr>
                <w:color w:val="ff0000"/>
                <w:lang w:val="pt-BR"/>
              </w:rPr>
            </w:pPr>
            <w:r>
              <w:rPr>
                <w:color w:val="000000" w:themeColor="text1"/>
                <w:lang w:val="vi-VN"/>
              </w:rPr>
              <w:t xml:space="preserve">001072042968</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9E99059">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C0E912E">
            <w:pPr>
              <w:pBdr/>
              <w:spacing w:after="40" w:before="40" w:line="276" w:lineRule="auto"/>
              <w:ind/>
              <w:jc w:val="both"/>
              <w:rPr>
                <w:color w:val="ff0000"/>
                <w:lang w:val="pt-BR"/>
              </w:rPr>
            </w:pPr>
            <w:r>
              <w:rPr>
                <w:color w:val="000000" w:themeColor="text1"/>
                <w:lang w:val="vi-VN"/>
              </w:rPr>
              <w:t xml:space="preserve">Thôn Đường Hồng, xã Hát Môn,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19, tờ bản đồ số: 17 có đị</w:t>
            </w:r>
            <w:r>
              <w:rPr>
                <w:bCs/>
                <w:color w:val="000000" w:themeColor="text1"/>
                <w:lang w:val="pt-BR"/>
              </w:rPr>
              <w:t xml:space="preserve">a chỉ: Xã Hát Môn, Thành phố Hà Nội  theo Giấy chứng nhận quyền sử dụng dất, quyền sở hữu tài sản gắn liền với đất  số: AA 03479013, số vào sổ cấp GCN: CN 3521 do Chi nhánh Văn phòng Đăng ký đất đai- Huyện Phúc Thọ  cấp ngày 3/9/2025 cho Ông Trịnh Văn Tuấn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Hát Môn, Huyện Phúc Thọ,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21.107388888889, 105.62275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tài sản gắn liền với đất  số: AA 03479013, số vào sổ cấp GCN: CN 3521 do Chi nhánh Văn phòng Đăng ký đất đai- Huyện Phúc Thọ  cấp ngày 3/9/2025 cho Ông Trịnh Văn Tuấn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275/2026/0077/VFI-HĐTĐ.53.A ngày 13/01/2026 giữa Ông Trịnh Văn Tuấn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2B31A3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lang w:val="pt-BR"/>
        </w:rPr>
        <w:tab/>
      </w:r>
      <w:r>
        <w:rPr>
          <w:i/>
          <w:iCs/>
          <w:lang w:val="pt-BR"/>
        </w:rPr>
      </w:r>
      <w:r>
        <w:rPr>
          <w:rFonts w:ascii="Times New Roman" w:hAnsi="Times New Roman" w:eastAsia="Times New Roman" w:cs="Times New Roman"/>
          <w:color w:val="000000"/>
          <w:sz w:val="24"/>
        </w:rPr>
        <w:t xml:space="preserve">  Huyện Phúc Thọ sở hữu vị trí địa lý đắc địa, vừa thuộc hữu ngạn sông Hồng - sông Đáy, vừa nằm cách trung tâm Thủ đô Hà Nội chỉ khoảng 35km.</w:t>
      </w:r>
      <w:r/>
    </w:p>
    <w:p w14:paraId="450379B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Từ nay đến năm 2030, tầm nhìn đến 2050, huyện Phúc Thọ sẽ phát triển theo hướng đô thị sinh thái, thông minh và bền vững. Huyện sẽ tập trung phát triển thương mại dịch vụ và du lịch gắn với đô thị sinh thái làm ngành kinh tế mũi nhọn. Nông nghiệp côn</w:t>
      </w:r>
      <w:r>
        <w:rPr>
          <w:rFonts w:ascii="Times New Roman" w:hAnsi="Times New Roman" w:eastAsia="Times New Roman" w:cs="Times New Roman"/>
          <w:color w:val="000000"/>
          <w:sz w:val="24"/>
        </w:rPr>
        <w:t xml:space="preserve">g nghệ cao sẽ là nền tảng, trong khi công nghiệp và tiểu thủ công nghiệp sẽ là động lực thúc đẩy sự phát triển.Với lợi thế có vị trí tiếp giáp các xã Quảng Oai, Suối Hai, Yên Bài, phường Tùng Thiện là điểm giao thoa với vùng sinh thái bán sơn địa, tạo ra n</w:t>
      </w:r>
      <w:r>
        <w:rPr>
          <w:rFonts w:ascii="Times New Roman" w:hAnsi="Times New Roman" w:eastAsia="Times New Roman" w:cs="Times New Roman"/>
          <w:color w:val="000000"/>
          <w:sz w:val="24"/>
        </w:rPr>
        <w:t xml:space="preserve">hiều tiềm năng phát triển du lịch, nghỉ dưỡng, có thể quy hoạch làm farmstay, homestay… và bảo tồn rừng trong quy hoạch tổng thể khu vực phía Tây Hà Nội.</w:t>
      </w:r>
      <w:r/>
    </w:p>
    <w:p w14:paraId="57DB330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Huyện Phúc Thọ xác định một trong ba vùng phát triển là khu đô thị sinh thái gắn liền với thương mại, dịch vụ và trung tâm hành chính, chính trị, văn hóa của huyện, bao gồm thị trấn Phúc Thọ và các xã như Sen Phương, Võng Xuyên, Long Xuyên và Phụng T</w:t>
      </w:r>
      <w:r>
        <w:rPr>
          <w:rFonts w:ascii="Times New Roman" w:hAnsi="Times New Roman" w:eastAsia="Times New Roman" w:cs="Times New Roman"/>
          <w:color w:val="000000"/>
          <w:sz w:val="24"/>
        </w:rPr>
        <w:t xml:space="preserve">hượng.</w:t>
      </w:r>
      <w:r/>
    </w:p>
    <w:p w14:paraId="65B27EE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Quy hoạch phát triển của huyện Phúc Thọ bao gồm nhiều dự án bất động sản quan trọng, đặc biệt là các khu đô thị sinh thái với tổng diện tích lên đến hơn 1.000 ha. Những khu đô thị này không chỉ tập trung ở thị trấn Phúc Thọ mà còn mở rộng ra các xã như</w:t>
      </w:r>
      <w:r>
        <w:rPr>
          <w:rFonts w:ascii="Times New Roman" w:hAnsi="Times New Roman" w:eastAsia="Times New Roman" w:cs="Times New Roman"/>
          <w:color w:val="000000"/>
          <w:sz w:val="24"/>
        </w:rPr>
        <w:t xml:space="preserve"> Hát Môn, Long Xuyên, Ngọc Tảo, Phúc Hòa, và Phụng Thượng. Sự ra đời của các khu đô thị sinh thái này đáp ứng nhu cầu nhà ở, tạo điều kiện thuận lợi cho phát triển thương mại, dịch vụ và du lịch. Ngoài ra, huyện cũng dành gần 437 ha đất cho phát triển công</w:t>
      </w:r>
      <w:r>
        <w:rPr>
          <w:rFonts w:ascii="Times New Roman" w:hAnsi="Times New Roman" w:eastAsia="Times New Roman" w:cs="Times New Roman"/>
          <w:color w:val="000000"/>
          <w:sz w:val="24"/>
        </w:rPr>
        <w:t xml:space="preserve"> nghiệp, đặc biệt ở các khu công nghiệp như Nam Phúc Thọ và các làng nghề.</w:t>
      </w:r>
      <w:r/>
    </w:p>
    <w:p w14:paraId="7031658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Huyện Phúc Thọ đang dần khẳng định vị thế của mình nhờ vị trí chiến lược, quy hoạch bài bản và tiềm năng phát triển lớn. Nhìn chung, thị trường bất động sản huyện Phúc Thọ đang trên đà phát triển với tiềm năng tăng trưởng dài hạn. Sự gia tăng về hạ tầng</w:t>
      </w:r>
      <w:r>
        <w:rPr>
          <w:rFonts w:ascii="Times New Roman" w:hAnsi="Times New Roman" w:eastAsia="Times New Roman" w:cs="Times New Roman"/>
          <w:color w:val="000000"/>
          <w:sz w:val="24"/>
        </w:rPr>
        <w:t xml:space="preserve"> giao thông, khu đô thị sinh thái và nhu cầu mua bán nhà từ cư dân nội thành mở ra cơ hội đầu tư hấp dẫn. Nhà đầu tư nên xem xét kỹ các yếu tố pháp lý và lựa chọn vị trí phù hợp để tối ưu hóa lợi nhuận lâu dài.</w:t>
      </w:r>
      <w:r/>
    </w:p>
    <w:p w14:paraId="4AC81CB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i/>
          <w:color w:val="000000"/>
          <w:sz w:val="24"/>
        </w:rPr>
        <w:t xml:space="preserve">( nguồn : </w:t>
      </w:r>
      <w:hyperlink r:id="rId17" w:tooltip="https://onehousing.vn/blog/bat-dong-san-huyen-phuc-tho-tiem-nang-va-vi-tri-dep-n17t" w:history="1">
        <w:r>
          <w:rPr>
            <w:rStyle w:val="1017"/>
            <w:rFonts w:ascii="Times New Roman" w:hAnsi="Times New Roman" w:eastAsia="Times New Roman" w:cs="Times New Roman"/>
            <w:i/>
            <w:color w:val="000000"/>
            <w:sz w:val="24"/>
            <w:u w:val="single"/>
          </w:rPr>
          <w:t xml:space="preserve">https://onehousing.vn/blog/bat-dong-san-huyen-phuc-tho-tiem-nang-va-vi-tri-dep-n17t</w:t>
        </w:r>
      </w:hyperlink>
      <w:r>
        <w:rPr>
          <w:rFonts w:ascii="Times New Roman" w:hAnsi="Times New Roman" w:eastAsia="Times New Roman" w:cs="Times New Roman"/>
          <w:i/>
          <w:color w:val="000000"/>
          <w:sz w:val="24"/>
        </w:rPr>
        <w:t xml:space="preserve">)</w:t>
      </w:r>
      <w:r/>
      <w:r/>
      <w:r>
        <w:rPr>
          <w:i/>
          <w:iCs/>
          <w:lang w:val="pt-BR"/>
        </w:rPr>
      </w:r>
      <w:r/>
      <w:r>
        <w:rPr>
          <w:rFonts w:ascii="Times New Roman" w:hAnsi="Times New Roman" w:eastAsia="Times New Roman" w:cs="Times New Roman"/>
          <w:sz w:val="24"/>
        </w:rPr>
      </w:r>
      <w:r>
        <w:rPr>
          <w:rFonts w:ascii="Times New Roman" w:hAnsi="Times New Roman" w:eastAsia="Times New Roman" w:cs="Times New Roman"/>
          <w:sz w:val="24"/>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93"/>
        <w:gridCol w:w="2097"/>
        <w:gridCol w:w="1850"/>
        <w:gridCol w:w="2293"/>
        <w:gridCol w:w="2521"/>
      </w:tblGrid>
      <w:tr>
        <w:trPr>
          <w:trHeight w:val="159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6B76C8E">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533DD13F">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19, tờ bản đồ số: 17 có địa chỉ: Xã Hát Môn, Thành phố Hà Nội  theo Giấy chứng nhận quyền sử dụng dất, quyền sở hữu tài sản gắn liền với đất  số: AA 03479013, số vào sổ cấp GCN: CN 3521 do Chi nhánh Văn phòng Đăng ký đất </w:t>
            </w:r>
            <w:r>
              <w:rPr>
                <w:rFonts w:ascii="Times New Roman" w:hAnsi="Times New Roman" w:eastAsia="Times New Roman" w:cs="Times New Roman"/>
                <w:b/>
                <w:color w:val="000000"/>
                <w:sz w:val="24"/>
              </w:rPr>
              <w:t xml:space="preserve">đai- Huyện Phúc Thọ  cấp ngày 3/9/2025 cho Ông Trịnh Văn Tuấn</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4637DC78">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5E222810">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8EB2AA4">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555E51A6">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DA94FD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22967CE5">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38FB5BD2">
            <w:pPr>
              <w:pBdr/>
              <w:spacing w:after="0" w:before="0" w:line="240" w:lineRule="auto"/>
              <w:ind/>
              <w:rPr/>
            </w:pPr>
            <w:r>
              <w:rPr>
                <w:rFonts w:ascii="Times New Roman" w:hAnsi="Times New Roman" w:eastAsia="Times New Roman" w:cs="Times New Roman"/>
                <w:color w:val="000000"/>
                <w:sz w:val="24"/>
              </w:rPr>
              <w:t xml:space="preserve">19</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4CD4EB11">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4E0353AD">
            <w:pPr>
              <w:pBdr/>
              <w:spacing w:after="0" w:before="0" w:line="240" w:lineRule="auto"/>
              <w:ind/>
              <w:rPr/>
            </w:pPr>
            <w:r>
              <w:rPr>
                <w:rFonts w:ascii="Times New Roman" w:hAnsi="Times New Roman" w:eastAsia="Times New Roman" w:cs="Times New Roman"/>
                <w:color w:val="000000"/>
                <w:sz w:val="24"/>
              </w:rPr>
              <w:t xml:space="preserve">17</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B00526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77FEC0A9">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5B22111C">
            <w:pPr>
              <w:pBdr/>
              <w:spacing w:after="0" w:before="0" w:line="240" w:lineRule="auto"/>
              <w:ind/>
              <w:rPr/>
            </w:pPr>
            <w:r>
              <w:rPr>
                <w:rFonts w:ascii="Times New Roman" w:hAnsi="Times New Roman" w:eastAsia="Times New Roman" w:cs="Times New Roman"/>
                <w:color w:val="000000"/>
                <w:sz w:val="24"/>
              </w:rPr>
              <w:t xml:space="preserve">Xã Hát Môn, Thành phố Hà Nội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DB0BC9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332C6EE">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6A6C0ABA">
            <w:pPr>
              <w:pBdr/>
              <w:spacing w:after="0" w:before="0" w:line="240" w:lineRule="auto"/>
              <w:ind/>
              <w:rPr/>
            </w:pPr>
            <w:r>
              <w:rPr>
                <w:rFonts w:ascii="Times New Roman" w:hAnsi="Times New Roman" w:eastAsia="Times New Roman" w:cs="Times New Roman"/>
                <w:color w:val="000000"/>
                <w:sz w:val="24"/>
              </w:rPr>
              <w:t xml:space="preserve">                      367,0 </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4D90E92E">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306A8EB7">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83CC85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43E7D19B">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2A373E2C">
            <w:pPr>
              <w:pBdr/>
              <w:spacing w:after="0" w:before="0" w:line="240" w:lineRule="auto"/>
              <w:ind/>
              <w:rPr/>
            </w:pPr>
            <w:r>
              <w:rPr>
                <w:rFonts w:ascii="Times New Roman" w:hAnsi="Times New Roman" w:eastAsia="Times New Roman" w:cs="Times New Roman"/>
                <w:color w:val="000000"/>
                <w:sz w:val="24"/>
              </w:rPr>
              <w:t xml:space="preserve">Đất ở tại nông thôn </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742DFFD5">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12B52434">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5896877">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129BC347">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E76DAD4">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0225E138">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6DE825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20960D92">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4" w:type="dxa"/>
            <w:vAlign w:val="center"/>
            <w:textDirection w:val="lrTb"/>
            <w:noWrap w:val="false"/>
          </w:tcPr>
          <w:p w14:paraId="5C179425">
            <w:pPr>
              <w:pBdr/>
              <w:spacing w:after="0" w:before="0" w:line="240" w:lineRule="auto"/>
              <w:ind/>
              <w:rPr/>
            </w:pPr>
            <w:r>
              <w:rPr>
                <w:rFonts w:ascii="Times New Roman" w:hAnsi="Times New Roman" w:eastAsia="Times New Roman" w:cs="Times New Roman"/>
                <w:color w:val="000000"/>
                <w:sz w:val="24"/>
              </w:rPr>
              <w:t xml:space="preserve">Xã Hát Môn, Thành phố Hà Nội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EA87E5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097" w:type="dxa"/>
            <w:vAlign w:val="center"/>
            <w:textDirection w:val="lrTb"/>
            <w:noWrap w:val="false"/>
          </w:tcPr>
          <w:p w14:paraId="6D7380DE">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850" w:type="dxa"/>
            <w:vAlign w:val="center"/>
            <w:textDirection w:val="lrTb"/>
            <w:noWrap w:val="false"/>
          </w:tcPr>
          <w:p w14:paraId="020FB911">
            <w:pPr>
              <w:pBdr/>
              <w:spacing w:after="0" w:before="0" w:line="240" w:lineRule="auto"/>
              <w:ind/>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293" w:type="dxa"/>
            <w:vAlign w:val="center"/>
            <w:textDirection w:val="lrTb"/>
            <w:noWrap w:val="false"/>
          </w:tcPr>
          <w:p w14:paraId="358D6B9D">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521" w:type="dxa"/>
            <w:vAlign w:val="center"/>
            <w:textDirection w:val="lrTb"/>
            <w:noWrap/>
          </w:tcPr>
          <w:p w14:paraId="4584D5AD">
            <w:pPr>
              <w:pBdr/>
              <w:spacing w:after="0" w:before="0" w:line="240" w:lineRule="auto"/>
              <w:ind/>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673F6A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A75C9ED">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5857CCB9">
            <w:pPr>
              <w:pBdr/>
              <w:spacing w:after="0" w:before="0" w:line="240" w:lineRule="auto"/>
              <w:ind/>
              <w:rPr/>
            </w:pPr>
            <w:r>
              <w:rPr>
                <w:rFonts w:ascii="Times New Roman" w:hAnsi="Times New Roman" w:eastAsia="Times New Roman" w:cs="Times New Roman"/>
                <w:color w:val="000000"/>
                <w:sz w:val="24"/>
              </w:rPr>
              <w:t xml:space="preserve">5,5</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0D686F9B">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2AFE5A8D">
            <w:pPr>
              <w:pBdr/>
              <w:spacing w:after="0" w:before="0" w:line="240" w:lineRule="auto"/>
              <w:ind/>
              <w:rPr/>
            </w:pPr>
            <w:r>
              <w:rPr>
                <w:rFonts w:ascii="Times New Roman" w:hAnsi="Times New Roman" w:eastAsia="Times New Roman" w:cs="Times New Roman"/>
                <w:color w:val="000000"/>
                <w:sz w:val="24"/>
              </w:rPr>
              <w:t xml:space="preserve">5,5</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C33829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F36669E">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39E9B83A">
            <w:pPr>
              <w:pBdr/>
              <w:spacing w:after="0" w:before="0" w:line="240" w:lineRule="auto"/>
              <w:ind/>
              <w:rPr/>
            </w:pPr>
            <w:r>
              <w:rPr>
                <w:rFonts w:ascii="Times New Roman" w:hAnsi="Times New Roman" w:eastAsia="Times New Roman" w:cs="Times New Roman"/>
                <w:color w:val="000000"/>
                <w:sz w:val="24"/>
              </w:rPr>
              <w:t xml:space="preserve">Tài sản nẳm tiếp giáp mặt đường trục thôn Thanh Đa, cách nhà thờ giáo xứ Thuấn Nội khoảng 100m </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965A9E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2B1FCB5C">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5C25DA7D">
            <w:pPr>
              <w:pBdr/>
              <w:spacing w:after="0" w:before="0" w:line="240" w:lineRule="auto"/>
              <w:ind/>
              <w:rPr/>
            </w:pPr>
            <w:r>
              <w:rPr>
                <w:rFonts w:ascii="Times New Roman" w:hAnsi="Times New Roman" w:eastAsia="Times New Roman" w:cs="Times New Roman"/>
                <w:color w:val="000000"/>
                <w:sz w:val="24"/>
              </w:rPr>
              <w:t xml:space="preserve">Tài sản nằm tiếp giáp đường bê tông rộng khoảng 5,5m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FAEC9C0">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62" w:type="dxa"/>
            <w:vAlign w:val="center"/>
            <w:textDirection w:val="lrTb"/>
            <w:noWrap w:val="false"/>
          </w:tcPr>
          <w:p w14:paraId="326E05F9">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64A9AF1">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62" w:type="dxa"/>
            <w:vAlign w:val="center"/>
            <w:textDirection w:val="lrTb"/>
            <w:noWrap w:val="false"/>
          </w:tcPr>
          <w:p w14:paraId="6EABCF33">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732480621" name="" descr=""/>
                              <pic:cNvPicPr/>
                              <pic:nvPr/>
                            </pic:nvPicPr>
                            <pic:blipFill rotWithShape="1">
                              <a:blip r:embed="rId18"/>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4F67F67">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2592ADF4">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617711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506F6E98">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67053ED0">
            <w:pPr>
              <w:pBdr/>
              <w:spacing w:after="0" w:before="0" w:line="240" w:lineRule="auto"/>
              <w:ind/>
              <w:rPr/>
            </w:pPr>
            <w:r>
              <w:rPr>
                <w:rFonts w:ascii="Times New Roman" w:hAnsi="Times New Roman" w:eastAsia="Times New Roman" w:cs="Times New Roman"/>
                <w:color w:val="000000"/>
                <w:sz w:val="24"/>
              </w:rPr>
              <w:t xml:space="preserve">                      367,0 </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0B2913FD">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7A7B976F">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F36B1A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0CF0361D">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063A9332">
            <w:pPr>
              <w:pBdr/>
              <w:spacing w:after="0" w:before="0" w:line="240" w:lineRule="auto"/>
              <w:ind/>
              <w:rPr/>
            </w:pPr>
            <w:r>
              <w:rPr>
                <w:rFonts w:ascii="Times New Roman" w:hAnsi="Times New Roman" w:eastAsia="Times New Roman" w:cs="Times New Roman"/>
                <w:color w:val="000000"/>
                <w:sz w:val="24"/>
              </w:rPr>
              <w:t xml:space="preserve">20,36</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51BF4DA2">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58EAC3F6">
            <w:pPr>
              <w:pBdr/>
              <w:spacing w:after="0" w:before="0" w:line="240" w:lineRule="auto"/>
              <w:ind/>
              <w:rPr/>
            </w:pPr>
            <w:r>
              <w:rPr>
                <w:rFonts w:ascii="Times New Roman" w:hAnsi="Times New Roman" w:eastAsia="Times New Roman" w:cs="Times New Roman"/>
                <w:color w:val="000000"/>
                <w:sz w:val="24"/>
              </w:rPr>
              <w:t xml:space="preserve">19,83 và 20,54</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DB916C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34640906">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65417C57">
            <w:pPr>
              <w:pBdr/>
              <w:spacing w:after="0" w:before="0" w:line="240" w:lineRule="auto"/>
              <w:ind/>
              <w:rPr/>
            </w:pPr>
            <w:r>
              <w:rPr>
                <w:rFonts w:ascii="Times New Roman" w:hAnsi="Times New Roman" w:eastAsia="Times New Roman" w:cs="Times New Roman"/>
                <w:color w:val="000000"/>
                <w:sz w:val="24"/>
              </w:rPr>
              <w:t xml:space="preserve">16,75</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594B82EF">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1333275F">
            <w:pPr>
              <w:pBdr/>
              <w:spacing w:after="0" w:before="0" w:line="240" w:lineRule="auto"/>
              <w:ind/>
              <w:rPr/>
            </w:pPr>
            <w:r>
              <w:rPr>
                <w:rFonts w:ascii="Times New Roman" w:hAnsi="Times New Roman" w:eastAsia="Times New Roman" w:cs="Times New Roman"/>
                <w:color w:val="000000"/>
                <w:sz w:val="24"/>
              </w:rPr>
              <w:t xml:space="preserve">Thóp hậu </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43B11DD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7FA1EFEC">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4" w:type="dxa"/>
            <w:vAlign w:val="center"/>
            <w:textDirection w:val="lrTb"/>
            <w:noWrap w:val="false"/>
          </w:tcPr>
          <w:p w14:paraId="32A3836E">
            <w:pPr>
              <w:pBdr/>
              <w:spacing w:after="0" w:before="0" w:line="240" w:lineRule="auto"/>
              <w:ind/>
              <w:rPr/>
            </w:pPr>
            <w:r>
              <w:rPr>
                <w:rFonts w:ascii="Times New Roman" w:hAnsi="Times New Roman" w:eastAsia="Times New Roman" w:cs="Times New Roman"/>
                <w:color w:val="000000"/>
                <w:sz w:val="24"/>
              </w:rPr>
              <w:t xml:space="preserve">Tây Nam </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F6AB32A">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4918352D">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E1D6FB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60D6E770">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4342C3D1">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C6737A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74F15ACB">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67508D66">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979513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690F1CEA">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632A90C4">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656D667C">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76185288">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2F3268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790DF4AC">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1C110C90">
            <w:pPr>
              <w:pBdr/>
              <w:spacing w:after="0" w:before="0" w:line="240" w:lineRule="auto"/>
              <w:ind/>
              <w:rPr/>
            </w:pPr>
            <w:r>
              <w:rPr>
                <w:rFonts w:ascii="Times New Roman" w:hAnsi="Times New Roman" w:eastAsia="Times New Roman" w:cs="Times New Roman"/>
                <w:color w:val="000000"/>
                <w:sz w:val="24"/>
              </w:rPr>
              <w:t xml:space="preserve">Thích hợp để ở và kinh doanh </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46BF5AF2">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20F2A240">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10F961C">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183B4CD9">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116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E4412BD">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61F3BC56">
            <w:pPr>
              <w:pBdr/>
              <w:spacing w:after="0" w:before="0" w:line="240" w:lineRule="auto"/>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Tài thời điểm khảo sát, tổ thẩm định thấy trên đất có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83C8F71">
            <w:pPr>
              <w:pBdr/>
              <w:spacing w:after="0" w:before="0" w:line="240" w:lineRule="auto"/>
              <w:ind/>
              <w:rPr/>
            </w:pPr>
            <w:r>
              <w:rPr>
                <w:rFonts w:ascii="Times New Roman" w:hAnsi="Times New Roman" w:eastAsia="Times New Roman" w:cs="Times New Roman"/>
                <w:color w:val="000000"/>
                <w:sz w:val="24"/>
              </w:rPr>
              <w:t xml:space="preserve">+ 01 nhà 2 tầng, diện tích khoảng 90m2/ sàn. Xây dựng năm 2010. Còn lại là nhà khung sắt lợp tôn xây dựng năm 2024. Hiện các công trình chưa được chứng nhận trên GCN số AA 03479013.</w:t>
            </w:r>
            <w:r/>
          </w:p>
        </w:tc>
      </w:tr>
    </w:tbl>
    <w:p w14:paraId="21B1075F" w14:textId="77777777">
      <w:pPr>
        <w:pBdr/>
        <w:spacing w:line="235" w:lineRule="auto"/>
        <w:ind w:left="0"/>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522C808E">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thẩm định giá, trên đất có công trình xây dựng là: </w:t>
      </w:r>
      <w:r>
        <w:rPr>
          <w:rFonts w:ascii="Times New Roman" w:hAnsi="Times New Roman" w:eastAsia="Times New Roman" w:cs="Times New Roman"/>
          <w:color w:val="000000"/>
          <w:sz w:val="24"/>
        </w:rPr>
        <w:t xml:space="preserve"> 01 nhà 2 tầng, diện tích khoảng 90m2/ sàn. Xây dựng năm 2010. Còn lại là nhà khung sắt lợp tôn xây dựng năm 2024. Hiện các công trình chưa được chứng nhận trên GCN số AA 03479013</w:t>
      </w:r>
      <w:r>
        <w:rPr>
          <w:rFonts w:ascii="Times New Roman" w:hAnsi="Times New Roman" w:eastAsia="Times New Roman" w:cs="Times New Roman"/>
          <w:color w:val="000000"/>
          <w:sz w:val="24"/>
        </w:rPr>
        <w:t xml:space="preserve">. Do vậy, theo đề nghị của Ngân</w:t>
      </w:r>
      <w:r>
        <w:rPr>
          <w:rFonts w:ascii="Times New Roman" w:hAnsi="Times New Roman" w:eastAsia="Times New Roman" w:cs="Times New Roman"/>
          <w:color w:val="000000"/>
          <w:sz w:val="24"/>
        </w:rPr>
        <w:t xml:space="preserve">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Thanh Đa, Huyện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Thanh Đa, Huyện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Thanh Đa, Huyện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Thanh Đa, Huyện Phúc Thọ, Thành phố Hà Nội</w:t>
            </w:r>
            <w:r>
              <w:rPr>
                <w:sz w:val="22"/>
                <w:szCs w:val="22"/>
              </w:rPr>
            </w:r>
            <w:r>
              <w:rPr>
                <w:sz w:val="22"/>
                <w:szCs w:val="22"/>
              </w:rPr>
            </w:r>
          </w:p>
        </w:tc>
      </w:tr>
      <w:tr>
        <w:trPr>
          <w:trHeight w:val="78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https://www.facebook.com/share/p/1BycwR93Ac/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sale</w:t>
            </w:r>
            <w:r>
              <w:rPr>
                <w:sz w:val="22"/>
                <w:szCs w:val="22"/>
              </w:rPr>
              <w:t xml:space="preserve"> </w:t>
            </w:r>
            <w:r>
              <w:rPr>
                <w:sz w:val="22"/>
                <w:szCs w:val="22"/>
              </w:rPr>
              <w:br/>
              <w:t xml:space="preserve">(</w:t>
            </w:r>
            <w:r>
              <w:rPr>
                <w:sz w:val="22"/>
                <w:szCs w:val="22"/>
              </w:rPr>
              <w:t xml:space="preserve">0963436792</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sale Nhung</w:t>
            </w:r>
            <w:r>
              <w:rPr>
                <w:sz w:val="22"/>
                <w:szCs w:val="22"/>
              </w:rPr>
              <w:br/>
            </w:r>
            <w:r>
              <w:rPr>
                <w:sz w:val="22"/>
                <w:szCs w:val="22"/>
              </w:rPr>
              <w:t xml:space="preserve">(</w:t>
            </w:r>
            <w:r>
              <w:rPr>
                <w:sz w:val="22"/>
                <w:szCs w:val="22"/>
              </w:rPr>
              <w:t xml:space="preserve">0975349092</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sale Nhung</w:t>
            </w:r>
            <w:r>
              <w:rPr>
                <w:sz w:val="22"/>
                <w:szCs w:val="22"/>
              </w:rPr>
              <w:br/>
            </w:r>
            <w:r>
              <w:rPr>
                <w:sz w:val="22"/>
                <w:szCs w:val="22"/>
              </w:rPr>
              <w:t xml:space="preserve">(</w:t>
            </w:r>
            <w:r>
              <w:rPr>
                <w:sz w:val="22"/>
                <w:szCs w:val="22"/>
              </w:rPr>
              <w:t xml:space="preserve">0835 822 288</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74E596">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5FD023">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1A0AA2">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A57136">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7E939B">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EFE3BE">
            <w:pPr>
              <w:pBdr/>
              <w:spacing/>
              <w:ind/>
              <w:jc w:val="center"/>
              <w:rPr>
                <w:b/>
                <w:bCs/>
                <w:color w:val="000000"/>
                <w:sz w:val="22"/>
                <w:szCs w:val="22"/>
              </w:rPr>
            </w:pPr>
            <w:r>
              <w:rPr>
                <w:color w:val="000000" w:themeColor="text1"/>
                <w:sz w:val="22"/>
                <w:szCs w:val="22"/>
              </w:rPr>
              <w:t xml:space="preserve">Tài sản tại: Xã Hát Môn, Huyện Phúc Thọ, Thành phố Hà Nội</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A8772F">
            <w:pPr>
              <w:pBdr/>
              <w:spacing/>
              <w:ind/>
              <w:jc w:val="center"/>
              <w:rPr>
                <w:b/>
                <w:bCs/>
                <w:color w:val="000000"/>
                <w:sz w:val="22"/>
                <w:szCs w:val="22"/>
              </w:rPr>
            </w:pPr>
            <w:r>
              <w:rPr>
                <w:color w:val="000000" w:themeColor="text1"/>
                <w:sz w:val="22"/>
                <w:szCs w:val="22"/>
              </w:rPr>
              <w:t xml:space="preserve">Tài sản tại: Xã Thanh Đa, Huyện Phúc Thọ, Thành phố Hà Nội, khoảng cách ra đường chính Tài sản nằm tiếp giáp đường nội xóm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F72B6A">
            <w:pPr>
              <w:pBdr/>
              <w:spacing/>
              <w:ind/>
              <w:jc w:val="center"/>
              <w:rPr>
                <w:b/>
                <w:bCs/>
                <w:color w:val="000000"/>
                <w:sz w:val="22"/>
                <w:szCs w:val="22"/>
              </w:rPr>
            </w:pPr>
            <w:r>
              <w:rPr>
                <w:color w:val="000000" w:themeColor="text1"/>
                <w:sz w:val="22"/>
                <w:szCs w:val="22"/>
              </w:rPr>
              <w:t xml:space="preserve">Tài sản tại: Xã Thanh Đa, Huyện Phúc Thọ, Thành phố Hà Nội, khoảng cách ra đường chính Tài sản nằm tiếp giáp đường trục chính Phú Đam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13A724">
            <w:pPr>
              <w:pBdr/>
              <w:spacing/>
              <w:ind/>
              <w:jc w:val="center"/>
              <w:rPr>
                <w:b/>
                <w:bCs/>
                <w:color w:val="000000"/>
                <w:sz w:val="22"/>
                <w:szCs w:val="22"/>
              </w:rPr>
            </w:pPr>
            <w:r>
              <w:rPr>
                <w:color w:val="000000" w:themeColor="text1"/>
                <w:sz w:val="22"/>
                <w:szCs w:val="22"/>
              </w:rPr>
              <w:t xml:space="preserve">Tài sản tại: Xã Thanh Đa, Huyện Phúc Thọ, Thành phố Hà Nội, đường Tài sản nằm tiếp giáp đường nội xóm</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23.71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14.14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7.221.000.000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6.480.000.000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6.498.900.000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6.480.000.000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6.498.900.000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39.150.000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5.454.955.584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6.498.900.000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3.510.000.000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39.150.000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739E1F">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739E1F">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739E1F">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Hát Môn, Huyện Phúc Thọ, Thành phố Hà Nội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Thanh Đa, Huyện Phúc Thọ, Thành phố Hà Nội, khoảng cách ra đường chính Tài sản nằm tiếp giáp đường nội xóm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Thanh Đa, Huyện Phúc Thọ, Thành phố Hà Nội, khoảng cách ra đường chính Tài sản nằm tiếp giáp đường trục chính Phú Đam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Thanh Đa, Huyện Phúc Thọ, Thành phố Hà Nội, đường Tài sản nằm tiếp giáp đường nội xóm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-3.915.000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4.212.000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45.457.963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39.312.000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-11.364.491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-9.787.500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-8.775.000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34.093.472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25.447.500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30.537.000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7.07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4.545.796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5.265.000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38.639.268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35.802.000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23.71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14.14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38.639.268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35.802.000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38.639.268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35.802.000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-2.272.898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-1.957.500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-1.755.000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36.366.370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29.362.500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34.047.000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36.366.370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29.362.500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34.047.000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33.258.623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-11,71%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2,37%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18.183.185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21.532.500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20.007.000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9.091.593</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9.787.500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1.053.000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-11,71</w:t>
      </w:r>
      <w:r>
        <w:t xml:space="preserve">% </w:t>
      </w:r>
      <w:r>
        <w:t xml:space="preserve">đến</w:t>
      </w:r>
      <w:r>
        <w:t xml:space="preserve"> </w:t>
      </w:r>
      <w:r>
        <w:t xml:space="preserve"> </w:t>
      </w:r>
      <w:r>
        <w:t xml:space="preserve">9,34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36.366.370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12.124.548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29.362.500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9.786.521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34.047.000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11.347.865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33.258.934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33.000.000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33.000.000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7"/>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2"/>
        <w:gridCol w:w="2100"/>
        <w:gridCol w:w="1417"/>
        <w:gridCol w:w="2169"/>
        <w:gridCol w:w="3076"/>
      </w:tblGrid>
      <w:tr>
        <w:trPr>
          <w:trHeight w:val="20"/>
        </w:trPr>
        <w:tc>
          <w:tcPr>
            <w:shd w:val="clear" w:color="000000" w:fill="ffffff"/>
            <w:tcBorders/>
            <w:tcW w:w="762" w:type="dxa"/>
            <w:vAlign w:val="center"/>
            <w:textDirection w:val="lrTb"/>
            <w:noWrap w:val="false"/>
          </w:tcPr>
          <w:p w14:paraId="71D1BCEA">
            <w:pPr>
              <w:pBdr/>
              <w:spacing w:after="40" w:before="40" w:line="288" w:lineRule="auto"/>
              <w:ind/>
              <w:jc w:val="center"/>
              <w:rPr>
                <w:b/>
                <w:bCs/>
              </w:rPr>
            </w:pPr>
            <w:r>
              <w:rPr>
                <w:b/>
                <w:bCs/>
              </w:rPr>
              <w:t xml:space="preserve">TT</w:t>
            </w:r>
            <w:r>
              <w:rPr>
                <w:b/>
                <w:bCs/>
              </w:rPr>
            </w:r>
            <w:r>
              <w:rPr>
                <w:b/>
                <w:bCs/>
              </w:rPr>
            </w:r>
          </w:p>
        </w:tc>
        <w:tc>
          <w:tcPr>
            <w:shd w:val="clear" w:color="000000" w:fill="ffffff"/>
            <w:tcBorders/>
            <w:tcW w:w="2100" w:type="dxa"/>
            <w:vAlign w:val="center"/>
            <w:textDirection w:val="lrTb"/>
            <w:noWrap w:val="false"/>
          </w:tcPr>
          <w:p w14:paraId="3A932F34">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17" w:type="dxa"/>
            <w:vAlign w:val="center"/>
            <w:textDirection w:val="lrTb"/>
            <w:noWrap w:val="false"/>
          </w:tcPr>
          <w:p w14:paraId="69B18E39">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69" w:type="dxa"/>
            <w:vAlign w:val="center"/>
            <w:textDirection w:val="lrTb"/>
            <w:noWrap w:val="false"/>
          </w:tcPr>
          <w:p w14:paraId="2095B8D2">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3076" w:type="dxa"/>
            <w:vAlign w:val="center"/>
            <w:textDirection w:val="lrTb"/>
            <w:noWrap w:val="false"/>
          </w:tcPr>
          <w:p w14:paraId="078E8455">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62" w:type="dxa"/>
            <w:vAlign w:val="center"/>
            <w:textDirection w:val="lrTb"/>
            <w:noWrap w:val="false"/>
          </w:tcPr>
          <w:p w14:paraId="53AB0D5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687" w:type="dxa"/>
            <w:vAlign w:val="center"/>
            <w:textDirection w:val="lrTb"/>
            <w:noWrap w:val="false"/>
          </w:tcPr>
          <w:p w14:paraId="2D306CF2">
            <w:pPr>
              <w:pBdr/>
              <w:spacing w:after="40" w:before="40" w:line="288" w:lineRule="auto"/>
              <w:ind/>
              <w:jc w:val="both"/>
              <w:rPr>
                <w:b/>
                <w:bCs/>
              </w:rPr>
            </w:pPr>
            <w:r>
              <w:rPr>
                <w:b/>
                <w:bCs/>
                <w:color w:val="000000"/>
              </w:rPr>
              <w:t xml:space="preserve">Quyền sử dụng đất tại thửa đất số: 19, tờ bản đồ số: 17 có đị</w:t>
            </w:r>
            <w:r>
              <w:rPr>
                <w:b/>
                <w:bCs/>
                <w:color w:val="000000"/>
              </w:rPr>
              <w:t xml:space="preserve">a chỉ: Xã Hát Môn, Thành phố Hà Nội  theo Giấy chứng nhận quyền sử dụng dất, quyền sở hữu tài sản gắn liền với đất  số: AA 03479013, số vào sổ cấp GCN: CN 3521 do Chi nhánh Văn phòng Đăng ký đất đai- Huyện Phúc Thọ  cấp ngày 3/9/2025 cho Ông Trịnh Văn Tuấn</w:t>
            </w:r>
            <w:r>
              <w:rPr>
                <w:b/>
                <w:bCs/>
              </w:rPr>
              <w:t xml:space="preserve">.</w:t>
            </w:r>
            <w:r>
              <w:rPr>
                <w:b/>
                <w:bCs/>
              </w:rPr>
            </w:r>
            <w:r>
              <w:rPr>
                <w:b/>
                <w:bCs/>
              </w:rPr>
            </w:r>
          </w:p>
        </w:tc>
        <w:tc>
          <w:tcPr>
            <w:shd w:val="clear" w:color="000000" w:fill="ffffff"/>
            <w:tcBorders/>
            <w:tcW w:w="3076" w:type="dxa"/>
            <w:vAlign w:val="center"/>
            <w:textDirection w:val="lrTb"/>
            <w:noWrap w:val="false"/>
          </w:tcPr>
          <w:p w14:paraId="0297968D">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2" w:type="dxa"/>
            <w:vAlign w:val="center"/>
            <w:textDirection w:val="lrTb"/>
            <w:noWrap w:val="false"/>
          </w:tcPr>
          <w:p w14:paraId="0CEB4175">
            <w:pPr>
              <w:pBdr/>
              <w:spacing w:after="40" w:before="40" w:line="288" w:lineRule="auto"/>
              <w:ind/>
              <w:jc w:val="center"/>
              <w:rPr/>
            </w:pPr>
            <w:r>
              <w:rPr>
                <w:b/>
                <w:bCs/>
              </w:rPr>
              <w:t xml:space="preserve">1</w:t>
            </w:r>
            <w:r/>
          </w:p>
        </w:tc>
        <w:tc>
          <w:tcPr>
            <w:shd w:val="clear" w:color="000000" w:fill="ffffff"/>
            <w:tcBorders/>
            <w:tcW w:w="2100" w:type="dxa"/>
            <w:vAlign w:val="center"/>
            <w:textDirection w:val="lrTb"/>
            <w:noWrap w:val="false"/>
          </w:tcPr>
          <w:p w14:paraId="275595C7">
            <w:pPr>
              <w:pBdr/>
              <w:spacing w:after="40" w:before="40" w:line="288" w:lineRule="auto"/>
              <w:ind/>
              <w:rPr/>
            </w:pPr>
            <w:r>
              <w:rPr>
                <w:b/>
                <w:bCs/>
              </w:rPr>
              <w:t xml:space="preserve">Đất ở nông thôn</w:t>
            </w:r>
            <w:r/>
          </w:p>
        </w:tc>
        <w:tc>
          <w:tcPr>
            <w:tcBorders/>
            <w:tcW w:w="1417" w:type="dxa"/>
            <w:vAlign w:val="center"/>
            <w:textDirection w:val="lrTb"/>
            <w:noWrap/>
          </w:tcPr>
          <w:p w14:paraId="399A6D6F">
            <w:pPr>
              <w:pBdr/>
              <w:spacing w:after="40" w:before="40" w:line="288" w:lineRule="auto"/>
              <w:ind/>
              <w:jc w:val="center"/>
              <w:rPr>
                <w:color w:val="000000"/>
              </w:rPr>
            </w:pPr>
            <w:r>
              <w:rPr>
                <w:color w:val="000000" w:themeColor="text1"/>
              </w:rPr>
              <w:t xml:space="preserve">367</w:t>
            </w:r>
            <w:r>
              <w:rPr>
                <w:color w:val="000000"/>
              </w:rPr>
            </w:r>
            <w:r>
              <w:rPr>
                <w:color w:val="000000"/>
              </w:rPr>
            </w:r>
          </w:p>
        </w:tc>
        <w:tc>
          <w:tcPr>
            <w:shd w:val="clear" w:color="000000" w:fill="ffffff"/>
            <w:tcBorders/>
            <w:tcW w:w="2169" w:type="dxa"/>
            <w:vAlign w:val="center"/>
            <w:textDirection w:val="lrTb"/>
            <w:noWrap w:val="false"/>
          </w:tcPr>
          <w:p w14:paraId="7FF2B0A1">
            <w:pPr>
              <w:pBdr/>
              <w:spacing w:after="40" w:before="40" w:line="288" w:lineRule="auto"/>
              <w:ind/>
              <w:jc w:val="center"/>
              <w:rPr/>
            </w:pPr>
            <w:r>
              <w:rPr>
                <w:color w:val="000000" w:themeColor="text1"/>
              </w:rPr>
              <w:t xml:space="preserve">33.000.000</w:t>
            </w:r>
            <w:r/>
          </w:p>
        </w:tc>
        <w:tc>
          <w:tcPr>
            <w:shd w:val="clear" w:color="000000" w:fill="ffffff"/>
            <w:tcBorders/>
            <w:tcW w:w="3076" w:type="dxa"/>
            <w:vAlign w:val="center"/>
            <w:textDirection w:val="lrTb"/>
            <w:noWrap w:val="false"/>
          </w:tcPr>
          <w:p w14:paraId="7FCEE958">
            <w:pPr>
              <w:pBdr/>
              <w:spacing w:after="40" w:before="40" w:line="288" w:lineRule="auto"/>
              <w:ind/>
              <w:jc w:val="center"/>
              <w:rPr/>
            </w:pPr>
            <w:r>
              <w:rPr>
                <w:color w:val="000000" w:themeColor="text1"/>
              </w:rPr>
              <w:t xml:space="preserve">12.111.000.000</w:t>
            </w:r>
            <w:r/>
          </w:p>
        </w:tc>
      </w:tr>
      <w:tr>
        <w:trPr>
          <w:trHeight w:val="20"/>
        </w:trPr>
        <w:tc>
          <w:tcPr>
            <w:gridSpan w:val="4"/>
            <w:tcBorders/>
            <w:tcW w:w="6449" w:type="dxa"/>
            <w:vAlign w:val="center"/>
            <w:textDirection w:val="lrTb"/>
            <w:noWrap/>
          </w:tcPr>
          <w:p w14:paraId="5BD1A50B">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3076" w:type="dxa"/>
            <w:vAlign w:val="center"/>
            <w:textDirection w:val="lrTb"/>
            <w:noWrap/>
          </w:tcPr>
          <w:p w14:paraId="48ABE3C4">
            <w:pPr>
              <w:pBdr/>
              <w:spacing w:after="40" w:before="40" w:line="288" w:lineRule="auto"/>
              <w:ind/>
              <w:jc w:val="center"/>
              <w:rPr>
                <w:b/>
                <w:bCs/>
                <w:color w:val="000000"/>
              </w:rPr>
            </w:pPr>
            <w:r>
              <w:t xml:space="preserve">12.111.000.000</w:t>
            </w:r>
            <w:r>
              <w:rPr>
                <w:b/>
                <w:bCs/>
                <w:color w:val="000000"/>
              </w:rPr>
            </w:r>
            <w:r>
              <w:rPr>
                <w:b/>
                <w:bCs/>
                <w:color w:val="000000"/>
              </w:rPr>
            </w:r>
          </w:p>
        </w:tc>
      </w:tr>
      <w:tr>
        <w:trPr>
          <w:trHeight w:val="20"/>
        </w:trPr>
        <w:tc>
          <w:tcPr>
            <w:gridSpan w:val="5"/>
            <w:tcBorders/>
            <w:tcW w:w="9525" w:type="dxa"/>
            <w:vAlign w:val="center"/>
            <w:textDirection w:val="lrTb"/>
            <w:noWrap w:val="false"/>
          </w:tcPr>
          <w:p w14:paraId="155ABD7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một trăm mười một triệu đồng chẵn</w:t>
            </w:r>
            <w:r>
              <w:rPr>
                <w:b/>
                <w:bCs/>
                <w:i/>
                <w:iCs/>
                <w:color w:val="000000"/>
              </w:rPr>
              <w:t xml:space="preserve">./.)</w:t>
            </w:r>
            <w:r>
              <w:rPr>
                <w:b/>
                <w:bCs/>
                <w:i/>
                <w:iCs/>
                <w:color w:val="000000"/>
              </w:rPr>
            </w:r>
            <w:r>
              <w:rPr>
                <w:b/>
                <w:bCs/>
                <w:i/>
                <w:iCs/>
                <w:color w:val="000000"/>
              </w:rPr>
            </w:r>
          </w:p>
        </w:tc>
      </w:tr>
    </w:tbl>
    <w:p w14:paraId="29EABFB2">
      <w:pPr>
        <w:pStyle w:val="1027"/>
        <w:pBdr/>
        <w:tabs>
          <w:tab w:val="left" w:leader="none" w:pos="993"/>
        </w:tabs>
        <w:spacing w:after="120" w:before="120" w:line="276" w:lineRule="auto"/>
        <w:ind w:left="0"/>
        <w:jc w:val="both"/>
        <w:rPr/>
      </w:pPr>
      <w:r>
        <w:rPr>
          <w:highlight w:val="none"/>
        </w:rPr>
      </w:r>
      <w:r>
        <w:rPr>
          <w:highlight w:val="none"/>
        </w:rPr>
      </w:r>
      <w:r/>
    </w:p>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6B8FD994">
      <w:pPr>
        <w:pStyle w:val="1027"/>
        <w:numPr>
          <w:ilvl w:val="0"/>
          <w:numId w:val="39"/>
        </w:numPr>
        <w:pBdr/>
        <w:tabs>
          <w:tab w:val="left" w:leader="none" w:pos="993"/>
        </w:tabs>
        <w:spacing w:after="120" w:before="120" w:line="264" w:lineRule="auto"/>
        <w:ind/>
        <w:jc w:val="both"/>
        <w:rPr>
          <w:spacing w:val="-2"/>
          <w:lang w:val="pt-BR"/>
        </w:rPr>
      </w:pPr>
      <w:r>
        <w:rPr>
          <w:highlight w:val="none"/>
          <w:shd w:val="clear" w:color="auto" w:fill="ffffff"/>
          <w:lang w:val="pt-BR" w:bidi="pt-BR"/>
        </w:rPr>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Tại thời điểm thẩm định giá, trên đất có công trình xây dựng là: </w:t>
      </w:r>
      <w:r>
        <w:rPr>
          <w:rFonts w:ascii="Times New Roman" w:hAnsi="Times New Roman" w:eastAsia="Times New Roman" w:cs="Times New Roman"/>
          <w:color w:val="000000"/>
          <w:sz w:val="24"/>
        </w:rPr>
        <w:t xml:space="preserve"> 01 nhà 2 tầng, diện tích khoảng 90m2/ sàn. Xây dựng năm 2010. Còn lại là nhà khung sắt lợp tôn xây dựng năm 2024. Hiện các công trình chưa được chứng nhận trên GCN số AA 03479013</w:t>
      </w:r>
      <w:r>
        <w:rPr>
          <w:rFonts w:ascii="Times New Roman" w:hAnsi="Times New Roman" w:eastAsia="Times New Roman" w:cs="Times New Roman"/>
          <w:color w:val="000000"/>
          <w:sz w:val="24"/>
        </w:rPr>
        <w:t xml:space="preserve">. Do vậy, theo đề nghị của Ngân</w:t>
      </w:r>
      <w:r>
        <w:rPr>
          <w:rFonts w:ascii="Times New Roman" w:hAnsi="Times New Roman" w:eastAsia="Times New Roman" w:cs="Times New Roman"/>
          <w:color w:val="000000"/>
          <w:sz w:val="24"/>
        </w:rPr>
        <w:t xml:space="preserve">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7"/>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275/2026/0077/VFI-CT.53.A</w:t>
      </w:r>
      <w:r>
        <w:rPr>
          <w:color w:val="ff0000"/>
          <w:lang w:val="vi-VN"/>
        </w:rPr>
        <w:t xml:space="preserve"> </w:t>
      </w:r>
      <w:r>
        <w:rPr>
          <w:color w:val="000000" w:themeColor="text1"/>
        </w:rPr>
        <w:t xml:space="preserve">ngày 14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lang w:val="vi-VN"/>
        </w:rPr>
      </w:r>
    </w:p>
    <w:p w14:paraId="2838A8CA" w14:textId="77777777">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bCs/>
                <w:color w:val="000000" w:themeColor="text1"/>
              </w:rPr>
            </w:pPr>
            <w:r>
              <w:rPr>
                <w:rFonts w:eastAsia="Calibri"/>
                <w:b/>
                <w:bCs/>
                <w:color w:val="000000" w:themeColor="text1"/>
                <w:lang w:val="pt-BR"/>
              </w:rPr>
              <w:t xml:space="preserve">Trần Thị Thanh Tâm</w:t>
            </w:r>
            <w:r>
              <w:rPr>
                <w:rFonts w:eastAsia="Calibri"/>
                <w:b/>
                <w:bCs/>
                <w:color w:val="000000" w:themeColor="text1"/>
              </w:rPr>
            </w:r>
            <w:r>
              <w:rPr>
                <w:rFonts w:eastAsia="Calibri"/>
                <w:b/>
                <w:bCs/>
                <w:color w:val="000000" w:themeColor="text1"/>
              </w:rPr>
            </w:r>
          </w:p>
          <w:p w14:paraId="14701E09" w14:textId="0EB900F3">
            <w:pPr>
              <w:pBdr/>
              <w:spacing w:line="240" w:lineRule="atLeast"/>
              <w:ind/>
              <w:jc w:val="center"/>
              <w:rPr>
                <w:rFonts w:eastAsia="Calibri"/>
                <w:b/>
                <w:bCs/>
              </w:rPr>
            </w:pPr>
            <w:r>
              <w:rPr>
                <w:rFonts w:eastAsia="Calibri"/>
                <w:b/>
                <w:bCs/>
                <w:lang w:val="pt-BR"/>
              </w:rPr>
            </w:r>
            <w:r>
              <w:rPr>
                <w:rFonts w:eastAsia="Calibri"/>
                <w:b/>
                <w:bCs/>
              </w:rPr>
            </w:r>
            <w:r>
              <w:rPr>
                <w:rFonts w:eastAsia="Calibri"/>
                <w:b/>
                <w:bCs/>
              </w:rPr>
            </w:r>
          </w:p>
        </w:tc>
        <w:tc>
          <w:tcPr>
            <w:tcBorders/>
            <w:tcW w:w="2445" w:type="pct"/>
            <w:vAlign w:val="center"/>
            <w:textDirection w:val="lrTb"/>
            <w:noWrap w:val="false"/>
          </w:tcPr>
          <w:p w14:paraId="2C3CE9AE" w14:textId="4665CFAD">
            <w:pPr>
              <w:pBdr/>
              <w:spacing w:line="240" w:lineRule="atLeast"/>
              <w:ind/>
              <w:jc w:val="center"/>
              <w:rPr>
                <w:rFonts w:eastAsia="Calibri"/>
                <w:b/>
                <w:bCs/>
              </w:rPr>
            </w:pPr>
            <w:r>
              <w:rPr>
                <w:rFonts w:eastAsia="Calibri"/>
                <w:b/>
                <w:bCs/>
              </w:rPr>
              <w:t xml:space="preserve">Nguyễn Thị Thùy</w:t>
            </w:r>
            <w:r>
              <w:rPr>
                <w:rFonts w:eastAsia="Calibri"/>
                <w:b/>
                <w:bCs/>
              </w:rPr>
            </w:r>
            <w:r>
              <w:rPr>
                <w:rFonts w:eastAsia="Calibri"/>
                <w:b/>
                <w:bCs/>
              </w:rPr>
            </w:r>
          </w:p>
          <w:p w14:paraId="37DD8AB5" w14:textId="6ABCD4C7">
            <w:pPr>
              <w:pBdr/>
              <w:spacing w:line="276" w:lineRule="auto"/>
              <w:ind/>
              <w:rPr>
                <w:rFonts w:eastAsia="Calibri"/>
                <w:b/>
                <w:bCs/>
              </w:rPr>
            </w:pPr>
            <w:r>
              <w:rPr>
                <w:rFonts w:eastAsia="Calibri"/>
                <w:b/>
                <w:bCs/>
                <w:lang w:val="pt-BR"/>
              </w:rPr>
            </w:r>
            <w:r>
              <w:rPr>
                <w:rFonts w:eastAsia="Calibri"/>
                <w:b/>
                <w:bCs/>
              </w:rPr>
            </w:r>
            <w:r>
              <w:rPr>
                <w:rFonts w:eastAsia="Calibri"/>
                <w:b/>
                <w:bCs/>
              </w:rPr>
            </w:r>
          </w:p>
        </w:tc>
      </w:tr>
    </w:tbl>
    <w:p w14:paraId="79EBCD6E" w14:textId="7EE5057B">
      <w:pPr>
        <w:pBdr/>
        <w:spacing w:after="200" w:line="276" w:lineRule="auto"/>
        <w:ind/>
        <w:jc w:val="left"/>
        <w:rPr>
          <w:b/>
          <w:bCs/>
          <w:u w:val="single"/>
        </w:rPr>
      </w:pPr>
      <w:r>
        <w:rPr>
          <w:b/>
          <w:bCs/>
          <w:u w:val="single"/>
          <w:lang w:val="vi-VN"/>
        </w:rPr>
        <w:t xml:space="preserve">                  PHỤ LỤC</w:t>
      </w:r>
      <w:r>
        <w:rPr>
          <w:b/>
          <w:bCs/>
          <w:u w:val="single"/>
          <w:lang w:val="pt-BR"/>
        </w:rPr>
        <w:t xml:space="preserve"> </w:t>
      </w:r>
      <w:r>
        <w:rPr>
          <w:b/>
          <w:bCs/>
          <w:u w:val="single"/>
          <w:lang w:val="pt-BR"/>
        </w:rPr>
        <w:t xml:space="preserve">0</w:t>
      </w:r>
      <w:r>
        <w:rPr>
          <w:b/>
          <w:bCs/>
          <w:u w:val="single"/>
          <w:lang w:val="pt-BR"/>
        </w:rPr>
        <w:t xml:space="preserve">1</w:t>
      </w:r>
      <w:r>
        <w:rPr>
          <w:b/>
          <w:bCs/>
          <w:lang w:val="vi-VN"/>
        </w:rPr>
        <w:t xml:space="preserve">: </w:t>
      </w:r>
      <w:r>
        <w:rPr>
          <w:b/>
          <w:bCs/>
        </w:rPr>
        <w:t xml:space="preserve">THÔNG TIN</w:t>
      </w:r>
      <w:r>
        <w:rPr>
          <w:b/>
          <w:bCs/>
          <w:lang w:val="vi-VN"/>
        </w:rPr>
        <w:t xml:space="preserve"> HIỆN TRẠNG</w:t>
      </w:r>
      <w:r>
        <w:rPr>
          <w:b/>
          <w:bCs/>
          <w:lang w:val="pt-BR"/>
        </w:rPr>
        <w:t xml:space="preserve"> </w:t>
      </w:r>
      <w:r>
        <w:rPr>
          <w:b/>
          <w:bCs/>
          <w:lang w:val="pt-BR"/>
        </w:rPr>
        <w:t xml:space="preserve">VÀ PHÁP LÝ </w:t>
      </w:r>
      <w:r>
        <w:rPr>
          <w:b/>
          <w:bCs/>
          <w:lang w:val="pt-BR"/>
        </w:rPr>
        <w:t xml:space="preserve">CỦA TÀI SẢN</w:t>
      </w:r>
      <w:r>
        <w:rPr>
          <w:b/>
          <w:bCs/>
          <w:u w:val="single"/>
        </w:rPr>
      </w:r>
      <w:r>
        <w:rPr>
          <w:b/>
          <w:bCs/>
          <w:u w:val="single"/>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275/2026/0077/VFI-BC.53.A</w:t>
      </w:r>
      <w:r>
        <w:rPr>
          <w:i/>
          <w:lang w:val="pt-BR"/>
        </w:rPr>
        <w:t xml:space="preserve"> </w:t>
      </w:r>
      <w:r>
        <w:rPr>
          <w:i/>
          <w:lang w:val="pt-BR"/>
        </w:rPr>
        <w:t xml:space="preserve">ngày 14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365"/>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48256" cy="26776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57683" name=""/>
                              <pic:cNvPicPr>
                                <a:picLocks noChangeAspect="1"/>
                              </pic:cNvPicPr>
                              <pic:nvPr/>
                            </pic:nvPicPr>
                            <pic:blipFill rotWithShape="1">
                              <a:blip r:embed="rId19"/>
                              <a:stretch/>
                            </pic:blipFill>
                            <pic:spPr bwMode="auto">
                              <a:xfrm flipH="0" flipV="0">
                                <a:off x="0" y="0"/>
                                <a:ext cx="1948254" cy="2677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3.41pt;height:210.8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79886" cy="23849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5831" name=""/>
                              <pic:cNvPicPr>
                                <a:picLocks noChangeAspect="1"/>
                              </pic:cNvPicPr>
                              <pic:nvPr/>
                            </pic:nvPicPr>
                            <pic:blipFill rotWithShape="1">
                              <a:blip r:embed="rId20"/>
                              <a:stretch/>
                            </pic:blipFill>
                            <pic:spPr bwMode="auto">
                              <a:xfrm flipH="0" flipV="0">
                                <a:off x="0" y="0"/>
                                <a:ext cx="3179884" cy="23849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0.38pt;height:187.7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40081" cy="2068908"/>
                      <wp:effectExtent l="0" t="0" r="0" b="0"/>
                      <wp:docPr id="8" name=""/>
                      <wp:cNvGraphicFramePr/>
                      <a:graphic xmlns:a="http://schemas.openxmlformats.org/drawingml/2006/main">
                        <a:graphicData uri="http://schemas.openxmlformats.org/drawingml/2006/picture">
                          <pic:pic xmlns:pic="http://schemas.openxmlformats.org/drawingml/2006/picture">
                            <pic:nvPicPr>
                              <pic:cNvPr id="1140466704" name="" descr=""/>
                              <pic:cNvPicPr/>
                              <pic:nvPr/>
                            </pic:nvPicPr>
                            <pic:blipFill rotWithShape="1">
                              <a:blip r:embed="rId21"/>
                              <a:stretch/>
                            </pic:blipFill>
                            <pic:spPr bwMode="auto">
                              <a:xfrm flipH="0" flipV="0">
                                <a:off x="0" y="0"/>
                                <a:ext cx="2740081" cy="20689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75pt;height:162.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7319" cy="204548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84786" name=""/>
                              <pic:cNvPicPr>
                                <a:picLocks noChangeAspect="1"/>
                              </pic:cNvPicPr>
                              <pic:nvPr/>
                            </pic:nvPicPr>
                            <pic:blipFill rotWithShape="1">
                              <a:blip r:embed="rId22"/>
                              <a:stretch/>
                            </pic:blipFill>
                            <pic:spPr bwMode="auto">
                              <a:xfrm flipH="0" flipV="0">
                                <a:off x="0" y="0"/>
                                <a:ext cx="2727318" cy="20454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75pt;height:161.0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31664" cy="2031222"/>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731663" cy="20312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09pt;height:159.9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23116" cy="215744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94608" name=""/>
                              <pic:cNvPicPr>
                                <a:picLocks noChangeAspect="1"/>
                              </pic:cNvPicPr>
                              <pic:nvPr/>
                            </pic:nvPicPr>
                            <pic:blipFill rotWithShape="1">
                              <a:blip r:embed="rId24"/>
                              <a:stretch/>
                            </pic:blipFill>
                            <pic:spPr bwMode="auto">
                              <a:xfrm flipH="0" flipV="0">
                                <a:off x="0" y="0"/>
                                <a:ext cx="2323115" cy="21574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2.92pt;height:169.8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275/2026/0077/VFI-BC.53.A</w:t>
      </w:r>
      <w:r>
        <w:rPr>
          <w:i/>
          <w:lang w:val="pt-BR"/>
        </w:rPr>
        <w:t xml:space="preserve"> </w:t>
      </w:r>
      <w:r>
        <w:rPr>
          <w:i/>
          <w:lang w:val="pt-BR"/>
        </w:rPr>
        <w:t xml:space="preserve">ngày 14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w:t>
            </w:r>
            <w:r>
              <w:rPr>
                <w:sz w:val="22"/>
                <w:szCs w:val="22"/>
              </w:rPr>
              <w:t xml:space="preserve"> </w:t>
            </w:r>
            <w:r>
              <w:rPr>
                <w:sz w:val="22"/>
                <w:szCs w:val="22"/>
              </w:rPr>
              <w:br/>
              <w:t xml:space="preserve">(0963436792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Thanh Đa, Huyện Phúc Thọ, Thành phố Hà Nội, khoảng cách ra đường chính Tài sản nằm tiếp giáp đường nội xómm, độ rộng đường trước mặt tài sản 4m, mặt tiền 10.80m, 21.112024040835916, 105.62101470039548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1164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3116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9.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3344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334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2.0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1164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3116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9.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https://www.facebook.com/share/p/1BycwR93Ac/</w:t>
            </w:r>
            <w:r>
              <w:rPr>
                <w:color w:val="000000" w:themeColor="text1"/>
                <w:sz w:val="22"/>
                <w:szCs w:val="22"/>
              </w:rPr>
              <w:br/>
              <w:t xml:space="preserve">sale Nhung</w:t>
            </w:r>
            <w:r>
              <w:rPr>
                <w:sz w:val="22"/>
                <w:szCs w:val="22"/>
              </w:rPr>
              <w:t xml:space="preserve"> </w:t>
            </w:r>
            <w:r>
              <w:rPr>
                <w:sz w:val="22"/>
                <w:szCs w:val="22"/>
              </w:rPr>
              <w:br/>
              <w:t xml:space="preserve">(0975349092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7.221.000.000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6.498.900.000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(166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Thanh Đa, Huyện Phúc Thọ, Thành phố Hà Nội, khoảng cách ra đường chính Tài sản nằm tiếp giáp đường trục chính Phú Đam, độ rộng đường trước mặt tài sản 5m, mặt tiền 7m, 21.113603858834335, 105.61593430158827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019CF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8856C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A87686">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9EECE9">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165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0116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15.8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165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0116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15.8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sale Nhung</w:t>
            </w:r>
            <w:r>
              <w:rPr>
                <w:sz w:val="22"/>
                <w:szCs w:val="22"/>
              </w:rPr>
              <w:t xml:space="preserve"> </w:t>
            </w:r>
            <w:r>
              <w:rPr>
                <w:sz w:val="22"/>
                <w:szCs w:val="22"/>
              </w:rPr>
              <w:br/>
              <w:t xml:space="preserve">(0835 822 288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3.510.000.000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Thanh Đa, Huyện Phúc Thọ, Thành phố Hà Nội, đường Tài sản nằm tiếp giáp đường nội xóm, độ rộng đường trước mặt tài sản 3.4m, mặt tiền 7.07m, 21.11263752615016, 105.61932567146503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7.07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019CF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8856C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A87686">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9EECE9">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2"/>
        </w:trPr>
        <w:tc>
          <w:tcPr>
            <w:tcBorders/>
            <w:tcW w:w="4427" w:type="dxa"/>
            <w:vAlign w:val="bottom"/>
            <w:textDirection w:val="lrTb"/>
            <w:noWrap w:val="false"/>
          </w:tcPr>
          <w:p w14:paraId="38D599FE">
            <w:pPr>
              <w:pBdr/>
              <w:spacing/>
              <w:ind/>
              <w:jc w:val="center"/>
              <w:rPr>
                <w:b/>
                <w:bCs/>
              </w:rPr>
            </w:pPr>
            <w:r>
              <w:rPr>
                <w:b/>
                <w:bCs/>
              </w:rPr>
            </w:r>
            <w:r>
              <w:rPr>
                <w:b/>
                <w:bCs/>
              </w:rPr>
            </w:r>
            <w:r>
              <w:rPr>
                <w:b/>
                <w:bCs/>
              </w:rPr>
            </w:r>
          </w:p>
          <w:p w14:paraId="0A36036D">
            <w:pPr>
              <w:pBdr/>
              <w:spacing/>
              <w:ind/>
              <w:jc w:val="center"/>
              <w:rPr>
                <w:b/>
                <w:bCs/>
              </w:rPr>
            </w:pPr>
            <w:r>
              <w:rPr>
                <w:b/>
                <w:bCs/>
              </w:rPr>
            </w:r>
            <w:r>
              <w:rPr>
                <w:b/>
                <w:bCs/>
              </w:rPr>
            </w:r>
            <w:r>
              <w:rPr>
                <w:b/>
                <w:bCs/>
              </w:rPr>
            </w:r>
          </w:p>
          <w:p w14:paraId="0C55A17D">
            <w:pPr>
              <w:pBdr/>
              <w:spacing/>
              <w:ind/>
              <w:jc w:val="center"/>
              <w:rPr>
                <w:b/>
                <w:bCs/>
              </w:rPr>
            </w:pPr>
            <w:r>
              <w:rPr>
                <w:b/>
                <w:bCs/>
              </w:rPr>
            </w:r>
            <w:r>
              <w:rPr>
                <w:b/>
                <w:bCs/>
              </w:rPr>
            </w:r>
            <w:r>
              <w:rPr>
                <w:b/>
                <w:bCs/>
              </w:rPr>
            </w:r>
          </w:p>
          <w:p w14:paraId="4BB0ED9B">
            <w:pPr>
              <w:pBdr/>
              <w:spacing/>
              <w:ind/>
              <w:jc w:val="center"/>
              <w:rPr>
                <w:b/>
                <w:bCs/>
              </w:rPr>
            </w:pPr>
            <w:r>
              <w:rPr>
                <w:b/>
                <w:bCs/>
              </w:rPr>
            </w:r>
            <w:r>
              <w:rPr>
                <w:b/>
                <w:bCs/>
              </w:rPr>
            </w:r>
            <w:r>
              <w:rPr>
                <w:b/>
                <w:bCs/>
              </w:rPr>
            </w:r>
          </w:p>
          <w:p w14:paraId="49439D1D">
            <w:pPr>
              <w:pBdr/>
              <w:spacing/>
              <w:ind/>
              <w:jc w:val="center"/>
              <w:rPr>
                <w:b/>
                <w:bCs/>
              </w:rPr>
            </w:pPr>
            <w:r>
              <w:rPr>
                <w:b/>
                <w:bCs/>
              </w:rPr>
            </w:r>
            <w:r>
              <w:rPr>
                <w:b/>
                <w:bCs/>
              </w:rPr>
            </w:r>
            <w:r>
              <w:rPr>
                <w:b/>
                <w:bCs/>
              </w:rPr>
            </w:r>
          </w:p>
          <w:p w14:paraId="4491478C">
            <w:pPr>
              <w:pBdr/>
              <w:spacing/>
              <w:ind/>
              <w:jc w:val="center"/>
              <w:rPr>
                <w:b/>
                <w:bCs/>
              </w:rPr>
            </w:pPr>
            <w:r>
              <w:rPr>
                <w:b/>
                <w:bCs/>
              </w:rPr>
            </w:r>
            <w:r>
              <w:rPr>
                <w:b/>
                <w:bCs/>
              </w:rPr>
            </w:r>
            <w:r>
              <w:rPr>
                <w:b/>
                <w:bCs/>
              </w:rPr>
            </w:r>
          </w:p>
          <w:p w14:paraId="509D22BA">
            <w:pPr>
              <w:pBdr/>
              <w:spacing/>
              <w:ind/>
              <w:jc w:val="center"/>
              <w:rPr>
                <w:b/>
                <w:bCs/>
              </w:rPr>
            </w:pPr>
            <w:r>
              <w:rPr>
                <w:b/>
                <w:bCs/>
              </w:rPr>
            </w:r>
            <w:r>
              <w:rPr>
                <w:b/>
                <w:bCs/>
              </w:rPr>
            </w:r>
            <w:r>
              <w:rPr>
                <w:b/>
                <w:bCs/>
              </w:rPr>
            </w:r>
          </w:p>
          <w:p w14:paraId="489E177E" w14:textId="77777777">
            <w:pPr>
              <w:pBdr/>
              <w:spacing/>
              <w:ind/>
              <w:jc w:val="left"/>
              <w:rPr>
                <w:b/>
                <w:bCs/>
              </w:rPr>
            </w:pPr>
            <w:r>
              <w:rPr>
                <w:b/>
                <w:bCs/>
              </w:rPr>
            </w:r>
            <w:r>
              <w:rPr>
                <w:b/>
                <w:bCs/>
              </w:rPr>
            </w:r>
            <w:r>
              <w:rPr>
                <w:b/>
                <w:bCs/>
              </w:rPr>
            </w:r>
          </w:p>
        </w:tc>
        <w:tc>
          <w:tcPr>
            <w:tcBorders/>
            <w:tcW w:w="4776" w:type="dxa"/>
            <w:vAlign w:val="center"/>
            <w:textDirection w:val="lrTb"/>
            <w:noWrap/>
          </w:tcPr>
          <w:p w14:paraId="0C9DCF43">
            <w:pPr>
              <w:pBdr/>
              <w:spacing/>
              <w:ind/>
              <w:jc w:val="center"/>
              <w:rPr>
                <w:b/>
                <w:bCs/>
              </w:rPr>
            </w:pPr>
            <w:r>
              <w:rPr>
                <w:b/>
                <w:bCs/>
              </w:rPr>
            </w:r>
            <w:r>
              <w:rPr>
                <w:b/>
                <w:bCs/>
              </w:rPr>
            </w:r>
            <w:r>
              <w:rPr>
                <w:b/>
                <w:bCs/>
              </w:rPr>
            </w:r>
          </w:p>
          <w:p w14:paraId="6D431B38">
            <w:pPr>
              <w:pBdr/>
              <w:spacing/>
              <w:ind/>
              <w:jc w:val="center"/>
              <w:rPr>
                <w:b/>
                <w:bCs/>
              </w:rPr>
            </w:pPr>
            <w:r>
              <w:rPr>
                <w:b/>
                <w:bCs/>
              </w:rPr>
            </w:r>
            <w:r>
              <w:rPr>
                <w:b/>
                <w:bCs/>
              </w:rPr>
            </w:r>
            <w:r>
              <w:rPr>
                <w:b/>
                <w:bCs/>
              </w:rPr>
            </w:r>
          </w:p>
          <w:p w14:paraId="3D793BB9">
            <w:pPr>
              <w:pBdr/>
              <w:spacing/>
              <w:ind/>
              <w:jc w:val="center"/>
              <w:rPr>
                <w:b/>
                <w:bCs/>
              </w:rPr>
            </w:pPr>
            <w:r>
              <w:rPr>
                <w:b/>
                <w:bCs/>
              </w:rPr>
            </w:r>
            <w:r>
              <w:rPr>
                <w:b/>
                <w:bCs/>
              </w:rPr>
            </w:r>
            <w:r>
              <w:rPr>
                <w:b/>
                <w:bCs/>
              </w:rPr>
            </w:r>
          </w:p>
          <w:p w14:paraId="73F8205A" w14:textId="4BC76F79">
            <w:pPr>
              <w:pBdr/>
              <w:spacing/>
              <w:ind/>
              <w:jc w:val="center"/>
              <w:rPr>
                <w:b/>
                <w:bCs/>
              </w:rPr>
            </w:pPr>
            <w:r>
              <w:rPr>
                <w:b/>
                <w:bCs/>
              </w:rPr>
              <w:t xml:space="preserve">Trần Thị Thanh Tâm</w:t>
            </w:r>
            <w:r>
              <w:rPr>
                <w:b/>
                <w:bCs/>
              </w:rPr>
            </w:r>
            <w:r>
              <w:rPr>
                <w:b/>
                <w:bCs/>
              </w:rPr>
            </w:r>
          </w:p>
        </w:tc>
      </w:tr>
    </w:tbl>
    <w:p w14:paraId="1EAD3878" w14:textId="77777777">
      <w:pPr>
        <w:pBdr/>
        <w:spacing w:after="200" w:line="276" w:lineRule="auto"/>
        <w:ind/>
        <w:jc w:val="center"/>
        <w:rPr>
          <w:b/>
          <w:bCs/>
          <w:iCs/>
          <w:highlight w:val="none"/>
          <w:lang w:val="pt-BR"/>
        </w:rPr>
      </w:pPr>
      <w:r>
        <w:rPr>
          <w:b/>
          <w:bCs/>
          <w:iCs/>
          <w:lang w:val="pt-BR"/>
        </w:rPr>
      </w:r>
      <w:r>
        <w:rPr>
          <w:b/>
          <w:bCs/>
          <w:iCs/>
          <w:lang w:val="pt-BR"/>
        </w:rPr>
        <w:t xml:space="preserve">HỒ SƠ PHÁP LÝ</w:t>
      </w:r>
      <w:r>
        <w:rPr>
          <w:b/>
          <w:bCs/>
          <w:iCs/>
          <w:highlight w:val="none"/>
          <w:lang w:val="pt-BR"/>
        </w:rPr>
      </w:r>
      <w:r>
        <w:rPr>
          <w:b/>
          <w:bCs/>
          <w:iCs/>
          <w:highlight w:val="none"/>
          <w:lang w:val="pt-BR"/>
        </w:rPr>
      </w:r>
    </w:p>
    <w:p w14:paraId="4AB23A35">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496896" cy="866252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76201" name=""/>
                        <pic:cNvPicPr>
                          <a:picLocks noChangeAspect="1"/>
                        </pic:cNvPicPr>
                        <pic:nvPr/>
                      </pic:nvPicPr>
                      <pic:blipFill rotWithShape="1">
                        <a:blip r:embed="rId34"/>
                        <a:stretch/>
                      </pic:blipFill>
                      <pic:spPr bwMode="auto">
                        <a:xfrm flipH="0" flipV="0">
                          <a:off x="0" y="0"/>
                          <a:ext cx="6496895" cy="8662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511.57pt;height:682.09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14:paraId="1DFE0143">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97201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46857" name=""/>
                        <pic:cNvPicPr>
                          <a:picLocks noChangeAspect="1"/>
                        </pic:cNvPicPr>
                        <pic:nvPr/>
                      </pic:nvPicPr>
                      <pic:blipFill rotWithShape="1">
                        <a:blip r:embed="rId35"/>
                        <a:stretch/>
                      </pic:blipFill>
                      <pic:spPr bwMode="auto">
                        <a:xfrm flipH="0" flipV="0">
                          <a:off x="0" y="0"/>
                          <a:ext cx="6048374" cy="8972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706.46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14:paraId="23ED567F">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14:paraId="34F99DC0">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5233477" cy="7836819"/>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6017" name=""/>
                        <pic:cNvPicPr>
                          <a:picLocks noChangeAspect="1"/>
                        </pic:cNvPicPr>
                        <pic:nvPr/>
                      </pic:nvPicPr>
                      <pic:blipFill rotWithShape="1">
                        <a:blip r:embed="rId36"/>
                        <a:srcRect l="13472" t="5294" r="0" b="0"/>
                        <a:stretch/>
                      </pic:blipFill>
                      <pic:spPr bwMode="auto">
                        <a:xfrm flipH="0" flipV="0">
                          <a:off x="0" y="0"/>
                          <a:ext cx="5233477" cy="78368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2.08pt;height:617.07pt;mso-wrap-distance-left:0.00pt;mso-wrap-distance-top:0.00pt;mso-wrap-distance-right:0.00pt;mso-wrap-distance-bottom:0.00pt;z-index:1;" stroked="false">
                <v:imagedata r:id="rId36" o:title="" croptop="3469f" cropleft="8829f" cropbottom="0f" cropright="0f"/>
                <o:lock v:ext="edit" rotation="t"/>
              </v:shape>
            </w:pict>
          </mc:Fallback>
        </mc:AlternateContent>
      </w:r>
      <w:r>
        <w:rPr>
          <w:b/>
          <w:bCs/>
          <w:highlight w:val="none"/>
        </w:rPr>
      </w:r>
      <w:r/>
      <w:r>
        <w:rPr>
          <w:b/>
          <w:bCs/>
          <w:highlight w:val="none"/>
        </w:rPr>
      </w: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uyen-phuc-tho-tiem-nang-va-vi-tri-dep-n17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jpg"/><Relationship Id="rId22" Type="http://schemas.openxmlformats.org/officeDocument/2006/relationships/image" Target="media/image7.png"/><Relationship Id="rId23" Type="http://schemas.openxmlformats.org/officeDocument/2006/relationships/image" Target="media/image8.jp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273</cp:revision>
  <dcterms:created xsi:type="dcterms:W3CDTF">2025-09-15T09:58:00Z</dcterms:created>
  <dcterms:modified xsi:type="dcterms:W3CDTF">2026-01-16T02:23:00Z</dcterms:modified>
</cp:coreProperties>
</file>