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9BCAC07" w14:textId="4620502D">
      <w:pPr>
        <w:pBdr/>
        <w:spacing/>
        <w:ind w:right="-1"/>
        <w:jc w:val="left"/>
        <w:rPr>
          <w:b/>
          <w:bCs/>
          <w:sz w:val="28"/>
          <w:szCs w:val="28"/>
        </w:rPr>
      </w:pPr>
      <w:r>
        <w:rPr>
          <w:b/>
          <w:sz w:val="28"/>
        </w:rPr>
      </w:r>
      <w:r>
        <w:rPr>
          <w:b/>
          <w:bCs/>
          <w:sz w:val="28"/>
          <w:szCs w:val="28"/>
        </w:rPr>
      </w:r>
      <w:r>
        <w:rPr>
          <w:b/>
          <w:bCs/>
          <w:sz w:val="28"/>
          <w:szCs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-263222</wp:posOffset>
                </wp:positionV>
                <wp:extent cx="5467350" cy="8536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85361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275/2026/0029/VFI-HĐTĐ.44.A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Đình Nam</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val="0"/>
                                <w:i w:val="0"/>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Quyền sử dụ</w:t>
                            </w:r>
                            <w:r>
                              <w:rPr>
                                <w:b w:val="0"/>
                                <w:bCs w:val="0"/>
                              </w:rPr>
                              <w:t xml:space="preserve">ng đất tại các thửa đất số: 104, tờ bản đồ số 56 có địa chỉ: Lô 35-B2.10, Khu TĐC phía Đông Xưởng 38 và Xưởng 387, phường Mỹ An, quận Ngũ Hành Sơn ( này là phường Ngũ Hành Sơn), thành phố Đà Nẵng theo Giấy chứng nhận quyền sử dụng đất, quyền sở hữu nhà ở v</w:t>
                            </w:r>
                            <w:r>
                              <w:rPr>
                                <w:b w:val="0"/>
                                <w:bCs w:val="0"/>
                              </w:rPr>
                              <w:t xml:space="preserve">à tài sản khác gắn liền với đất số: DC 963712, số vào sổ cấp GCN: CTS234515 do Sở tài nguyên và môi trường thành phố Đà Nẵng cấp ngày 07/4/2022; thửa đất số: </w:t>
                            </w:r>
                            <w:r>
                              <w:rPr>
                                <w:b w:val="0"/>
                                <w:bCs w:val="0"/>
                              </w:rPr>
                              <w:t xml:space="preserve">1</w:t>
                            </w:r>
                            <w:r>
                              <w:rPr>
                                <w:b w:val="0"/>
                                <w:bCs w:val="0"/>
                              </w:rPr>
                              <w:t xml:space="preserve">05,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số: CA 567071,</w:t>
                            </w:r>
                            <w:r>
                              <w:rPr>
                                <w:b w:val="0"/>
                                <w:bCs w:val="0"/>
                              </w:rPr>
                              <w:t xml:space="preserve"> số vào sổ cấp GCN: CTS76509 do Sở tài nguyên và môi trường thành phố Đà Nẵng cấp ngày 24/9/2015; </w:t>
                            </w:r>
                            <w:r>
                              <w:rPr>
                                <w:b w:val="0"/>
                                <w:bCs w:val="0"/>
                              </w:rPr>
                              <w:t xml:space="preserve">t</w:t>
                            </w:r>
                            <w:r>
                              <w:rPr>
                                <w:b w:val="0"/>
                                <w:bCs w:val="0"/>
                              </w:rPr>
                              <w:t xml:space="preserve">hửa đất số: 106,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w:t>
                            </w:r>
                            <w:r>
                              <w:rPr>
                                <w:b w:val="0"/>
                                <w:bCs w:val="0"/>
                              </w:rPr>
                              <w:t xml:space="preserve">ố: BE 764664, số vào sổ cấp GCN: CH02153 do UBND Quận Ngũ Hành Sơn cấp ngày 21/12/2011, </w:t>
                            </w:r>
                            <w:r>
                              <w:rPr>
                                <w:b w:val="0"/>
                                <w:bCs w:val="0"/>
                              </w:rPr>
                              <w:t xml:space="preserve">Chủ sử dụng đất là Ông Nguyễn Đình Nam</w:t>
                            </w:r>
                            <w:r>
                              <w:rPr>
                                <w:bCs/>
                                <w:i/>
                                <w:iCs/>
                              </w:rPr>
                              <w:t xml:space="preserve"> </w:t>
                            </w:r>
                            <w:r>
                              <w:rPr>
                                <w:bCs/>
                                <w:i w:val="0"/>
                                <w:iCs w:val="0"/>
                              </w:rPr>
                              <w:t xml:space="preserve">và </w:t>
                            </w:r>
                            <w:r>
                              <w:rPr>
                                <w:bCs/>
                                <w:i w:val="0"/>
                                <w:iCs w:val="0"/>
                              </w:rPr>
                              <w:t xml:space="preserve">C</w:t>
                            </w:r>
                            <w:r>
                              <w:rPr>
                                <w:bCs/>
                                <w:i w:val="0"/>
                                <w:iCs w:val="0"/>
                              </w:rPr>
                              <w:t xml:space="preserve">ông trình xây dựng trên đất tại các thửa đất số: 104;105;106, tờ bản đồ số 56 có địa chỉ: Lô 35-B2.10; Lô 34-B2.10; Lô 33-B2.10, Khu TĐC phía Đông Xưởng 38 và Xưởng 387, phường Mỹ An, quận Ngũ Hành Sơn ( này là phường Ngũ Hành Sơn), thành phố Đà Nẵng theo </w:t>
                            </w:r>
                            <w:r>
                              <w:rPr>
                                <w:bCs/>
                                <w:i w:val="0"/>
                                <w:iCs w:val="0"/>
                              </w:rPr>
                              <w:t xml:space="preserve">G</w:t>
                            </w:r>
                            <w:r>
                              <w:rPr>
                                <w:bCs/>
                                <w:i w:val="0"/>
                                <w:iCs w:val="0"/>
                              </w:rPr>
                              <w:t xml:space="preserve">iấy chứng nhận quyền sử dụng đất, quyền sở hữu nhà ở và tài sản khác gắn liền với đất số: DG 241087, số vào sổ cấp GCN: CT66276 do Sở tài nguyên và môi trường thành phố Đà Nẵng cấp ngày 07/7/2022; Chủ sử dụng công trình vây dựng là Công ty TNHH Dịch vụ Du </w:t>
                            </w:r>
                            <w:r>
                              <w:rPr>
                                <w:bCs/>
                                <w:i w:val="0"/>
                                <w:iCs w:val="0"/>
                              </w:rPr>
                              <w:t xml:space="preserve">Lịch Ánh Ngọc.</w:t>
                            </w:r>
                            <w:r>
                              <w:rPr>
                                <w:bCs w:val="0"/>
                                <w:i w:val="0"/>
                                <w:iCs/>
                              </w:rPr>
                            </w:r>
                            <w:r>
                              <w:rPr>
                                <w:bCs w:val="0"/>
                                <w:i w:val="0"/>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20.73pt;mso-position-vertical:absolute;width:430.50pt;height:672.14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275/2026/0029/VFI-HĐTĐ.44.A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Đình Nam</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val="0"/>
                          <w:i w:val="0"/>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val="0"/>
                          <w:bCs w:val="0"/>
                        </w:rPr>
                        <w:t xml:space="preserve">Quyền sử dụ</w:t>
                      </w:r>
                      <w:r>
                        <w:rPr>
                          <w:b w:val="0"/>
                          <w:bCs w:val="0"/>
                        </w:rPr>
                        <w:t xml:space="preserve">ng đất tại các thửa đất số: 104, tờ bản đồ số 56 có địa chỉ: Lô 35-B2.10, Khu TĐC phía Đông Xưởng 38 và Xưởng 387, phường Mỹ An, quận Ngũ Hành Sơn ( này là phường Ngũ Hành Sơn), thành phố Đà Nẵng theo Giấy chứng nhận quyền sử dụng đất, quyền sở hữu nhà ở v</w:t>
                      </w:r>
                      <w:r>
                        <w:rPr>
                          <w:b w:val="0"/>
                          <w:bCs w:val="0"/>
                        </w:rPr>
                        <w:t xml:space="preserve">à tài sản khác gắn liền với đất số: DC 963712, số vào sổ cấp GCN: CTS234515 do Sở tài nguyên và môi trường thành phố Đà Nẵng cấp ngày 07/4/2022; thửa đất số: </w:t>
                      </w:r>
                      <w:r>
                        <w:rPr>
                          <w:b w:val="0"/>
                          <w:bCs w:val="0"/>
                        </w:rPr>
                        <w:t xml:space="preserve">1</w:t>
                      </w:r>
                      <w:r>
                        <w:rPr>
                          <w:b w:val="0"/>
                          <w:bCs w:val="0"/>
                        </w:rPr>
                        <w:t xml:space="preserve">05,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số: CA 567071,</w:t>
                      </w:r>
                      <w:r>
                        <w:rPr>
                          <w:b w:val="0"/>
                          <w:bCs w:val="0"/>
                        </w:rPr>
                        <w:t xml:space="preserve"> số vào sổ cấp GCN: CTS76509 do Sở tài nguyên và môi trường thành phố Đà Nẵng cấp ngày 24/9/2015; </w:t>
                      </w:r>
                      <w:r>
                        <w:rPr>
                          <w:b w:val="0"/>
                          <w:bCs w:val="0"/>
                        </w:rPr>
                        <w:t xml:space="preserve">t</w:t>
                      </w:r>
                      <w:r>
                        <w:rPr>
                          <w:b w:val="0"/>
                          <w:bCs w:val="0"/>
                        </w:rPr>
                        <w:t xml:space="preserve">hửa đất số: 106,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w:t>
                      </w:r>
                      <w:r>
                        <w:rPr>
                          <w:b w:val="0"/>
                          <w:bCs w:val="0"/>
                        </w:rPr>
                        <w:t xml:space="preserve">ố: BE 764664, số vào sổ cấp GCN: CH02153 do UBND Quận Ngũ Hành Sơn cấp ngày 21/12/2011, </w:t>
                      </w:r>
                      <w:r>
                        <w:rPr>
                          <w:b w:val="0"/>
                          <w:bCs w:val="0"/>
                        </w:rPr>
                        <w:t xml:space="preserve">Chủ sử dụng đất là Ông Nguyễn Đình Nam</w:t>
                      </w:r>
                      <w:r>
                        <w:rPr>
                          <w:bCs/>
                          <w:i/>
                          <w:iCs/>
                        </w:rPr>
                        <w:t xml:space="preserve"> </w:t>
                      </w:r>
                      <w:r>
                        <w:rPr>
                          <w:bCs/>
                          <w:i w:val="0"/>
                          <w:iCs w:val="0"/>
                        </w:rPr>
                        <w:t xml:space="preserve">và </w:t>
                      </w:r>
                      <w:r>
                        <w:rPr>
                          <w:bCs/>
                          <w:i w:val="0"/>
                          <w:iCs w:val="0"/>
                        </w:rPr>
                        <w:t xml:space="preserve">C</w:t>
                      </w:r>
                      <w:r>
                        <w:rPr>
                          <w:bCs/>
                          <w:i w:val="0"/>
                          <w:iCs w:val="0"/>
                        </w:rPr>
                        <w:t xml:space="preserve">ông trình xây dựng trên đất tại các thửa đất số: 104;105;106, tờ bản đồ số 56 có địa chỉ: Lô 35-B2.10; Lô 34-B2.10; Lô 33-B2.10, Khu TĐC phía Đông Xưởng 38 và Xưởng 387, phường Mỹ An, quận Ngũ Hành Sơn ( này là phường Ngũ Hành Sơn), thành phố Đà Nẵng theo </w:t>
                      </w:r>
                      <w:r>
                        <w:rPr>
                          <w:bCs/>
                          <w:i w:val="0"/>
                          <w:iCs w:val="0"/>
                        </w:rPr>
                        <w:t xml:space="preserve">G</w:t>
                      </w:r>
                      <w:r>
                        <w:rPr>
                          <w:bCs/>
                          <w:i w:val="0"/>
                          <w:iCs w:val="0"/>
                        </w:rPr>
                        <w:t xml:space="preserve">iấy chứng nhận quyền sử dụng đất, quyền sở hữu nhà ở và tài sản khác gắn liền với đất số: DG 241087, số vào sổ cấp GCN: CT66276 do Sở tài nguyên và môi trường thành phố Đà Nẵng cấp ngày 07/7/2022; Chủ sử dụng công trình vây dựng là Công ty TNHH Dịch vụ Du </w:t>
                      </w:r>
                      <w:r>
                        <w:rPr>
                          <w:bCs/>
                          <w:i w:val="0"/>
                          <w:iCs w:val="0"/>
                        </w:rPr>
                        <w:t xml:space="preserve">Lịch Ánh Ngọc.</w:t>
                      </w:r>
                      <w:r>
                        <w:rPr>
                          <w:bCs w:val="0"/>
                          <w:i w:val="0"/>
                          <w:iCs/>
                        </w:rPr>
                      </w:r>
                      <w:r>
                        <w:rPr>
                          <w:bCs w:val="0"/>
                          <w:i w:val="0"/>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right"/>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4-26</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4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 + Pháp lý</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27-32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4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PKS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rPr>
            </w:pPr>
            <w:r>
              <w:rPr>
                <w:b/>
                <w:bCs/>
              </w:rPr>
              <w:t xml:space="preserve">33-36</w:t>
            </w:r>
            <w:r>
              <w:rPr>
                <w:b/>
                <w:bCs/>
              </w:rPr>
            </w:r>
            <w:r>
              <w:rPr>
                <w:b/>
                <w:bCs/>
              </w:rPr>
            </w:r>
          </w:p>
        </w:tc>
      </w:tr>
    </w:tbl>
    <w:p w14:paraId="65E81109"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4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580A650C"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21D35E18"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4CD854D"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1B7FB8DC"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0DE39A41"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E772E9D" w14:textId="0FED26D1">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w:t>
            </w:r>
            <w:r>
              <w:rPr>
                <w:rStyle w:val="1043"/>
                <w:rFonts w:ascii="Times New Roman" w:hAnsi="Times New Roman"/>
                <w:color w:val="000000" w:themeColor="text1"/>
                <w:lang w:val="pt-BR"/>
              </w:rPr>
              <w:t xml:space="preserve">: </w:t>
            </w:r>
            <w:r>
              <w:rPr>
                <w:rStyle w:val="1043"/>
                <w:rFonts w:ascii="Times New Roman" w:hAnsi="Times New Roman"/>
                <w:color w:val="000000" w:themeColor="text1"/>
                <w:lang w:val="pt-BR"/>
              </w:rPr>
              <w:t xml:space="preserve">275/2026/0029/VFI-HĐTĐ.44.A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5D440A96" w14:textId="099CFBB7">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w:t>
            </w:r>
            <w:r>
              <w:rPr>
                <w:rStyle w:val="1043"/>
                <w:rFonts w:ascii="Times New Roman" w:hAnsi="Times New Roman"/>
                <w:i/>
                <w:color w:val="auto"/>
              </w:rPr>
              <w:t xml:space="preserve">Hà</w:t>
            </w:r>
            <w:r>
              <w:rPr>
                <w:rStyle w:val="1043"/>
                <w:rFonts w:ascii="Times New Roman" w:hAnsi="Times New Roman"/>
                <w:i/>
                <w:color w:val="auto"/>
              </w:rPr>
              <w:t xml:space="preserve"> </w:t>
            </w:r>
            <w:r>
              <w:rPr>
                <w:rStyle w:val="1043"/>
                <w:rFonts w:ascii="Times New Roman" w:hAnsi="Times New Roman"/>
                <w:i/>
                <w:color w:val="auto"/>
              </w:rPr>
              <w:t xml:space="preserve">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8 tháng 1 năm 2026</w:t>
            </w:r>
            <w:r>
              <w:rPr>
                <w:color w:val="000000" w:themeColor="text1"/>
                <w:sz w:val="24"/>
                <w:szCs w:val="24"/>
                <w:lang w:val="vi-VN"/>
              </w:rPr>
            </w:r>
            <w:r>
              <w:rPr>
                <w:color w:val="000000" w:themeColor="text1"/>
                <w:sz w:val="24"/>
                <w:szCs w:val="24"/>
                <w:lang w:val="vi-VN"/>
              </w:rPr>
            </w:r>
          </w:p>
        </w:tc>
      </w:tr>
    </w:tbl>
    <w:p w14:paraId="60EC0402" w14:textId="5ACF7647">
      <w:pPr>
        <w:pStyle w:val="1044"/>
        <w:pBdr/>
        <w:spacing w:after="120" w:before="200" w:line="288" w:lineRule="auto"/>
        <w:ind/>
        <w:jc w:val="center"/>
        <w:rPr>
          <w:rStyle w:val="1043"/>
          <w:rFonts w:ascii="Times New Roman" w:hAnsi="Times New Roman"/>
          <w:b/>
          <w:bCs/>
          <w:color w:val="auto"/>
          <w:sz w:val="30"/>
          <w:szCs w:val="30"/>
          <w:lang w:val="vi-VN"/>
        </w:rPr>
      </w:pPr>
      <w:r>
        <w:rPr>
          <w:rStyle w:val="1043"/>
          <w:rFonts w:ascii="Times New Roman" w:hAnsi="Times New Roman"/>
          <w:b/>
          <w:bCs/>
          <w:color w:val="auto"/>
          <w:sz w:val="30"/>
          <w:szCs w:val="30"/>
          <w:lang w:val="vi-VN"/>
        </w:rPr>
        <w:t xml:space="preserve">CHỨNG THƯ THẨM ĐỊNH GIÁ</w:t>
      </w:r>
      <w:r>
        <w:rPr>
          <w:rStyle w:val="1043"/>
          <w:rFonts w:ascii="Times New Roman" w:hAnsi="Times New Roman"/>
          <w:b/>
          <w:bCs/>
          <w:color w:val="auto"/>
          <w:sz w:val="30"/>
          <w:szCs w:val="30"/>
          <w:lang w:val="vi-VN"/>
        </w:rPr>
      </w:r>
      <w:r>
        <w:rPr>
          <w:rStyle w:val="1043"/>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Đình Nam</w:t>
      </w:r>
      <w:r>
        <w:rPr>
          <w:rFonts w:ascii="Times New Roman Bold" w:hAnsi="Times New Roman Bold"/>
          <w:b/>
          <w:lang w:val="pt-BR"/>
        </w:rPr>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275/2026/0029/VFI-HĐTĐ.44.A</w:t>
      </w:r>
      <w:r>
        <w:rPr>
          <w:spacing w:val="-4"/>
          <w:lang w:val="vi-VN"/>
        </w:rPr>
        <w:t xml:space="preserve"> ký ngày </w:t>
      </w:r>
      <w:r>
        <w:rPr>
          <w:color w:val="000000" w:themeColor="text1"/>
          <w:spacing w:val="-4"/>
        </w:rPr>
        <w:t xml:space="preserve">5 tháng 1 năm 2026</w:t>
      </w:r>
      <w:r>
        <w:rPr>
          <w:spacing w:val="-4"/>
          <w:lang w:val="vi-VN"/>
        </w:rPr>
        <w:t xml:space="preserve"> </w:t>
      </w:r>
      <w:r>
        <w:rPr>
          <w:spacing w:val="-4"/>
          <w:lang w:val="vi-VN"/>
        </w:rPr>
        <w:t xml:space="preserve">giữa </w:t>
      </w:r>
      <w:r>
        <w:rPr>
          <w:color w:val="000000" w:themeColor="text1"/>
          <w:spacing w:val="-4"/>
        </w:rPr>
        <w:t xml:space="preserve">Ông Nguyễn Đình Nam</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275/2026/0029/VFI-BC.44.A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8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ĐÌNH NAM</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001099015049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1999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000000" w:themeColor="text1"/>
              </w:rPr>
            </w:pPr>
            <w:r>
              <w:rPr>
                <w:color w:val="000000" w:themeColor="text1"/>
                <w:lang w:val="pt-BR"/>
              </w:rPr>
              <w:t xml:space="preserve">Phường Xuân Phương thành phố Hà Nội</w:t>
            </w:r>
            <w:r>
              <w:rPr>
                <w:color w:val="000000" w:themeColor="text1"/>
              </w:rPr>
            </w:r>
            <w:r>
              <w:rPr>
                <w:color w:val="000000" w:themeColor="text1"/>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val="0"/>
          <w:bCs w:val="0"/>
        </w:rPr>
        <w:t xml:space="preserve">Quyền sử dụ</w:t>
      </w:r>
      <w:r>
        <w:rPr>
          <w:b w:val="0"/>
          <w:bCs w:val="0"/>
        </w:rPr>
        <w:t xml:space="preserve">ng đất tại các thửa đất số: 104, tờ bản đồ số 56 có địa chỉ: Lô 35-B2.10, Khu TĐC phía Đông Xưởng 38 và Xưởng 387, phường Mỹ An, quận Ngũ Hành Sơn ( này là phường Ngũ Hành Sơn), thành phố Đà Nẵng theo Giấy chứng nhận quyền sử dụng đất, quyền sở hữu nhà ở v</w:t>
      </w:r>
      <w:r>
        <w:rPr>
          <w:b w:val="0"/>
          <w:bCs w:val="0"/>
        </w:rPr>
        <w:t xml:space="preserve">à tài sản khác gắn liền với đất số: DC 963712, số vào sổ cấp GCN: CTS234515 do Sở tài nguyên và môi trường thành phố Đà Nẵng cấp ngày 07/4/2022; thửa đất số: </w:t>
      </w:r>
      <w:r>
        <w:rPr>
          <w:b w:val="0"/>
          <w:bCs w:val="0"/>
        </w:rPr>
        <w:t xml:space="preserve">1</w:t>
      </w:r>
      <w:r>
        <w:rPr>
          <w:b w:val="0"/>
          <w:bCs w:val="0"/>
        </w:rPr>
        <w:t xml:space="preserve">05,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số: CA 567071,</w:t>
      </w:r>
      <w:r>
        <w:rPr>
          <w:b w:val="0"/>
          <w:bCs w:val="0"/>
        </w:rPr>
        <w:t xml:space="preserve"> số vào sổ cấp GCN: CTS76509 do Sở tài nguyên và môi trường thành phố Đà Nẵng cấp ngày 24/9/2015; </w:t>
      </w:r>
      <w:r>
        <w:rPr>
          <w:b w:val="0"/>
          <w:bCs w:val="0"/>
        </w:rPr>
        <w:t xml:space="preserve">t</w:t>
      </w:r>
      <w:r>
        <w:rPr>
          <w:b w:val="0"/>
          <w:bCs w:val="0"/>
        </w:rPr>
        <w:t xml:space="preserve">hửa đất số: 106,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w:t>
      </w:r>
      <w:r>
        <w:rPr>
          <w:b w:val="0"/>
          <w:bCs w:val="0"/>
        </w:rPr>
        <w:t xml:space="preserve">ố: BE 764664, số vào sổ cấp GCN: CH02153 do UBND Quận Ngũ Hành Sơn cấp ngày 21/12/2011, </w:t>
      </w:r>
      <w:r>
        <w:rPr>
          <w:b w:val="0"/>
          <w:bCs w:val="0"/>
        </w:rPr>
        <w:t xml:space="preserve">Chủ sử dụng đất là Ông Nguyễn Đình Nam</w:t>
      </w:r>
      <w:r>
        <w:rPr>
          <w:bCs/>
          <w:i/>
          <w:iCs/>
        </w:rPr>
        <w:t xml:space="preserve"> </w:t>
      </w:r>
      <w:r>
        <w:rPr>
          <w:bCs/>
          <w:i w:val="0"/>
          <w:iCs w:val="0"/>
        </w:rPr>
        <w:t xml:space="preserve">và </w:t>
      </w:r>
      <w:r>
        <w:rPr>
          <w:bCs/>
          <w:i w:val="0"/>
          <w:iCs w:val="0"/>
        </w:rPr>
        <w:t xml:space="preserve">C</w:t>
      </w:r>
      <w:r>
        <w:rPr>
          <w:bCs/>
          <w:i w:val="0"/>
          <w:iCs w:val="0"/>
        </w:rPr>
        <w:t xml:space="preserve">ông trình xây dựng trên đất tại các thửa đất số: 104;105;106, tờ bản đồ số 56 có địa chỉ: Lô 35-B2.10; Lô 34-B2.10; Lô 33-B2.10, Khu TĐC phía Đông Xưởng 38 và Xưởng 387, phường Mỹ An, quận Ngũ Hành Sơn ( này là phường Ngũ Hành Sơn), thành phố Đà Nẵng theo </w:t>
      </w:r>
      <w:r>
        <w:rPr>
          <w:bCs/>
          <w:i w:val="0"/>
          <w:iCs w:val="0"/>
        </w:rPr>
        <w:t xml:space="preserve">G</w:t>
      </w:r>
      <w:r>
        <w:rPr>
          <w:bCs/>
          <w:i w:val="0"/>
          <w:iCs w:val="0"/>
        </w:rPr>
        <w:t xml:space="preserve">iấy chứng nhận quyền sử dụng đất, quyền sở hữu nhà ở và tài sản khác gắn liền với đất số: DG 241087, số vào sổ cấp GCN: CT66276 do Sở tài nguyên và môi trường thành phố Đà Nẵng cấp ngày 07/7/2022; Chủ sử dụng công trình vây dựng là Công ty TNHH Dịch vụ Du </w:t>
      </w:r>
      <w:r>
        <w:rPr>
          <w:bCs/>
          <w:i w:val="0"/>
          <w:iCs w:val="0"/>
        </w:rPr>
        <w:t xml:space="preserve">Lịch Ánh Ngọc</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tham khảo giá trị tài sản phục vụ công tác xử lý nợ hoặc xử lý tài sản theo quy định của pháp luật</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3B49C45B"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17FEB386"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2139D4B4"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42A1B9A2"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515B5730"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265DC7A9"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76C1741C" w14:textId="77777777">
            <w:pPr>
              <w:pBdr/>
              <w:spacing w:after="40" w:before="40" w:line="288" w:lineRule="auto"/>
              <w:ind/>
              <w:jc w:val="both"/>
              <w:rPr>
                <w:b/>
                <w:bCs/>
              </w:rPr>
            </w:pPr>
            <w:r>
              <w:rPr>
                <w:color w:val="000000"/>
              </w:rPr>
            </w:r>
            <w:r>
              <w:rPr>
                <w:b w:val="0"/>
                <w:bCs w:val="0"/>
              </w:rPr>
              <w:t xml:space="preserve">Quyền sử dụ</w:t>
            </w:r>
            <w:r>
              <w:rPr>
                <w:b w:val="0"/>
                <w:bCs w:val="0"/>
              </w:rPr>
              <w:t xml:space="preserve">ng đất tại các thửa đất số: 104, tờ bản đồ số 56 có địa chỉ: Lô 35-B2.10, Khu TĐC phía Đông Xưởng 38 và Xưởng 387, phường Mỹ An, quận Ngũ Hành Sơn ( này là phường Ngũ Hành Sơn), thành phố Đà Nẵng theo Giấy chứng nhận quyền sử dụng đất, quyền sở hữu nhà ở v</w:t>
            </w:r>
            <w:r>
              <w:rPr>
                <w:b w:val="0"/>
                <w:bCs w:val="0"/>
              </w:rPr>
              <w:t xml:space="preserve">à tài sản khác gắn liền với đất số: DC 963712, số vào sổ cấp GCN: CTS234515 do Sở tài nguyên và môi trường thành phố Đà Nẵng cấp ngày 07/4/2022; thửa đất số: </w:t>
            </w:r>
            <w:r>
              <w:rPr>
                <w:b w:val="0"/>
                <w:bCs w:val="0"/>
              </w:rPr>
              <w:t xml:space="preserve">1</w:t>
            </w:r>
            <w:r>
              <w:rPr>
                <w:b w:val="0"/>
                <w:bCs w:val="0"/>
              </w:rPr>
              <w:t xml:space="preserve">05,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số: CA 567071,</w:t>
            </w:r>
            <w:r>
              <w:rPr>
                <w:b w:val="0"/>
                <w:bCs w:val="0"/>
              </w:rPr>
              <w:t xml:space="preserve"> số vào sổ cấp GCN: CTS76509 do Sở tài nguyên và môi trường thành phố Đà Nẵng cấp ngày 24/9/2015; </w:t>
            </w:r>
            <w:r>
              <w:rPr>
                <w:b w:val="0"/>
                <w:bCs w:val="0"/>
              </w:rPr>
              <w:t xml:space="preserve">t</w:t>
            </w:r>
            <w:r>
              <w:rPr>
                <w:b w:val="0"/>
                <w:bCs w:val="0"/>
              </w:rPr>
              <w:t xml:space="preserve">hửa đất số: 106,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w:t>
            </w:r>
            <w:r>
              <w:rPr>
                <w:b w:val="0"/>
                <w:bCs w:val="0"/>
              </w:rPr>
              <w:t xml:space="preserve">ố: BE 764664, số vào sổ cấp GCN: CH02153 do UBND Quận Ngũ Hành Sơn cấp ngày 21/12/2011, </w:t>
            </w:r>
            <w:r>
              <w:rPr>
                <w:b w:val="0"/>
                <w:bCs w:val="0"/>
              </w:rPr>
              <w:t xml:space="preserve">Chủ sử dụng đất là Ông Nguyễn Đình Nam</w:t>
            </w:r>
            <w:r>
              <w:rPr>
                <w:bCs/>
                <w:i/>
                <w:iCs/>
              </w:rPr>
              <w:t xml:space="preserve"> </w:t>
            </w:r>
            <w:r>
              <w:rPr>
                <w:bCs/>
                <w:i w:val="0"/>
                <w:iCs w:val="0"/>
              </w:rPr>
              <w:t xml:space="preserve">và </w:t>
            </w:r>
            <w:r>
              <w:rPr>
                <w:bCs/>
                <w:i w:val="0"/>
                <w:iCs w:val="0"/>
              </w:rPr>
              <w:t xml:space="preserve">C</w:t>
            </w:r>
            <w:r>
              <w:rPr>
                <w:bCs/>
                <w:i w:val="0"/>
                <w:iCs w:val="0"/>
              </w:rPr>
              <w:t xml:space="preserve">ông trình xây dựng trên đất tại các thửa đất số: 104;105;106, tờ bản đồ số 56 có địa chỉ: Lô 35-B2.10; Lô 34-B2.10; Lô 33-B2.10, Khu TĐC phía Đông Xưởng 38 và Xưởng 387, phường Mỹ An, quận Ngũ Hành Sơn ( này là phường Ngũ Hành Sơn), thành phố Đà Nẵng theo </w:t>
            </w:r>
            <w:r>
              <w:rPr>
                <w:bCs/>
                <w:i w:val="0"/>
                <w:iCs w:val="0"/>
              </w:rPr>
              <w:t xml:space="preserve">G</w:t>
            </w:r>
            <w:r>
              <w:rPr>
                <w:bCs/>
                <w:i w:val="0"/>
                <w:iCs w:val="0"/>
              </w:rPr>
              <w:t xml:space="preserve">iấy chứng nhận quyền sử dụng đất, quyền sở hữu nhà ở và tài sản khác gắn liền với đất số: DG 241087, số vào sổ cấp GCN: CT66276 do Sở tài nguyên và môi trường thành phố Đà Nẵng cấp ngày 07/7/2022; Chủ sử dụng công trình vây dựng là Công ty TNHH Dịch vụ Du </w:t>
            </w:r>
            <w:r>
              <w:rPr>
                <w:bCs/>
                <w:i w:val="0"/>
                <w:iCs w:val="0"/>
              </w:rPr>
              <w:t xml:space="preserve">Lịch Ánh Ngọc</w:t>
            </w:r>
            <w:r>
              <w:rPr>
                <w:b/>
                <w:bCs/>
              </w:rPr>
              <w:t xml:space="preserve">.</w:t>
            </w:r>
            <w:r>
              <w:rPr>
                <w:b/>
                <w:bCs/>
              </w:rPr>
            </w:r>
            <w:r>
              <w:rPr>
                <w:b/>
                <w:bCs/>
              </w:rPr>
            </w:r>
          </w:p>
        </w:tc>
        <w:tc>
          <w:tcPr>
            <w:shd w:val="clear" w:color="000000" w:fill="ffffff"/>
            <w:tcBorders/>
            <w:tcW w:w="1136" w:type="pct"/>
            <w:vAlign w:val="center"/>
            <w:textDirection w:val="lrTb"/>
            <w:noWrap w:val="false"/>
          </w:tcPr>
          <w:p w14:paraId="76904E94"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1F51992" w14:textId="77777777">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32E2A026" w14:textId="77777777">
            <w:pPr>
              <w:pBdr/>
              <w:spacing w:after="40" w:before="40" w:line="288" w:lineRule="auto"/>
              <w:ind/>
              <w:rPr/>
            </w:pPr>
            <w:r>
              <w:rPr>
                <w:b/>
                <w:bCs/>
              </w:rPr>
              <w:t xml:space="preserve">Đất thương mại, dịch vụ</w:t>
            </w:r>
            <w:r/>
          </w:p>
        </w:tc>
        <w:tc>
          <w:tcPr>
            <w:tcBorders/>
            <w:tcW w:w="946" w:type="pct"/>
            <w:vAlign w:val="center"/>
            <w:textDirection w:val="lrTb"/>
            <w:noWrap/>
          </w:tcPr>
          <w:p w14:paraId="3B26AECB" w14:textId="77777777">
            <w:pPr>
              <w:pBdr/>
              <w:spacing w:after="40" w:before="40" w:line="288" w:lineRule="auto"/>
              <w:ind/>
              <w:jc w:val="center"/>
              <w:rPr>
                <w:color w:val="000000"/>
              </w:rPr>
            </w:pPr>
            <w:r>
              <w:rPr>
                <w:color w:val="000000" w:themeColor="text1"/>
              </w:rPr>
              <w:t xml:space="preserve">243</w:t>
            </w:r>
            <w:r>
              <w:rPr>
                <w:color w:val="000000"/>
              </w:rPr>
            </w:r>
            <w:r>
              <w:rPr>
                <w:color w:val="000000"/>
              </w:rPr>
            </w:r>
          </w:p>
        </w:tc>
        <w:tc>
          <w:tcPr>
            <w:shd w:val="clear" w:color="000000" w:fill="ffffff"/>
            <w:tcBorders/>
            <w:tcW w:w="1355" w:type="pct"/>
            <w:vAlign w:val="center"/>
            <w:textDirection w:val="lrTb"/>
            <w:noWrap w:val="false"/>
          </w:tcPr>
          <w:p w14:paraId="560C7C2F" w14:textId="77777777">
            <w:pPr>
              <w:pBdr/>
              <w:spacing w:after="40" w:before="40" w:line="288" w:lineRule="auto"/>
              <w:ind/>
              <w:jc w:val="center"/>
              <w:rPr/>
            </w:pPr>
            <w:r>
              <w:rPr>
                <w:color w:val="000000" w:themeColor="text1"/>
              </w:rPr>
              <w:t xml:space="preserve">185.000.000</w:t>
            </w:r>
            <w:r/>
          </w:p>
        </w:tc>
        <w:tc>
          <w:tcPr>
            <w:shd w:val="clear" w:color="000000" w:fill="ffffff"/>
            <w:tcBorders/>
            <w:tcW w:w="1136" w:type="pct"/>
            <w:vAlign w:val="center"/>
            <w:textDirection w:val="lrTb"/>
            <w:noWrap w:val="false"/>
          </w:tcPr>
          <w:p w14:paraId="3804FA21" w14:textId="77777777">
            <w:pPr>
              <w:pBdr/>
              <w:spacing w:after="40" w:before="40" w:line="288" w:lineRule="auto"/>
              <w:ind/>
              <w:jc w:val="center"/>
              <w:rPr/>
            </w:pPr>
            <w:r>
              <w:rPr>
                <w:color w:val="000000" w:themeColor="text1"/>
              </w:rPr>
              <w:t xml:space="preserve">44.955.000.000</w:t>
            </w:r>
            <w:r/>
          </w:p>
        </w:tc>
      </w:tr>
      <w:tr>
        <w:trPr>
          <w:trHeight w:val="20"/>
        </w:trPr>
        <w:tc>
          <w:tcPr>
            <w:shd w:val="clear" w:color="000000" w:fill="ffffff"/>
            <w:tcBorders/>
            <w:tcW w:w="500" w:type="pct"/>
            <w:vAlign w:val="center"/>
            <w:textDirection w:val="lrTb"/>
            <w:noWrap w:val="false"/>
          </w:tcPr>
          <w:p w14:paraId="01F51992" w14:textId="77777777">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14:paraId="32E2A026" w14:textId="77777777">
            <w:pPr>
              <w:pBdr/>
              <w:spacing w:after="40" w:before="40" w:line="288" w:lineRule="auto"/>
              <w:ind/>
              <w:rPr/>
            </w:pPr>
            <w:r>
              <w:rPr>
                <w:b/>
                <w:bCs/>
              </w:rPr>
              <w:t xml:space="preserve">Khách sạn 10 tầng + 1 tầng hầm</w:t>
            </w:r>
            <w:r/>
          </w:p>
        </w:tc>
        <w:tc>
          <w:tcPr>
            <w:tcBorders/>
            <w:tcW w:w="946" w:type="pct"/>
            <w:vAlign w:val="center"/>
            <w:textDirection w:val="lrTb"/>
            <w:noWrap/>
          </w:tcPr>
          <w:p w14:paraId="3B26AECB" w14:textId="77777777">
            <w:pPr>
              <w:pBdr/>
              <w:spacing w:after="40" w:before="40" w:line="288" w:lineRule="auto"/>
              <w:ind/>
              <w:jc w:val="center"/>
              <w:rPr>
                <w:color w:val="000000"/>
              </w:rPr>
            </w:pPr>
            <w:r>
              <w:rPr>
                <w:color w:val="000000" w:themeColor="text1"/>
              </w:rPr>
              <w:t xml:space="preserve">2699,3</w:t>
            </w:r>
            <w:r>
              <w:rPr>
                <w:color w:val="000000"/>
              </w:rPr>
            </w:r>
            <w:r>
              <w:rPr>
                <w:color w:val="000000"/>
              </w:rPr>
            </w:r>
          </w:p>
        </w:tc>
        <w:tc>
          <w:tcPr>
            <w:shd w:val="clear" w:color="000000" w:fill="ffffff"/>
            <w:tcBorders/>
            <w:tcW w:w="1355" w:type="pct"/>
            <w:vAlign w:val="center"/>
            <w:textDirection w:val="lrTb"/>
            <w:noWrap w:val="false"/>
          </w:tcPr>
          <w:p w14:paraId="560C7C2F" w14:textId="77777777">
            <w:pPr>
              <w:pBdr/>
              <w:spacing w:after="40" w:before="40" w:line="288" w:lineRule="auto"/>
              <w:ind/>
              <w:jc w:val="center"/>
              <w:rPr/>
            </w:pPr>
            <w:r>
              <w:rPr>
                <w:color w:val="000000" w:themeColor="text1"/>
              </w:rPr>
              <w:t xml:space="preserve">12.073.444 (86%)</w:t>
            </w:r>
            <w:r/>
          </w:p>
        </w:tc>
        <w:tc>
          <w:tcPr>
            <w:shd w:val="clear" w:color="000000" w:fill="ffffff"/>
            <w:tcBorders/>
            <w:tcW w:w="1136" w:type="pct"/>
            <w:vAlign w:val="center"/>
            <w:textDirection w:val="lrTb"/>
            <w:noWrap w:val="false"/>
          </w:tcPr>
          <w:p w14:paraId="4856EA49">
            <w:pPr>
              <w:pBdr/>
              <w:spacing w:after="0" w:before="0" w:line="240" w:lineRule="auto"/>
              <w:ind/>
              <w:jc w:val="center"/>
              <w:rPr/>
            </w:pPr>
            <w:r>
              <w:rPr>
                <w:rFonts w:ascii="Times New Roman" w:hAnsi="Times New Roman" w:eastAsia="Times New Roman" w:cs="Times New Roman"/>
                <w:color w:val="000000"/>
                <w:sz w:val="24"/>
              </w:rPr>
              <w:t xml:space="preserve">28.027.268.755</w:t>
            </w:r>
            <w:r/>
          </w:p>
        </w:tc>
      </w:tr>
      <w:tr>
        <w:trPr>
          <w:trHeight w:val="20"/>
        </w:trPr>
        <w:tc>
          <w:tcPr>
            <w:gridSpan w:val="4"/>
            <w:tcBorders/>
            <w:tcW w:w="3864" w:type="pct"/>
            <w:vAlign w:val="center"/>
            <w:textDirection w:val="lrTb"/>
            <w:noWrap/>
          </w:tcPr>
          <w:p w14:paraId="43FD5727"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30B2B16B">
            <w:pPr>
              <w:pBdr/>
              <w:spacing w:after="0" w:before="0" w:line="240" w:lineRule="auto"/>
              <w:ind/>
              <w:jc w:val="left"/>
              <w:rPr/>
            </w:pPr>
            <w:r>
              <w:rPr>
                <w:rFonts w:ascii="Times New Roman" w:hAnsi="Times New Roman" w:eastAsia="Times New Roman" w:cs="Times New Roman"/>
                <w:b/>
                <w:color w:val="000000"/>
                <w:sz w:val="24"/>
              </w:rPr>
              <w:t xml:space="preserve">    72.982.268.755</w:t>
            </w:r>
            <w:r/>
          </w:p>
        </w:tc>
      </w:tr>
      <w:tr>
        <w:trPr>
          <w:trHeight w:val="20"/>
        </w:trPr>
        <w:tc>
          <w:tcPr>
            <w:gridSpan w:val="4"/>
            <w:tcBorders/>
            <w:tcW w:w="3864" w:type="pct"/>
            <w:vAlign w:val="center"/>
            <w:textDirection w:val="lrTb"/>
            <w:noWrap/>
          </w:tcPr>
          <w:p w14:paraId="4D08FB21"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668A132E">
            <w:pPr>
              <w:pBdr/>
              <w:spacing w:after="0" w:before="0" w:line="240" w:lineRule="auto"/>
              <w:ind/>
              <w:jc w:val="center"/>
              <w:rPr/>
            </w:pPr>
            <w:r>
              <w:rPr>
                <w:rFonts w:ascii="Times New Roman" w:hAnsi="Times New Roman" w:eastAsia="Times New Roman" w:cs="Times New Roman"/>
                <w:b/>
                <w:color w:val="000000"/>
                <w:sz w:val="24"/>
              </w:rPr>
              <w:t xml:space="preserve">72.982.000.000</w:t>
            </w:r>
            <w:r/>
          </w:p>
        </w:tc>
      </w:tr>
      <w:tr>
        <w:trPr>
          <w:trHeight w:val="20"/>
        </w:trPr>
        <w:tc>
          <w:tcPr>
            <w:gridSpan w:val="5"/>
            <w:tcBorders/>
            <w:tcW w:w="5000" w:type="pct"/>
            <w:vAlign w:val="center"/>
            <w:textDirection w:val="lrTb"/>
            <w:noWrap w:val="false"/>
          </w:tcPr>
          <w:p w14:paraId="53E3939D">
            <w:pPr>
              <w:pBdr/>
              <w:spacing w:after="0" w:before="0" w:line="240" w:lineRule="auto"/>
              <w:ind/>
              <w:jc w:val="center"/>
              <w:rPr/>
            </w:pPr>
            <w:r>
              <w:rPr>
                <w:rFonts w:ascii="Times New Roman" w:hAnsi="Times New Roman" w:eastAsia="Times New Roman" w:cs="Times New Roman"/>
                <w:b/>
                <w:i/>
                <w:color w:val="000000"/>
                <w:sz w:val="24"/>
              </w:rPr>
              <w:t xml:space="preserve">(Bằng chữ: Bảy mươi hai tỷ chín trăm tám mươi hai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14:paraId="75472359" w14:textId="0571DEB0">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2648CB85"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1B4834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151C61E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7CE5B0F6"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12C2D4D7"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6528DDE6" w14:textId="77777777">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w:t>
            </w:r>
            <w:r>
              <w:rPr>
                <w:rStyle w:val="1043"/>
                <w:rFonts w:ascii="Times New Roman" w:hAnsi="Times New Roman"/>
                <w:color w:val="000000" w:themeColor="text1"/>
                <w:lang w:val="pt-BR"/>
              </w:rPr>
              <w:t xml:space="preserve">: </w:t>
            </w:r>
            <w:r>
              <w:rPr>
                <w:rStyle w:val="1043"/>
                <w:rFonts w:ascii="Times New Roman" w:hAnsi="Times New Roman"/>
                <w:color w:val="000000" w:themeColor="text1"/>
                <w:lang w:val="pt-BR"/>
              </w:rPr>
              <w:t xml:space="preserve">275/2026/0029/VFI-HĐTĐ.44.A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BD5B31E" w14:textId="77777777">
            <w:pPr>
              <w:pStyle w:val="1044"/>
              <w:pBdr/>
              <w:spacing w:after="60"/>
              <w:ind w:right="-56"/>
              <w:jc w:val="right"/>
              <w:rPr>
                <w:color w:val="000000" w:themeColor="text1"/>
                <w:sz w:val="24"/>
                <w:szCs w:val="24"/>
                <w:lang w:val="vi-VN"/>
              </w:rPr>
            </w:pPr>
            <w:r>
              <w:rPr>
                <w:rStyle w:val="1043"/>
                <w:rFonts w:ascii="Times New Roman" w:hAnsi="Times New Roman"/>
                <w:i/>
                <w:color w:val="auto"/>
              </w:rPr>
              <w:t xml:space="preserve">TP. </w:t>
            </w:r>
            <w:r>
              <w:rPr>
                <w:rStyle w:val="1043"/>
                <w:rFonts w:ascii="Times New Roman" w:hAnsi="Times New Roman"/>
                <w:i/>
                <w:color w:val="auto"/>
              </w:rPr>
              <w:t xml:space="preserve">Hà</w:t>
            </w:r>
            <w:r>
              <w:rPr>
                <w:rStyle w:val="1043"/>
                <w:rFonts w:ascii="Times New Roman" w:hAnsi="Times New Roman"/>
                <w:i/>
                <w:color w:val="auto"/>
              </w:rPr>
              <w:t xml:space="preserve"> </w:t>
            </w:r>
            <w:r>
              <w:rPr>
                <w:rStyle w:val="1043"/>
                <w:rFonts w:ascii="Times New Roman" w:hAnsi="Times New Roman"/>
                <w:i/>
                <w:color w:val="auto"/>
              </w:rPr>
              <w:t xml:space="preserve">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8 tháng 1 năm 2026</w:t>
            </w:r>
            <w:r>
              <w:rPr>
                <w:color w:val="000000" w:themeColor="text1"/>
                <w:sz w:val="24"/>
                <w:szCs w:val="24"/>
                <w:lang w:val="vi-VN"/>
              </w:rPr>
            </w:r>
            <w:r>
              <w:rPr>
                <w:color w:val="000000" w:themeColor="text1"/>
                <w:sz w:val="24"/>
                <w:szCs w:val="24"/>
                <w:lang w:val="vi-VN"/>
              </w:rPr>
            </w:r>
          </w:p>
        </w:tc>
      </w:tr>
    </w:tbl>
    <w:p w14:paraId="53E21BF3" w14:textId="1F5617E4">
      <w:pPr>
        <w:pStyle w:val="104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2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275/2026/0029/VFI-HĐTĐ.44.A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8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2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4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4CA6DAFC">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70281203">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01BD5D3A">
            <w:pPr>
              <w:pBdr/>
              <w:spacing/>
              <w:ind/>
              <w:rPr/>
            </w:pPr>
            <w:r>
              <w:rPr>
                <w:b/>
                <w:bCs/>
              </w:rPr>
              <w:t xml:space="preserve">ÔNG NGUYỄN ĐÌNH NAM</w:t>
            </w:r>
            <w:r/>
          </w:p>
        </w:tc>
      </w:tr>
      <w:tr>
        <w:trPr>
          <w:trHeight w:val="20"/>
        </w:trPr>
        <w:tc>
          <w:tcPr>
            <w:tcBorders/>
            <w:tcW w:w="2518" w:type="dxa"/>
            <w:vAlign w:val="center"/>
            <w:textDirection w:val="lrTb"/>
            <w:noWrap w:val="false"/>
          </w:tcPr>
          <w:p w14:paraId="661DA59E">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14:paraId="7CF623F0">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78F354A7">
            <w:pPr>
              <w:pBdr/>
              <w:spacing w:after="40" w:before="40" w:line="276" w:lineRule="auto"/>
              <w:ind/>
              <w:jc w:val="both"/>
              <w:rPr>
                <w:color w:val="ff0000"/>
                <w:lang w:val="pt-BR"/>
              </w:rPr>
            </w:pPr>
            <w:r>
              <w:rPr>
                <w:color w:val="000000" w:themeColor="text1"/>
                <w:lang w:val="vi-VN"/>
              </w:rPr>
              <w:t xml:space="preserve">001099015049</w:t>
            </w:r>
            <w:r>
              <w:rPr>
                <w:color w:val="ff0000"/>
                <w:lang w:val="pt-BR"/>
              </w:rPr>
            </w:r>
            <w:r>
              <w:rPr>
                <w:color w:val="ff0000"/>
                <w:lang w:val="pt-BR"/>
              </w:rPr>
            </w:r>
          </w:p>
        </w:tc>
      </w:tr>
      <w:tr>
        <w:trPr>
          <w:trHeight w:val="20"/>
        </w:trPr>
        <w:tc>
          <w:tcPr>
            <w:tcBorders/>
            <w:tcW w:w="2518" w:type="dxa"/>
            <w:vAlign w:val="center"/>
            <w:textDirection w:val="lrTb"/>
            <w:noWrap w:val="false"/>
          </w:tcPr>
          <w:p w14:paraId="65BD6832">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282B0465">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1B69CD2C">
            <w:pPr>
              <w:pBdr/>
              <w:spacing w:after="40" w:before="40" w:line="276" w:lineRule="auto"/>
              <w:ind/>
              <w:jc w:val="both"/>
              <w:rPr>
                <w:color w:val="ff0000"/>
                <w:lang w:val="pt-BR"/>
              </w:rPr>
            </w:pPr>
            <w:r>
              <w:rPr>
                <w:color w:val="000000" w:themeColor="text1"/>
                <w:lang w:val="vi-VN"/>
              </w:rPr>
              <w:t xml:space="preserve">1999</w:t>
            </w:r>
            <w:r>
              <w:rPr>
                <w:color w:val="ff0000"/>
                <w:lang w:val="pt-BR"/>
              </w:rPr>
            </w:r>
            <w:r>
              <w:rPr>
                <w:color w:val="ff0000"/>
                <w:lang w:val="pt-BR"/>
              </w:rPr>
            </w:r>
          </w:p>
        </w:tc>
      </w:tr>
      <w:tr>
        <w:trPr>
          <w:trHeight w:val="20"/>
        </w:trPr>
        <w:tc>
          <w:tcPr>
            <w:tcBorders/>
            <w:tcW w:w="2518" w:type="dxa"/>
            <w:vAlign w:val="center"/>
            <w:textDirection w:val="lrTb"/>
            <w:noWrap w:val="false"/>
          </w:tcPr>
          <w:p w14:paraId="73D73CF0">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5F32A635">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3F51B562">
            <w:pPr>
              <w:pBdr/>
              <w:spacing w:after="40" w:before="40" w:line="276" w:lineRule="auto"/>
              <w:ind/>
              <w:jc w:val="both"/>
              <w:rPr>
                <w:color w:val="000000" w:themeColor="text1"/>
              </w:rPr>
            </w:pPr>
            <w:r>
              <w:rPr>
                <w:color w:val="000000" w:themeColor="text1"/>
                <w:lang w:val="pt-BR"/>
              </w:rPr>
              <w:t xml:space="preserve">Phường Xuân Phương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 w:val="0"/>
                <w:bCs w:val="0"/>
              </w:rPr>
              <w:t xml:space="preserve">Quyền sử dụ</w:t>
            </w:r>
            <w:r>
              <w:rPr>
                <w:b w:val="0"/>
                <w:bCs w:val="0"/>
              </w:rPr>
              <w:t xml:space="preserve">ng đất tại các thửa đất số: 104, tờ bản đồ số 56 có địa chỉ: Lô 35-B2.10, Khu TĐC phía Đông Xưởng 38 và Xưởng 387, phường Mỹ An, quận Ngũ Hành Sơn ( này là phường Ngũ Hành Sơn), thành phố Đà Nẵng theo Giấy chứng nhận quyền sử dụng đất, quyền sở hữu nhà ở v</w:t>
            </w:r>
            <w:r>
              <w:rPr>
                <w:b w:val="0"/>
                <w:bCs w:val="0"/>
              </w:rPr>
              <w:t xml:space="preserve">à tài sản khác gắn liền với đất số: DC 963712, số vào sổ cấp GCN: CTS234515 do Sở tài nguyên và môi trường thành phố Đà Nẵng cấp ngày 07/4/2022; thửa đất số: </w:t>
            </w:r>
            <w:r>
              <w:rPr>
                <w:b w:val="0"/>
                <w:bCs w:val="0"/>
              </w:rPr>
              <w:t xml:space="preserve">1</w:t>
            </w:r>
            <w:r>
              <w:rPr>
                <w:b w:val="0"/>
                <w:bCs w:val="0"/>
              </w:rPr>
              <w:t xml:space="preserve">05,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số: CA 567071,</w:t>
            </w:r>
            <w:r>
              <w:rPr>
                <w:b w:val="0"/>
                <w:bCs w:val="0"/>
              </w:rPr>
              <w:t xml:space="preserve"> số vào sổ cấp GCN: CTS76509 do Sở tài nguyên và môi trường thành phố Đà Nẵng cấp ngày 24/9/2015; </w:t>
            </w:r>
            <w:r>
              <w:rPr>
                <w:b w:val="0"/>
                <w:bCs w:val="0"/>
              </w:rPr>
              <w:t xml:space="preserve">t</w:t>
            </w:r>
            <w:r>
              <w:rPr>
                <w:b w:val="0"/>
                <w:bCs w:val="0"/>
              </w:rPr>
              <w:t xml:space="preserve">hửa đất số: 106,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w:t>
            </w:r>
            <w:r>
              <w:rPr>
                <w:b w:val="0"/>
                <w:bCs w:val="0"/>
              </w:rPr>
              <w:t xml:space="preserve">ố: BE 764664, số vào sổ cấp GCN: CH02153 do UBND Quận Ngũ Hành Sơn cấp ngày 21/12/2011, </w:t>
            </w:r>
            <w:r>
              <w:rPr>
                <w:b w:val="0"/>
                <w:bCs w:val="0"/>
              </w:rPr>
              <w:t xml:space="preserve">Chủ sử dụng đất là Ông Nguyễn Đình Nam</w:t>
            </w:r>
            <w:r>
              <w:rPr>
                <w:bCs/>
                <w:i/>
                <w:iCs/>
              </w:rPr>
              <w:t xml:space="preserve"> </w:t>
            </w:r>
            <w:r>
              <w:rPr>
                <w:bCs/>
                <w:i w:val="0"/>
                <w:iCs w:val="0"/>
              </w:rPr>
              <w:t xml:space="preserve">và </w:t>
            </w:r>
            <w:r>
              <w:rPr>
                <w:bCs/>
                <w:i w:val="0"/>
                <w:iCs w:val="0"/>
              </w:rPr>
              <w:t xml:space="preserve">C</w:t>
            </w:r>
            <w:r>
              <w:rPr>
                <w:bCs/>
                <w:i w:val="0"/>
                <w:iCs w:val="0"/>
              </w:rPr>
              <w:t xml:space="preserve">ông trình xây dựng trên đất tại các thửa đất số: 104;105;106, tờ bản đồ số 56 có địa chỉ: Lô 35-B2.10; Lô 34-B2.10; Lô 33-B2.10, Khu TĐC phía Đông Xưởng 38 và Xưởng 387, phường Mỹ An, quận Ngũ Hành Sơn ( này là phường Ngũ Hành Sơn), thành phố Đà Nẵng theo </w:t>
            </w:r>
            <w:r>
              <w:rPr>
                <w:bCs/>
                <w:i w:val="0"/>
                <w:iCs w:val="0"/>
              </w:rPr>
              <w:t xml:space="preserve">G</w:t>
            </w:r>
            <w:r>
              <w:rPr>
                <w:bCs/>
                <w:i w:val="0"/>
                <w:iCs w:val="0"/>
              </w:rPr>
              <w:t xml:space="preserve">iấy chứng nhận quyền sử dụng đất, quyền sở hữu nhà ở và tài sản khác gắn liền với đất số: DG 241087, số vào sổ cấp GCN: CT66276 do Sở tài nguyên và môi trường thành phố Đà Nẵng cấp ngày 07/7/2022; Chủ sử dụng công trình vây dựng là Công ty TNHH Dịch vụ Du </w:t>
            </w:r>
            <w:r>
              <w:rPr>
                <w:bCs/>
                <w:i w:val="0"/>
                <w:iCs w:val="0"/>
              </w:rPr>
              <w:t xml:space="preserve">Lịch Ánh Ngọc</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tham khảo giá trị tài sản phục vụ công tác xử lý nợ hoặc xử lý tài sản theo quy định của pháp luật</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Ngũ Hành Sơn,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6A025067">
            <w:pPr>
              <w:pStyle w:val="102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(16.0533483, 108.2460364)</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4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4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4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4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4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2DF5CA0E">
      <w:pPr>
        <w:pStyle w:val="1045"/>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4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4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4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4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4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4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4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4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4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4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4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4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w:t>
      </w:r>
      <w:r>
        <w:rPr>
          <w:color w:val="000000"/>
        </w:rPr>
        <w:t xml:space="preserve"> </w:t>
      </w:r>
      <w:r>
        <w:rPr>
          <w:color w:val="000000"/>
        </w:rPr>
        <w:t xml:space="preserve">đất, quyền sở hữu nhà ở và tài sản khác gắn liền với đất số: DC 963712, số vào sổ cấp GCN: CTS234515 do Sở Tài nguyên và Môi trường thành phố Đà Nẵng  cấp ngày 07/04/20</w:t>
      </w:r>
      <w:r>
        <w:rPr>
          <w:color w:val="000000"/>
        </w:rPr>
        <w:t xml:space="preserve">2</w:t>
      </w:r>
      <w:r>
        <w:rPr>
          <w:color w:val="000000"/>
        </w:rPr>
        <w:t xml:space="preserve">2; Chủ sử dụng đất là Ông Nguyễn Đình Nam;</w:t>
      </w:r>
      <w:r>
        <w:rPr>
          <w:i/>
          <w:iCs/>
          <w:lang w:val="pt-BR"/>
        </w:rPr>
      </w:r>
      <w:r>
        <w:rPr>
          <w:i/>
          <w:iCs/>
          <w:lang w:val="pt-BR"/>
        </w:rPr>
      </w:r>
    </w:p>
    <w:p w14:paraId="09F25813">
      <w:pPr>
        <w:pStyle w:val="1045"/>
        <w:numPr>
          <w:ilvl w:val="0"/>
          <w:numId w:val="2"/>
        </w:numPr>
        <w:pBdr/>
        <w:tabs>
          <w:tab w:val="left" w:leader="none" w:pos="993"/>
        </w:tabs>
        <w:spacing w:after="120" w:before="120" w:line="276" w:lineRule="auto"/>
        <w:ind/>
        <w:jc w:val="both"/>
        <w:rPr>
          <w:bCs/>
          <w:i/>
          <w:lang w:val="pt-BR"/>
        </w:rPr>
      </w:pPr>
      <w:r>
        <w:rPr>
          <w:i/>
          <w:iCs/>
          <w:highlight w:val="none"/>
          <w:lang w:val="pt-BR" w:bidi="pt-BR"/>
        </w:rPr>
      </w:r>
      <w:r>
        <w:rPr>
          <w:color w:val="000000"/>
        </w:rPr>
        <w:t xml:space="preserve">Giấy chứng nhận quyền sử dụng</w:t>
      </w:r>
      <w:r>
        <w:rPr>
          <w:color w:val="000000"/>
        </w:rPr>
        <w:t xml:space="preserve"> </w:t>
      </w:r>
      <w:r>
        <w:rPr>
          <w:color w:val="000000"/>
        </w:rPr>
        <w:t xml:space="preserve">đất, quyền sở hữu nhà ở và tài sản khác gắn liền với đất số:CA 567071, số vào sổ cấp GCN: CTS76509 do UBND Quận Ngũ Hành Sơn cấp ngày </w:t>
      </w:r>
      <w:r>
        <w:rPr>
          <w:color w:val="000000"/>
        </w:rPr>
        <w:t xml:space="preserve"> 21/12/2015; Chủ sử dụng đất là Ông Nguyễn Đình Nam;</w:t>
      </w:r>
      <w:r>
        <w:rPr>
          <w:bCs/>
          <w:i/>
          <w:lang w:val="pt-BR"/>
        </w:rPr>
      </w:r>
      <w:r>
        <w:rPr>
          <w:bCs/>
          <w:i/>
          <w:lang w:val="pt-BR"/>
        </w:rPr>
      </w:r>
    </w:p>
    <w:p w14:paraId="2BD93B82">
      <w:pPr>
        <w:pStyle w:val="1045"/>
        <w:numPr>
          <w:ilvl w:val="0"/>
          <w:numId w:val="2"/>
        </w:numPr>
        <w:pBdr/>
        <w:tabs>
          <w:tab w:val="left" w:leader="none" w:pos="993"/>
        </w:tabs>
        <w:spacing w:after="120" w:before="120" w:line="276" w:lineRule="auto"/>
        <w:ind/>
        <w:jc w:val="both"/>
        <w:rPr>
          <w:bCs/>
          <w:i/>
          <w:lang w:val="pt-BR"/>
        </w:rPr>
      </w:pPr>
      <w:r>
        <w:rPr>
          <w:i/>
          <w:iCs/>
          <w:highlight w:val="none"/>
          <w:lang w:val="pt-BR" w:bidi="pt-BR"/>
        </w:rPr>
      </w:r>
      <w:r>
        <w:rPr>
          <w:color w:val="000000"/>
        </w:rPr>
        <w:t xml:space="preserve">Giấy chứng nhận quyền sử dụng</w:t>
      </w:r>
      <w:r>
        <w:rPr>
          <w:color w:val="000000"/>
        </w:rPr>
        <w:t xml:space="preserve"> </w:t>
      </w:r>
      <w:r>
        <w:rPr>
          <w:color w:val="000000"/>
        </w:rPr>
        <w:t xml:space="preserve">đất, quyền sở hữu nhà ở và tài sản khác gắn liền với đất số: BE 764664, số vào sổ cấp GCN: CH02153 do UBND Quận Ngũ Hành Sơn cấp ngày </w:t>
      </w:r>
      <w:r>
        <w:rPr>
          <w:color w:val="000000"/>
        </w:rPr>
        <w:t xml:space="preserve">21/12/2011; Chủ sử dụng đất là Ông Nguyễn Đình Nam;</w:t>
      </w:r>
      <w:r>
        <w:rPr>
          <w:bCs/>
          <w:i/>
          <w:lang w:val="pt-BR"/>
        </w:rPr>
      </w:r>
      <w:r>
        <w:rPr>
          <w:bCs/>
          <w:i/>
          <w:lang w:val="pt-BR"/>
        </w:rPr>
      </w:r>
    </w:p>
    <w:p w14:paraId="1959FC82">
      <w:pPr>
        <w:pStyle w:val="1045"/>
        <w:numPr>
          <w:ilvl w:val="0"/>
          <w:numId w:val="2"/>
        </w:numPr>
        <w:pBdr/>
        <w:spacing w:after="60" w:before="60" w:line="276" w:lineRule="auto"/>
        <w:ind/>
        <w:jc w:val="both"/>
        <w:rPr>
          <w:b/>
          <w:bCs/>
          <w:spacing w:val="2"/>
          <w:lang w:val="vi-VN"/>
        </w:rPr>
      </w:pPr>
      <w:r>
        <w:rPr>
          <w:bCs/>
          <w:color w:val="000000" w:themeColor="text1"/>
          <w:lang w:val="pt-BR"/>
        </w:rPr>
      </w:r>
      <w:r>
        <w:rPr>
          <w:color w:val="000000"/>
        </w:rPr>
        <w:t xml:space="preserve">Giấy chứng nhận quyền sử dụng</w:t>
      </w:r>
      <w:r>
        <w:rPr>
          <w:color w:val="000000"/>
        </w:rPr>
        <w:t xml:space="preserve"> </w:t>
      </w:r>
      <w:r>
        <w:rPr>
          <w:color w:val="000000"/>
        </w:rPr>
        <w:t xml:space="preserve">đất, quyền sở hữu nhà ở và tài sản khác gắn liền với đất số: DG 241087, số vào sổ cấp GCN: DG 241087 do Sở Tài nguyên và Môi trường thành phố Đà Nẵng cấp ngày </w:t>
      </w:r>
      <w:r>
        <w:rPr>
          <w:color w:val="000000"/>
        </w:rPr>
        <w:t xml:space="preserve">07/7/2022; Chủ sử dụng công trình xây dựng là Công ty TNHH Dịch vụ Du lịch Ánh Ngọc.</w:t>
      </w:r>
      <w:r>
        <w:rPr>
          <w:b/>
          <w:bCs/>
          <w:spacing w:val="2"/>
          <w:lang w:val="vi-VN"/>
        </w:rPr>
      </w:r>
      <w:r>
        <w:rPr>
          <w:b/>
          <w:bCs/>
          <w:spacing w:val="2"/>
          <w:lang w:val="vi-VN"/>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1E5428D1">
      <w:pPr>
        <w:pStyle w:val="104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275/2026/0029/VFI-HĐTĐ.44.A</w:t>
      </w:r>
      <w:r>
        <w:rPr>
          <w:color w:val="000000" w:themeColor="text1"/>
          <w:lang w:val="pt-BR"/>
        </w:rPr>
        <w:t xml:space="preserve"> ngày 05/01/2026 giữa Ông Nguyễn Đình Nam với Công ty Cổ phần Thẩm định và Đầu tư Tài chính Hoa Sen.</w:t>
      </w:r>
      <w:r>
        <w:rPr>
          <w:b/>
          <w:lang w:val="pt-BR"/>
        </w:rPr>
      </w:r>
      <w:r>
        <w:rPr>
          <w:b/>
          <w:lang w:val="pt-BR"/>
        </w:rPr>
      </w:r>
    </w:p>
    <w:p w14:paraId="7BDC3A25" w14:textId="77D2CF95">
      <w:pPr>
        <w:pStyle w:val="104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6CD4078">
      <w:pPr>
        <w:pBdr>
          <w:top w:val="none" w:color="000000" w:sz="4" w:space="0"/>
          <w:left w:val="none" w:color="000000" w:sz="4" w:space="0"/>
          <w:bottom w:val="none" w:color="000000" w:sz="4" w:space="0"/>
          <w:right w:val="none" w:color="000000" w:sz="4" w:space="0"/>
        </w:pBdr>
        <w:shd w:val="clear" w:color="fef9f5" w:fill="fef9f5"/>
        <w:spacing w:after="225" w:line="390" w:lineRule="atLeast"/>
        <w:ind w:right="0" w:firstLine="0" w:left="0"/>
        <w:jc w:val="both"/>
        <w:rPr/>
      </w:pPr>
      <w:r>
        <w:rPr>
          <w:rFonts w:ascii="Times New Roman" w:hAnsi="Times New Roman" w:eastAsia="Times New Roman" w:cs="Times New Roman"/>
          <w:color w:val="333333"/>
          <w:sz w:val="24"/>
          <w:highlight w:val="white"/>
        </w:rPr>
        <w:t xml:space="preserve">DKRA Consulting vừa công bố báo cáo thị trường </w:t>
      </w:r>
      <w:hyperlink r:id="rId17" w:tooltip="https://dautubds.baodautu.vn/chuyen%20dong-thi-truong-c31/" w:history="1">
        <w:r>
          <w:rPr>
            <w:rStyle w:val="1035"/>
            <w:rFonts w:ascii="Times New Roman" w:hAnsi="Times New Roman" w:eastAsia="Times New Roman" w:cs="Times New Roman"/>
            <w:color w:val="000000"/>
            <w:sz w:val="24"/>
            <w:highlight w:val="white"/>
            <w:u w:val="none"/>
          </w:rPr>
          <w:t xml:space="preserve">bất động sản</w:t>
        </w:r>
      </w:hyperlink>
      <w:r>
        <w:rPr>
          <w:rFonts w:ascii="Times New Roman" w:hAnsi="Times New Roman" w:eastAsia="Times New Roman" w:cs="Times New Roman"/>
          <w:color w:val="000000"/>
          <w:sz w:val="24"/>
          <w:highlight w:val="white"/>
        </w:rPr>
        <w:t xml:space="preserve"> nhà ở Đà Nẵng và vùng phụ cận quý I/2025.</w:t>
      </w:r>
      <w:r/>
    </w:p>
    <w:p w14:paraId="300A0D2D">
      <w:pPr>
        <w:pBdr>
          <w:top w:val="none" w:color="000000" w:sz="4" w:space="0"/>
          <w:left w:val="none" w:color="000000" w:sz="4" w:space="0"/>
          <w:bottom w:val="none" w:color="000000" w:sz="4" w:space="0"/>
          <w:right w:val="none" w:color="000000" w:sz="4" w:space="0"/>
        </w:pBdr>
        <w:shd w:val="clear" w:color="fef9f5" w:fill="fef9f5"/>
        <w:spacing w:after="225" w:line="390" w:lineRule="atLeast"/>
        <w:ind w:right="0" w:firstLine="0" w:left="0"/>
        <w:jc w:val="both"/>
        <w:rPr/>
      </w:pPr>
      <w:r>
        <w:rPr>
          <w:rFonts w:ascii="Times New Roman" w:hAnsi="Times New Roman" w:eastAsia="Times New Roman" w:cs="Times New Roman"/>
          <w:color w:val="000000"/>
          <w:sz w:val="24"/>
          <w:highlight w:val="white"/>
        </w:rPr>
        <w:t xml:space="preserve">Theo đó, trong quý I/2025, thị trường bất động sản nhà ở khu vực Đà Nẵng và vùng phụ cận ghi nhận sự cải thiện về nguồn cung ở một số phân khúc so với cùng kỳ năm trước. Sức cầu thị trường chung duy trì đà hồi phục, tập trung ở phân khúc căn hộ và nhà phố/</w:t>
      </w:r>
      <w:r>
        <w:rPr>
          <w:rFonts w:ascii="Times New Roman" w:hAnsi="Times New Roman" w:eastAsia="Times New Roman" w:cs="Times New Roman"/>
          <w:color w:val="000000"/>
          <w:sz w:val="24"/>
          <w:highlight w:val="white"/>
        </w:rPr>
        <w:t xml:space="preserve">biệ</w:t>
      </w:r>
      <w:r>
        <w:rPr>
          <w:rFonts w:ascii="Times New Roman" w:hAnsi="Times New Roman" w:eastAsia="Times New Roman" w:cs="Times New Roman"/>
          <w:color w:val="333333"/>
          <w:sz w:val="24"/>
          <w:highlight w:val="white"/>
        </w:rPr>
        <w:t xml:space="preserve">t thự.</w:t>
      </w:r>
      <w:r/>
    </w:p>
    <w:p w14:paraId="169E4F00">
      <w:pPr>
        <w:pBdr>
          <w:top w:val="none" w:color="000000" w:sz="4" w:space="0"/>
          <w:left w:val="none" w:color="000000" w:sz="4" w:space="0"/>
          <w:bottom w:val="none" w:color="000000" w:sz="4" w:space="0"/>
          <w:right w:val="none" w:color="000000" w:sz="4" w:space="0"/>
        </w:pBdr>
        <w:shd w:val="clear" w:color="fef9f5" w:fill="fef9f5"/>
        <w:spacing w:after="225" w:line="390" w:lineRule="atLeast"/>
        <w:ind w:right="0" w:firstLine="0" w:left="0"/>
        <w:jc w:val="both"/>
        <w:rPr/>
      </w:pPr>
      <w:r>
        <w:rPr>
          <w:rFonts w:ascii="Times New Roman" w:hAnsi="Times New Roman" w:eastAsia="Times New Roman" w:cs="Times New Roman"/>
          <w:color w:val="333333"/>
          <w:sz w:val="24"/>
          <w:highlight w:val="white"/>
        </w:rPr>
        <w:t xml:space="preserve">Cụ thể, phân khúc đất nền ghi nhận có 16 dự án sơ cấp được giới thiệu ra thị trường, với nguồn cung khoảng 978 nền, tăng nhẹ 5% so với cùng kỳ năm 2024.</w:t>
      </w:r>
      <w:r/>
    </w:p>
    <w:p w14:paraId="41956CCE">
      <w:pPr>
        <w:pBdr>
          <w:top w:val="none" w:color="000000" w:sz="4" w:space="0"/>
          <w:left w:val="none" w:color="000000" w:sz="4" w:space="0"/>
          <w:bottom w:val="none" w:color="000000" w:sz="4" w:space="0"/>
          <w:right w:val="none" w:color="000000" w:sz="4" w:space="0"/>
        </w:pBdr>
        <w:shd w:val="clear" w:color="fef9f5" w:fill="fef9f5"/>
        <w:spacing w:after="225" w:line="390" w:lineRule="atLeast"/>
        <w:ind w:right="0" w:firstLine="0" w:left="0"/>
        <w:jc w:val="both"/>
        <w:rPr/>
      </w:pPr>
      <w:r>
        <w:rPr>
          <w:rFonts w:ascii="Times New Roman" w:hAnsi="Times New Roman" w:eastAsia="Times New Roman" w:cs="Times New Roman"/>
          <w:color w:val="333333"/>
          <w:sz w:val="24"/>
          <w:highlight w:val="white"/>
        </w:rPr>
        <w:t xml:space="preserve">Trong đó, Đà Nẵng và Quảng Nam dẫn dắt thị trường khi chiếm đến 100% tổng nguồn cung sơ cấp trong quý. Nguồn cung mới vẫn duy trì tình trạng khan hiếm và chưa có dấu hiệu phục hồi trong ngắn hạn. Sức cầu thị trường vẫn duy trì ở mức thấp, lượng tiêu thụ gi</w:t>
      </w:r>
      <w:r>
        <w:rPr>
          <w:rFonts w:ascii="Times New Roman" w:hAnsi="Times New Roman" w:eastAsia="Times New Roman" w:cs="Times New Roman"/>
          <w:color w:val="333333"/>
          <w:sz w:val="24"/>
          <w:highlight w:val="white"/>
        </w:rPr>
        <w:t xml:space="preserve">ảm khoảng 39% so với quý I/2024, chỉ tương đương 9% trên tỷ trọng cung sơ cấp. Mặt bằng giá sơ cấp ghi nhận mức tăng trung bình 7% so với thời điểm cuối năm 2024, trong khi thị trường giá thứ cấp đạt mức tăng phổ biến 6% - 9% so với quý IV/2024.</w:t>
      </w:r>
      <w:r/>
    </w:p>
    <w:p w14:paraId="135FCF88">
      <w:pPr>
        <w:pBdr>
          <w:top w:val="none" w:color="000000" w:sz="4" w:space="0"/>
          <w:left w:val="none" w:color="000000" w:sz="4" w:space="0"/>
          <w:bottom w:val="none" w:color="000000" w:sz="4" w:space="0"/>
          <w:right w:val="none" w:color="000000" w:sz="4" w:space="0"/>
        </w:pBdr>
        <w:shd w:val="clear" w:color="fef9f5" w:fill="fef9f5"/>
        <w:spacing w:after="225" w:line="390" w:lineRule="atLeast"/>
        <w:ind w:right="0" w:firstLine="0" w:left="0"/>
        <w:jc w:val="both"/>
        <w:rPr/>
      </w:pPr>
      <w:r>
        <w:rPr>
          <w:rFonts w:ascii="Times New Roman" w:hAnsi="Times New Roman" w:eastAsia="Times New Roman" w:cs="Times New Roman"/>
          <w:color w:val="333333"/>
          <w:sz w:val="24"/>
          <w:highlight w:val="white"/>
        </w:rPr>
        <w:t xml:space="preserve">Phân khúc căn hộ ghi nhận nguồn cung sơ cấp tăng 19% so với cùng kỳ năm trước, nhưng chỉ bằng 50% so với quý IV/2024, với 18 dự án triển khai bán hàng, cung ứng ra thị trường khoảng 1,244 căn hộ tập trung chủ yếu tại Đà Nẵng. Riêng TP. Huế và Quảng Nam tiế</w:t>
      </w:r>
      <w:r>
        <w:rPr>
          <w:rFonts w:ascii="Times New Roman" w:hAnsi="Times New Roman" w:eastAsia="Times New Roman" w:cs="Times New Roman"/>
          <w:color w:val="333333"/>
          <w:sz w:val="24"/>
          <w:highlight w:val="white"/>
        </w:rPr>
        <w:t xml:space="preserve">p tục khan hiếm dự án mở bán mới. Tỷ lệ tiêu thụ đạt khoảng 25% trên tổng nguồn cung sơ cấp, tương đương 306 căn và gấp 2.9 lần so với cùng kỳ. Phần lớn lượng giao dịch đến từ các dự án triển khai bán hàng cuối năm 2024. Mặt bằng giá bán sơ cấp ghi nhận mứ</w:t>
      </w:r>
      <w:r>
        <w:rPr>
          <w:rFonts w:ascii="Times New Roman" w:hAnsi="Times New Roman" w:eastAsia="Times New Roman" w:cs="Times New Roman"/>
          <w:color w:val="333333"/>
          <w:sz w:val="24"/>
          <w:highlight w:val="white"/>
        </w:rPr>
        <w:t xml:space="preserve">c tăng phổ biến dao động từ 3% - 6% so với trước Tết. Thị trường thứ cấp tiếp tục đà hồi phục, cục bộ những dự án phân khúc trung cấp khu vực quận Ngũ Hành Sơn ghi nhận mức tăng 7% - 12% so với cuối năm 2024.</w:t>
      </w:r>
      <w:r/>
    </w:p>
    <w:p w14:paraId="756F804F">
      <w:pPr>
        <w:pBdr>
          <w:top w:val="none" w:color="000000" w:sz="4" w:space="0"/>
          <w:left w:val="none" w:color="000000" w:sz="4" w:space="0"/>
          <w:bottom w:val="none" w:color="000000" w:sz="4" w:space="0"/>
          <w:right w:val="none" w:color="000000" w:sz="4" w:space="0"/>
        </w:pBdr>
        <w:shd w:val="clear" w:color="fef9f5" w:fill="fef9f5"/>
        <w:spacing w:after="225" w:line="390" w:lineRule="atLeast"/>
        <w:ind w:right="0" w:firstLine="0" w:left="0"/>
        <w:jc w:val="both"/>
        <w:rPr/>
      </w:pPr>
      <w:r>
        <w:rPr>
          <w:rFonts w:ascii="Times New Roman" w:hAnsi="Times New Roman" w:eastAsia="Times New Roman" w:cs="Times New Roman"/>
          <w:color w:val="333333"/>
          <w:sz w:val="24"/>
          <w:highlight w:val="white"/>
        </w:rPr>
        <w:t xml:space="preserve">Nguồn cung sơ cấp phân khúc nhà phố/biệt thự tại thị trường Đà Nẵng và vùng phụ cận ghi nhận tăng nhẹ 4% so với cùng kỳ, tuy nhiên vẫn ở mức thấp so với giai đoạn trước năm 2019.</w:t>
      </w:r>
      <w:r/>
    </w:p>
    <w:p w14:paraId="0A9339D9">
      <w:pPr>
        <w:pBdr>
          <w:top w:val="none" w:color="000000" w:sz="4" w:space="0"/>
          <w:left w:val="none" w:color="000000" w:sz="4" w:space="0"/>
          <w:bottom w:val="none" w:color="000000" w:sz="4" w:space="0"/>
          <w:right w:val="none" w:color="000000" w:sz="4" w:space="0"/>
        </w:pBdr>
        <w:shd w:val="clear" w:color="fef9f5" w:fill="fef9f5"/>
        <w:spacing w:after="225" w:line="390" w:lineRule="atLeast"/>
        <w:ind w:right="0" w:firstLine="0" w:left="0"/>
        <w:jc w:val="both"/>
        <w:rPr/>
      </w:pPr>
      <w:r>
        <w:rPr>
          <w:rFonts w:ascii="Times New Roman" w:hAnsi="Times New Roman" w:eastAsia="Times New Roman" w:cs="Times New Roman"/>
          <w:color w:val="333333"/>
          <w:sz w:val="24"/>
          <w:highlight w:val="white"/>
        </w:rPr>
        <w:t xml:space="preserve">Cụ thể, thị trường đón nhận nguồn cung sơ cấp khoảng 759 căn đến từ 11 dự án mở bán. Phần lớn nguồn cung đến từ lượng hàng tồn kho của những dự án đã mở bán trước đó, chiếm đến 93% tổng nguồn cung toàn thị trường. Sức cầu thị trường ghi nhận tín hiệu tăng </w:t>
      </w:r>
      <w:r>
        <w:rPr>
          <w:rFonts w:ascii="Times New Roman" w:hAnsi="Times New Roman" w:eastAsia="Times New Roman" w:cs="Times New Roman"/>
          <w:color w:val="333333"/>
          <w:sz w:val="24"/>
          <w:highlight w:val="white"/>
        </w:rPr>
        <w:t xml:space="preserve">trưởng, với tỷ lệ tiêu thụ đạt 9% (khoảng 66 căn), tăng 40% so với cùng kỳ năm trước. Mặc dù vậy, giao dịch chỉ tập trung cục bộ tại một số dự án quy mô lớn, pháp lý hoàn thiện và được phát triển bởi các chủ đầu tư uy tín. Mặt bằng giá bán sơ cấp duy trì ổ</w:t>
      </w:r>
      <w:r>
        <w:rPr>
          <w:rFonts w:ascii="Times New Roman" w:hAnsi="Times New Roman" w:eastAsia="Times New Roman" w:cs="Times New Roman"/>
          <w:color w:val="333333"/>
          <w:sz w:val="24"/>
          <w:highlight w:val="white"/>
        </w:rPr>
        <w:t xml:space="preserve">n định, trong khi thị trường thứ cấp ghi nhận mức giá giảm trung bình 4% so với giai đoạn cuối năm và chủ yếu tập trung ở nhóm dự án đã triển khai lâu năm, xây dựng chậm tiến độ cũng như chưa có pháp lý hoàn thiện.</w:t>
      </w:r>
      <w:r/>
    </w:p>
    <w:p w14:paraId="27B874B0">
      <w:pPr>
        <w:pBdr>
          <w:top w:val="none" w:color="000000" w:sz="4" w:space="0"/>
          <w:left w:val="none" w:color="000000" w:sz="4" w:space="0"/>
          <w:bottom w:val="none" w:color="000000" w:sz="4" w:space="0"/>
          <w:right w:val="none" w:color="000000" w:sz="4" w:space="0"/>
        </w:pBdr>
        <w:shd w:val="clear" w:color="fef9f5" w:fill="fef9f5"/>
        <w:spacing w:after="225" w:line="390" w:lineRule="atLeast"/>
        <w:ind w:right="0" w:firstLine="0" w:left="0"/>
        <w:jc w:val="both"/>
        <w:rPr/>
      </w:pPr>
      <w:r>
        <w:rPr>
          <w:rFonts w:ascii="Times New Roman" w:hAnsi="Times New Roman" w:eastAsia="Times New Roman" w:cs="Times New Roman"/>
          <w:color w:val="333333"/>
          <w:sz w:val="24"/>
          <w:highlight w:val="white"/>
        </w:rPr>
        <w:t xml:space="preserve">Trong khi đó, loại hình bất động sản nghỉ dưỡng vẫn còn khá trầm lắng và chưa có dấu hiệu khởi sắc trong ngắn hạn. Ở phân khúc biệt thự nghỉ dưỡng, nguồn cung sơ cấp tiếp tục xu hướng giảm, ghi nhận mức giảm 1% so với cùng kỳ với 9 dự án mở bán, cung ứng r</w:t>
      </w:r>
      <w:r>
        <w:rPr>
          <w:rFonts w:ascii="Times New Roman" w:hAnsi="Times New Roman" w:eastAsia="Times New Roman" w:cs="Times New Roman"/>
          <w:color w:val="333333"/>
          <w:sz w:val="24"/>
          <w:highlight w:val="white"/>
        </w:rPr>
        <w:t xml:space="preserve">a thị trường 232 căn. Trong khi đó, nguồn cung mới tiếp tục vắng bóng. Sức cầu chung thị trường vẫn ở mức thấp. Mặt bằng giá sơ cấp không biến động so với cùng kỳ năm trước và vẫn duy trì ở mức cao. Tuy nhiên, các chính sách chia sẻ lợi nhuận/doanh thu, hỗ</w:t>
      </w:r>
      <w:r>
        <w:rPr>
          <w:rFonts w:ascii="Times New Roman" w:hAnsi="Times New Roman" w:eastAsia="Times New Roman" w:cs="Times New Roman"/>
          <w:color w:val="333333"/>
          <w:sz w:val="24"/>
          <w:highlight w:val="white"/>
        </w:rPr>
        <w:t xml:space="preserve"> trợ lãi suất, ân hạn nợ gốc... vẫn tiếp tục được áp dụng rộng rãi nhằm gia tăng thanh khoản.</w:t>
      </w:r>
      <w:r/>
    </w:p>
    <w:p w14:paraId="49B7D7C9">
      <w:pPr>
        <w:pBdr>
          <w:top w:val="none" w:color="000000" w:sz="4" w:space="0"/>
          <w:left w:val="none" w:color="000000" w:sz="4" w:space="0"/>
          <w:bottom w:val="none" w:color="000000" w:sz="4" w:space="0"/>
          <w:right w:val="none" w:color="000000" w:sz="4" w:space="0"/>
        </w:pBdr>
        <w:shd w:val="clear" w:color="fef9f5" w:fill="fef9f5"/>
        <w:spacing w:after="225" w:line="390" w:lineRule="atLeast"/>
        <w:ind w:right="0" w:firstLine="0" w:left="0"/>
        <w:jc w:val="both"/>
        <w:rPr/>
      </w:pPr>
      <w:r>
        <w:rPr>
          <w:rFonts w:ascii="Times New Roman" w:hAnsi="Times New Roman" w:eastAsia="Times New Roman" w:cs="Times New Roman"/>
          <w:color w:val="333333"/>
          <w:sz w:val="24"/>
          <w:highlight w:val="white"/>
        </w:rPr>
        <w:t xml:space="preserve">Đối với phân khúc nhà phố/ shophouse nghỉ dưỡng, nguồn cung sơ cấp ghi nhận ở mức thấp và không phát sinh tiêu thụ. Mặt bằng giá bán sơ cấp duy trì ổn định và không có sự biến động so với cùng kỳ, mức giá chào bán hiện tại dao động từ 7,1 - 16,3 tỷ đồng/că</w:t>
      </w:r>
      <w:r>
        <w:rPr>
          <w:rFonts w:ascii="Times New Roman" w:hAnsi="Times New Roman" w:eastAsia="Times New Roman" w:cs="Times New Roman"/>
          <w:color w:val="333333"/>
          <w:sz w:val="24"/>
          <w:highlight w:val="white"/>
        </w:rPr>
        <w:t xml:space="preserve">n. Thị trường thứ cấp tiếp tục duy trì tình trạng ảm đạm.</w:t>
      </w:r>
      <w:r/>
    </w:p>
    <w:p w14:paraId="410B8B5E">
      <w:pPr>
        <w:pBdr>
          <w:top w:val="none" w:color="000000" w:sz="4" w:space="0"/>
          <w:left w:val="none" w:color="000000" w:sz="4" w:space="0"/>
          <w:bottom w:val="none" w:color="000000" w:sz="4" w:space="0"/>
          <w:right w:val="none" w:color="000000" w:sz="4" w:space="0"/>
        </w:pBdr>
        <w:shd w:val="clear" w:color="fef9f5" w:fill="fef9f5"/>
        <w:spacing w:after="225" w:line="390" w:lineRule="atLeast"/>
        <w:ind w:right="0" w:firstLine="0" w:left="0"/>
        <w:jc w:val="both"/>
        <w:rPr/>
      </w:pPr>
      <w:r>
        <w:rPr>
          <w:rFonts w:ascii="Times New Roman" w:hAnsi="Times New Roman" w:eastAsia="Times New Roman" w:cs="Times New Roman"/>
          <w:color w:val="333333"/>
          <w:sz w:val="24"/>
          <w:highlight w:val="white"/>
        </w:rPr>
        <w:t xml:space="preserve">Riêng phân khúc condotel, nguồn cung sơ cấp quý I/2025 giảm nhẹ 1% so với cùng kỳ với 9 dự án mở bán, cung cấp ra thị trường 670 căn. Đáng chú ý, 100% nguồn cung trong quý đến từ lượng hàng tồn kho của những dự án cũ. Quảng Nam và Đà Nẵng vẫn là những địa </w:t>
      </w:r>
      <w:r>
        <w:rPr>
          <w:rFonts w:ascii="Times New Roman" w:hAnsi="Times New Roman" w:eastAsia="Times New Roman" w:cs="Times New Roman"/>
          <w:color w:val="333333"/>
          <w:sz w:val="24"/>
          <w:highlight w:val="white"/>
        </w:rPr>
        <w:t xml:space="preserve">phương dẫn dắt thị trường khi chiếm đến 93% tổng nguồn cung sơ cấp trong quý. Sức cầu thị trường ở mức rất thấp, lượng tiêu thụ giảm hơn 99% so với quý trước. Mặt bằng giá sơ cấp không biến động nhiều so với cùng kỳ và tiếp tục xu hướng đi ngang.</w:t>
      </w:r>
      <w:r/>
    </w:p>
    <w:p w14:paraId="6DD843B4" w14:textId="5FC944B2">
      <w:pPr>
        <w:pBdr/>
        <w:tabs>
          <w:tab w:val="left" w:leader="none" w:pos="426"/>
        </w:tabs>
        <w:spacing w:after="120" w:before="120" w:line="276" w:lineRule="auto"/>
        <w:ind/>
        <w:rPr>
          <w:i/>
          <w:iCs/>
          <w:lang w:val="pt-BR"/>
        </w:rPr>
      </w:pPr>
      <w:r>
        <w:rPr>
          <w:rFonts w:ascii="Times New Roman" w:hAnsi="Times New Roman" w:eastAsia="Times New Roman" w:cs="Times New Roman"/>
          <w:i/>
          <w:color w:val="000000"/>
          <w:sz w:val="24"/>
          <w:highlight w:val="white"/>
        </w:rPr>
        <w:t xml:space="preserve">https://baodautu.vn/batdongsan/thi-truong-bat-dong-san-da-nang-va-vung-phu-can-cai-thien-ve-nguon-cung-d269790.html</w:t>
      </w:r>
      <w:r>
        <w:rPr>
          <w:i/>
          <w:iCs/>
          <w:lang w:val="pt-BR"/>
        </w:rPr>
      </w:r>
      <w:r>
        <w:rPr>
          <w:i/>
          <w:iCs/>
          <w:lang w:val="pt-BR"/>
        </w:rPr>
      </w:r>
    </w:p>
    <w:p w14:paraId="20BF0D54" w14:textId="312C63AB">
      <w:pPr>
        <w:pStyle w:val="104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231"/>
        <w:gridCol w:w="1936"/>
        <w:gridCol w:w="2315"/>
        <w:gridCol w:w="2333"/>
      </w:tblGrid>
      <w:tr>
        <w:trPr>
          <w:trHeight w:val="2976"/>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3181D3DB">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815" w:type="dxa"/>
            <w:vAlign w:val="center"/>
            <w:textDirection w:val="lrTb"/>
            <w:noWrap w:val="false"/>
          </w:tcPr>
          <w:p w14:paraId="5F6F8A39">
            <w:pPr>
              <w:pBdr/>
              <w:spacing w:after="0" w:before="0" w:line="240" w:lineRule="auto"/>
              <w:ind/>
              <w:jc w:val="both"/>
              <w:rPr>
                <w:b/>
                <w:bCs/>
              </w:rPr>
            </w:pPr>
            <w:r>
              <w:rPr>
                <w:rFonts w:ascii="Times New Roman" w:hAnsi="Times New Roman" w:eastAsia="Times New Roman" w:cs="Times New Roman"/>
                <w:b/>
                <w:bCs/>
                <w:color w:val="000000"/>
                <w:sz w:val="24"/>
              </w:rPr>
            </w:r>
            <w:r>
              <w:rPr>
                <w:b/>
                <w:bCs/>
              </w:rPr>
              <w:t xml:space="preserve">Quyền sử dụ</w:t>
            </w:r>
            <w:r>
              <w:rPr>
                <w:b/>
                <w:bCs/>
              </w:rPr>
              <w:t xml:space="preserve">ng đất tại các thửa đất số: 104, tờ bản đồ số 56 có địa chỉ: Lô 35-B2.10, Khu TĐC phía Đông Xưởng 38 và Xưởng 387, phường Mỹ An, quận Ngũ Hành Sơn ( này là phường Ngũ Hành Sơn), thành phố Đà Nẵng theo Giấy chứng nhận quyền sử dụng đất, quyền sở hữu nhà ở v</w:t>
            </w:r>
            <w:r>
              <w:rPr>
                <w:b/>
                <w:bCs/>
              </w:rPr>
              <w:t xml:space="preserve">à tài sản khác gắn liền với đất số: DC 963712, số vào sổ cấp GCN: CTS234515 do Sở tài nguyên và môi trường thành phố Đà Nẵng cấp ngày 07/4/2022; thửa đất số: </w:t>
            </w:r>
            <w:r>
              <w:rPr>
                <w:b/>
                <w:bCs/>
              </w:rPr>
              <w:t xml:space="preserve">1</w:t>
            </w:r>
            <w:r>
              <w:rPr>
                <w:b/>
                <w:bCs/>
              </w:rPr>
              <w:t xml:space="preserve">05,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số: CA 567071,</w:t>
            </w:r>
            <w:r>
              <w:rPr>
                <w:b/>
                <w:bCs/>
              </w:rPr>
              <w:t xml:space="preserve"> số vào sổ cấp GCN: CTS76509 do Sở tài nguyên và môi trường thành phố Đà Nẵng cấp ngày 24/9/2015; </w:t>
            </w:r>
            <w:r>
              <w:rPr>
                <w:b/>
                <w:bCs/>
              </w:rPr>
              <w:t xml:space="preserve">t</w:t>
            </w:r>
            <w:r>
              <w:rPr>
                <w:b/>
                <w:bCs/>
              </w:rPr>
              <w:t xml:space="preserve">hửa đất số: 106,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w:t>
            </w:r>
            <w:r>
              <w:rPr>
                <w:b/>
                <w:bCs/>
              </w:rPr>
              <w:t xml:space="preserve">ố: BE 764664, số vào sổ cấp GCN: CH02153 do UBND Quận Ngũ Hành Sơn cấp ngày 21/12/2011, </w:t>
            </w:r>
            <w:r>
              <w:rPr>
                <w:b/>
                <w:bCs/>
              </w:rPr>
              <w:t xml:space="preserve">Chủ sử dụng đất là Ông Nguyễn Đình Nam</w:t>
            </w:r>
            <w:r>
              <w:rPr>
                <w:b/>
                <w:bCs/>
                <w:i/>
                <w:iCs/>
              </w:rPr>
              <w:t xml:space="preserve"> </w:t>
            </w:r>
            <w:r>
              <w:rPr>
                <w:b/>
                <w:bCs/>
                <w:i w:val="0"/>
                <w:iCs w:val="0"/>
              </w:rPr>
              <w:t xml:space="preserve">và </w:t>
            </w:r>
            <w:r>
              <w:rPr>
                <w:b/>
                <w:bCs/>
                <w:i w:val="0"/>
                <w:iCs w:val="0"/>
              </w:rPr>
              <w:t xml:space="preserve">C</w:t>
            </w:r>
            <w:r>
              <w:rPr>
                <w:b/>
                <w:bCs/>
                <w:i w:val="0"/>
                <w:iCs w:val="0"/>
              </w:rPr>
              <w:t xml:space="preserve">ông trình xây dựng trên đất tại các thửa đất số: 104;105;106, tờ bản đồ số 56 có địa chỉ: Lô 35-B2.10; Lô 34-B2.10; Lô 33-B2.10, Khu TĐC phía Đông Xưởng 38 và Xưởng 387, phường Mỹ An, quận Ngũ Hành Sơn ( này là phường Ngũ Hành Sơn), thành phố Đà Nẵng theo </w:t>
            </w:r>
            <w:r>
              <w:rPr>
                <w:b/>
                <w:bCs/>
                <w:i w:val="0"/>
                <w:iCs w:val="0"/>
              </w:rPr>
              <w:t xml:space="preserve">G</w:t>
            </w:r>
            <w:r>
              <w:rPr>
                <w:b/>
                <w:bCs/>
                <w:i w:val="0"/>
                <w:iCs w:val="0"/>
              </w:rPr>
              <w:t xml:space="preserve">iấy chứng nhận quyền sử dụng đất, quyền sở hữu nhà ở và tài sản khác gắn liền với đất số: DG 241087, số vào sổ cấp GCN: CT66276 do Sở tài nguyên và môi trường thành phố Đà Nẵng cấp ngày 07/7/2022; Chủ sử dụng công trình vây dựng là Công ty TNHH Dịch vụ Du </w:t>
            </w:r>
            <w:r>
              <w:rPr>
                <w:b/>
                <w:bCs/>
                <w:i w:val="0"/>
                <w:iCs w:val="0"/>
              </w:rPr>
              <w:t xml:space="preserve">Lịch Ánh Ngọc</w:t>
            </w:r>
            <w:r>
              <w:rPr>
                <w:b/>
                <w:bCs/>
              </w:rPr>
            </w:r>
            <w:r>
              <w:rPr>
                <w:b/>
                <w:bCs/>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19DD1800">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815" w:type="dxa"/>
            <w:vAlign w:val="center"/>
            <w:textDirection w:val="lrTb"/>
            <w:noWrap w:val="false"/>
          </w:tcPr>
          <w:p w14:paraId="48CE6D39">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010B795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5AF02FD7">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936" w:type="dxa"/>
            <w:vAlign w:val="center"/>
            <w:textDirection w:val="lrTb"/>
            <w:noWrap w:val="false"/>
          </w:tcPr>
          <w:p w14:paraId="60969837">
            <w:pPr>
              <w:pBdr/>
              <w:spacing w:after="0" w:before="0" w:line="240" w:lineRule="auto"/>
              <w:ind/>
              <w:jc w:val="center"/>
              <w:rPr/>
            </w:pPr>
            <w:r>
              <w:rPr>
                <w:rFonts w:ascii="Times New Roman" w:hAnsi="Times New Roman" w:eastAsia="Times New Roman" w:cs="Times New Roman"/>
                <w:color w:val="000000"/>
                <w:sz w:val="24"/>
              </w:rPr>
              <w:t xml:space="preserve">104; 105; 106</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05534D05">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333" w:type="dxa"/>
            <w:vAlign w:val="center"/>
            <w:textDirection w:val="lrTb"/>
            <w:noWrap w:val="false"/>
          </w:tcPr>
          <w:p w14:paraId="26C030EA">
            <w:pPr>
              <w:pBdr/>
              <w:spacing w:after="0" w:before="0" w:line="240" w:lineRule="auto"/>
              <w:ind/>
              <w:jc w:val="center"/>
              <w:rPr/>
            </w:pPr>
            <w:r>
              <w:rPr>
                <w:rFonts w:ascii="Times New Roman" w:hAnsi="Times New Roman" w:eastAsia="Times New Roman" w:cs="Times New Roman"/>
                <w:color w:val="000000"/>
                <w:sz w:val="24"/>
              </w:rPr>
              <w:t xml:space="preserve">56</w:t>
            </w:r>
            <w:r/>
          </w:p>
        </w:tc>
      </w:tr>
      <w:tr>
        <w:trPr>
          <w:trHeight w:val="1683"/>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3D5E9B8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04BDD9B6">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84" w:type="dxa"/>
            <w:vAlign w:val="center"/>
            <w:textDirection w:val="lrTb"/>
            <w:noWrap w:val="false"/>
          </w:tcPr>
          <w:p w14:paraId="0068F36A">
            <w:pPr>
              <w:pBdr/>
              <w:spacing w:after="0" w:before="0" w:line="240" w:lineRule="auto"/>
              <w:ind/>
              <w:jc w:val="both"/>
              <w:rPr/>
            </w:pPr>
            <w:r>
              <w:rPr>
                <w:rFonts w:ascii="Times New Roman" w:hAnsi="Times New Roman" w:eastAsia="Times New Roman" w:cs="Times New Roman"/>
                <w:color w:val="000000"/>
                <w:sz w:val="24"/>
              </w:rPr>
              <w:t xml:space="preserve">Lô 35-B2.10, Khu TĐC phía Đông Xưởng 38 và Xưởng 387, phường Mỹ An, quận Ngũ Hành Sơn ( </w:t>
            </w:r>
            <w:r>
              <w:rPr>
                <w:rFonts w:ascii="Times New Roman" w:hAnsi="Times New Roman" w:eastAsia="Times New Roman" w:cs="Times New Roman"/>
                <w:i w:val="0"/>
                <w:iCs w:val="0"/>
                <w:color w:val="000000"/>
                <w:sz w:val="24"/>
              </w:rPr>
              <w:t xml:space="preserve">này là phường Ngũ Hành Sơn</w:t>
            </w:r>
            <w:r>
              <w:rPr>
                <w:rFonts w:ascii="Times New Roman" w:hAnsi="Times New Roman" w:eastAsia="Times New Roman" w:cs="Times New Roman"/>
                <w:color w:val="000000"/>
                <w:sz w:val="24"/>
              </w:rPr>
              <w:t xml:space="preserve">), thành phố Đà Nẵng và Khu TĐC phía Đông Xưởng 38 và Xưởng 387, phường Mỹ An, quận Ngũ Hành Sơn ( này là phường Ngũ Hành Sơn), thành phố Đà Nẵng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8290EE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610321E3">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1936" w:type="dxa"/>
            <w:vAlign w:val="center"/>
            <w:textDirection w:val="lrTb"/>
            <w:noWrap w:val="false"/>
          </w:tcPr>
          <w:p w14:paraId="445629E1">
            <w:pPr>
              <w:pBdr/>
              <w:spacing w:after="0" w:before="0" w:line="240" w:lineRule="auto"/>
              <w:ind/>
              <w:jc w:val="center"/>
              <w:rPr/>
            </w:pPr>
            <w:r>
              <w:rPr>
                <w:rFonts w:ascii="Times New Roman" w:hAnsi="Times New Roman" w:eastAsia="Times New Roman" w:cs="Times New Roman"/>
                <w:color w:val="000000"/>
                <w:sz w:val="24"/>
              </w:rPr>
              <w:t xml:space="preserve">243,0</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5F421300">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333" w:type="dxa"/>
            <w:vAlign w:val="center"/>
            <w:textDirection w:val="lrTb"/>
            <w:noWrap w:val="false"/>
          </w:tcPr>
          <w:p w14:paraId="70F3653B">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6E87C59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2BD33831">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36" w:type="dxa"/>
            <w:vAlign w:val="center"/>
            <w:textDirection w:val="lrTb"/>
            <w:noWrap w:val="false"/>
          </w:tcPr>
          <w:p w14:paraId="65BFC279">
            <w:pPr>
              <w:pBdr/>
              <w:spacing w:after="0" w:before="0" w:line="240" w:lineRule="auto"/>
              <w:ind/>
              <w:jc w:val="center"/>
              <w:rPr/>
            </w:pPr>
            <w:r>
              <w:rPr>
                <w:rFonts w:ascii="Times New Roman" w:hAnsi="Times New Roman" w:eastAsia="Times New Roman" w:cs="Times New Roman"/>
                <w:color w:val="000000"/>
                <w:sz w:val="24"/>
              </w:rPr>
              <w:t xml:space="preserve">Đất thương mại dịch vụ</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7D56D8EE">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333" w:type="dxa"/>
            <w:vAlign w:val="center"/>
            <w:textDirection w:val="lrTb"/>
            <w:noWrap w:val="false"/>
          </w:tcPr>
          <w:p w14:paraId="7FAC423D">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6314875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7F918E59">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84" w:type="dxa"/>
            <w:vAlign w:val="center"/>
            <w:textDirection w:val="lrTb"/>
            <w:noWrap w:val="false"/>
          </w:tcPr>
          <w:p w14:paraId="31C7D7C2">
            <w:pPr>
              <w:pBdr/>
              <w:spacing w:after="0" w:before="0" w:line="240" w:lineRule="auto"/>
              <w:ind/>
              <w:jc w:val="both"/>
              <w:rPr/>
            </w:pPr>
            <w:r>
              <w:rPr>
                <w:rFonts w:ascii="Times New Roman" w:hAnsi="Times New Roman" w:eastAsia="Times New Roman" w:cs="Times New Roman"/>
                <w:color w:val="000000"/>
                <w:sz w:val="24"/>
              </w:rPr>
              <w:t xml:space="preserve">Nhân chuyển nhượng đất được Nhà nước giao đất có thu tiền sử dụng đất</w:t>
            </w:r>
            <w:r/>
          </w:p>
        </w:tc>
      </w:tr>
      <w:tr>
        <w:trPr>
          <w:trHeight w:val="64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6566DDD">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815" w:type="dxa"/>
            <w:vAlign w:val="center"/>
            <w:textDirection w:val="lrTb"/>
            <w:noWrap w:val="false"/>
          </w:tcPr>
          <w:p w14:paraId="051B02FF">
            <w:pPr>
              <w:pBdr/>
              <w:spacing w:after="0" w:before="0" w:line="240" w:lineRule="auto"/>
              <w:ind/>
              <w:rPr/>
            </w:pPr>
            <w:r>
              <w:rPr>
                <w:rFonts w:ascii="Times New Roman" w:hAnsi="Times New Roman" w:eastAsia="Times New Roman" w:cs="Times New Roman"/>
                <w:color w:val="000000"/>
                <w:sz w:val="24"/>
              </w:rPr>
              <w:t xml:space="preserve">Ghi chú:</w:t>
            </w:r>
            <w:r/>
          </w:p>
        </w:tc>
      </w:tr>
      <w:tr>
        <w:trPr>
          <w:trHeight w:val="64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6E311099">
            <w:pPr>
              <w:pBdr/>
              <w:spacing w:after="0" w:before="0" w:line="240" w:lineRule="auto"/>
              <w:ind/>
              <w:jc w:val="center"/>
              <w:rPr/>
            </w:pPr>
            <w:r>
              <w:rPr>
                <w:rFonts w:ascii="Times New Roman" w:hAnsi="Times New Roman" w:eastAsia="Times New Roman" w:cs="Times New Roman"/>
                <w:i/>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6BF60085">
            <w:pPr>
              <w:pBdr/>
              <w:spacing w:after="0" w:before="0" w:line="240" w:lineRule="auto"/>
              <w:ind/>
              <w:rPr/>
            </w:pPr>
            <w:r>
              <w:rPr>
                <w:rFonts w:ascii="Times New Roman" w:hAnsi="Times New Roman" w:eastAsia="Times New Roman" w:cs="Times New Roman"/>
                <w:i/>
                <w:color w:val="000000"/>
                <w:sz w:val="24"/>
              </w:rPr>
              <w:t xml:space="preserve">GCN số: DA 567071; BE 764664</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84" w:type="dxa"/>
            <w:vAlign w:val="center"/>
            <w:textDirection w:val="lrTb"/>
            <w:noWrap w:val="false"/>
          </w:tcPr>
          <w:p w14:paraId="2CFA2C1E">
            <w:pPr>
              <w:pBdr/>
              <w:spacing w:after="0" w:before="0" w:line="240" w:lineRule="auto"/>
              <w:ind/>
              <w:rPr/>
            </w:pPr>
            <w:r>
              <w:rPr>
                <w:rFonts w:ascii="Times New Roman" w:hAnsi="Times New Roman" w:eastAsia="Times New Roman" w:cs="Times New Roman"/>
                <w:i/>
                <w:color w:val="000000"/>
                <w:sz w:val="24"/>
              </w:rPr>
              <w:t xml:space="preserve">Số hiệu và diện tích thửa đất chưa được xác định theo bản đồ địa chính chính quy</w:t>
            </w:r>
            <w:r/>
          </w:p>
        </w:tc>
      </w:tr>
      <w:tr>
        <w:trPr>
          <w:trHeight w:val="697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0D421057">
            <w:pPr>
              <w:pBdr/>
              <w:spacing w:after="0" w:before="0" w:line="240" w:lineRule="auto"/>
              <w:ind/>
              <w:jc w:val="center"/>
              <w:rPr/>
            </w:pPr>
            <w:r>
              <w:rPr>
                <w:rFonts w:ascii="Times New Roman" w:hAnsi="Times New Roman" w:eastAsia="Times New Roman" w:cs="Times New Roman"/>
                <w:i/>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50D6455C">
            <w:pPr>
              <w:pBdr/>
              <w:spacing w:after="0" w:before="0" w:line="240" w:lineRule="auto"/>
              <w:ind/>
              <w:rPr/>
            </w:pPr>
            <w:r>
              <w:rPr>
                <w:rFonts w:ascii="Times New Roman" w:hAnsi="Times New Roman" w:eastAsia="Times New Roman" w:cs="Times New Roman"/>
                <w:i/>
                <w:color w:val="000000"/>
                <w:sz w:val="24"/>
              </w:rPr>
              <w:t xml:space="preserve">GCN số: DG 241087</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84" w:type="dxa"/>
            <w:vAlign w:val="center"/>
            <w:textDirection w:val="lrTb"/>
            <w:noWrap w:val="false"/>
          </w:tcPr>
          <w:p w14:paraId="59368F0C">
            <w:pPr>
              <w:pBdr/>
              <w:spacing w:after="0" w:before="0" w:line="240" w:lineRule="auto"/>
              <w:ind/>
              <w:rPr/>
            </w:pPr>
            <w:r>
              <w:rPr>
                <w:rFonts w:ascii="Times New Roman" w:hAnsi="Times New Roman" w:eastAsia="Times New Roman" w:cs="Times New Roman"/>
                <w:i/>
                <w:color w:val="000000"/>
                <w:sz w:val="24"/>
              </w:rPr>
              <w:t xml:space="preserve">Công ty TNHH Dịch Vụ Du Lịch Ánh Ngọc  sở hữu tài sản trên thửa đất thuê của ông Nguyễn Đình Nam, sinh năm: 1999, CCCD số: 001099015049, địa chỉ hộ khẩu: Phường Xuân Phương, quận Nam Từ Liêm, thành phố Hà Nội;</w:t>
              <w:br/>
              <w:t xml:space="preserve">* Thửa đất số: 104, tờ bản đồ số 56, địa chỉ: </w:t>
            </w:r>
            <w:r>
              <w:rPr>
                <w:rFonts w:ascii="Times New Roman" w:hAnsi="Times New Roman" w:eastAsia="Times New Roman" w:cs="Times New Roman"/>
                <w:i/>
                <w:color w:val="000000"/>
                <w:sz w:val="24"/>
              </w:rPr>
              <w:t xml:space="preserve">Lô 35-B2.10, Khu TĐC phía Đông Xưởng 38 và Xưởng 387, phường Mỹ An, quận Ngũ Hành Sơn ( này là phường Ngũ Hành Sơn), thành phố Đà Nẵng, diện tích: 81m2, mục đích sử dụng: Đất TMDV, GCN QSDĐ: DC 963712 do Sở tài nguyên và Môi trường thành phố Đà Nẵng cấp ng</w:t>
            </w:r>
            <w:r>
              <w:rPr>
                <w:rFonts w:ascii="Times New Roman" w:hAnsi="Times New Roman" w:eastAsia="Times New Roman" w:cs="Times New Roman"/>
                <w:i/>
                <w:color w:val="000000"/>
                <w:sz w:val="24"/>
              </w:rPr>
              <w:t xml:space="preserve">ày 07/4/2022;</w:t>
              <w:br/>
              <w:t xml:space="preserve">* Thửa đất số: 105, tờ bản đồ số 56, địa chỉ: Lô 34-B2.10, Khu TĐC phía Đông Xưởng 38 và Xưởng 387, phường Mỹ An, quận Ngũ Hành Sơn ( này là phường Ngũ Hành Sơn), thành phố Đà Nẵng, diện tích: 81m2, mục đích sử dụng: Đất TMDV, GCN QSDĐ: CA 56</w:t>
            </w:r>
            <w:r>
              <w:rPr>
                <w:rFonts w:ascii="Times New Roman" w:hAnsi="Times New Roman" w:eastAsia="Times New Roman" w:cs="Times New Roman"/>
                <w:i/>
                <w:color w:val="000000"/>
                <w:sz w:val="24"/>
              </w:rPr>
              <w:t xml:space="preserve">7071 do Sở tài nguyên và Môi trường thành phố Đà Nẵng cấp ngày 24/9/2015;</w:t>
              <w:br/>
              <w:t xml:space="preserve">*Thửa đất số: 106, tờ bản đồ số 56, địa chỉ: Lô 33-B2.10, Khu TĐC phía Đông Xưởng 38 và Xưởng 387, phường Mỹ An, quận Ngũ Hành Sơn ( này là phường Ngũ Hành Sơn), thành phố Đà Nẵng, d</w:t>
            </w:r>
            <w:r>
              <w:rPr>
                <w:rFonts w:ascii="Times New Roman" w:hAnsi="Times New Roman" w:eastAsia="Times New Roman" w:cs="Times New Roman"/>
                <w:i/>
                <w:color w:val="000000"/>
                <w:sz w:val="24"/>
              </w:rPr>
              <w:t xml:space="preserve">iện tích: 81m2, mục đích sử dụng: Đất TMDV, GCN QSDĐ: BE 764664 do UBND quận Ngũ Hành Sơn cấp ngày 21/12/2011;</w:t>
              <w:br/>
              <w:t xml:space="preserve">Thời hạn thuê đất 30 năm đến nga 03/10/2047. Đã đăng ký biến động tại văn phòng đăng ký đất thành phố ngày 12/10/2017</w:t>
            </w:r>
            <w:r/>
          </w:p>
        </w:tc>
      </w:tr>
      <w:tr>
        <w:trPr>
          <w:trHeight w:val="64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4BD233C3">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32C3F496">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84" w:type="dxa"/>
            <w:vAlign w:val="center"/>
            <w:textDirection w:val="lrTb"/>
            <w:noWrap w:val="false"/>
          </w:tcPr>
          <w:p w14:paraId="7746FC7E">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100891E5">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815" w:type="dxa"/>
            <w:vAlign w:val="center"/>
            <w:textDirection w:val="lrTb"/>
            <w:noWrap w:val="false"/>
          </w:tcPr>
          <w:p w14:paraId="7BBC1C05">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1FED00A5">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815" w:type="dxa"/>
            <w:vAlign w:val="center"/>
            <w:textDirection w:val="lrTb"/>
            <w:noWrap w:val="false"/>
          </w:tcPr>
          <w:p w14:paraId="4EE1DC91">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6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F2740B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6F819F61">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84" w:type="dxa"/>
            <w:vAlign w:val="center"/>
            <w:textDirection w:val="lrTb"/>
            <w:noWrap w:val="false"/>
          </w:tcPr>
          <w:p w14:paraId="3FB25D8A">
            <w:pPr>
              <w:pBdr/>
              <w:spacing w:after="0" w:before="0" w:line="240" w:lineRule="auto"/>
              <w:ind/>
              <w:jc w:val="both"/>
              <w:rPr/>
            </w:pPr>
            <w:r>
              <w:rPr>
                <w:rFonts w:ascii="Times New Roman" w:hAnsi="Times New Roman" w:eastAsia="Times New Roman" w:cs="Times New Roman"/>
                <w:color w:val="000000"/>
                <w:sz w:val="24"/>
              </w:rPr>
              <w:t xml:space="preserve">Số 71+73 đường Đỗ Bí, phường Ngũ Hành Sơn, thành phố Đà Nẵng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FFAFCB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31" w:type="dxa"/>
            <w:vAlign w:val="center"/>
            <w:textDirection w:val="lrTb"/>
            <w:noWrap w:val="false"/>
          </w:tcPr>
          <w:p w14:paraId="382EA22D">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36" w:type="dxa"/>
            <w:vAlign w:val="center"/>
            <w:textDirection w:val="lrTb"/>
            <w:noWrap w:val="false"/>
          </w:tcPr>
          <w:p w14:paraId="7711749C">
            <w:pPr>
              <w:pBdr/>
              <w:spacing w:after="0" w:before="0" w:line="240" w:lineRule="auto"/>
              <w:ind/>
              <w:jc w:val="center"/>
              <w:rPr/>
            </w:pPr>
            <w:r>
              <w:rPr>
                <w:rFonts w:ascii="Times New Roman" w:hAnsi="Times New Roman" w:eastAsia="Times New Roman" w:cs="Times New Roman"/>
                <w:color w:val="000000"/>
                <w:sz w:val="24"/>
              </w:rPr>
              <w:t xml:space="preserve">Đường Đỗ Bí</w:t>
            </w:r>
            <w:r/>
          </w:p>
        </w:tc>
        <w:tc>
          <w:tcPr>
            <w:tcBorders>
              <w:right w:val="single" w:color="000000" w:sz="6" w:space="0"/>
            </w:tcBorders>
            <w:tcMar>
              <w:left w:w="0" w:type="dxa"/>
              <w:top w:w="0" w:type="dxa"/>
              <w:right w:w="0" w:type="dxa"/>
              <w:bottom w:w="0" w:type="dxa"/>
            </w:tcMar>
            <w:tcW w:w="2315" w:type="dxa"/>
            <w:vAlign w:val="center"/>
            <w:textDirection w:val="lrTb"/>
            <w:noWrap w:val="false"/>
          </w:tcPr>
          <w:p w14:paraId="19410F9E">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333" w:type="dxa"/>
            <w:vAlign w:val="center"/>
            <w:textDirection w:val="lrTb"/>
            <w:noWrap w:val="false"/>
          </w:tcPr>
          <w:p w14:paraId="7A6C91A1">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60"/>
        </w:trPr>
        <w:tc>
          <w:tcPr>
            <w:tcBorders>
              <w:left w:val="single" w:color="000000" w:sz="6" w:space="0"/>
              <w:bottom w:val="single" w:color="000000" w:sz="6" w:space="0"/>
            </w:tcBorders>
            <w:tcMar>
              <w:left w:w="0" w:type="dxa"/>
              <w:top w:w="0" w:type="dxa"/>
              <w:right w:w="0" w:type="dxa"/>
              <w:bottom w:w="0" w:type="dxa"/>
            </w:tcMar>
            <w:tcW w:w="595" w:type="dxa"/>
            <w:vAlign w:val="center"/>
            <w:textDirection w:val="lrTb"/>
            <w:noWrap w:val="false"/>
          </w:tcPr>
          <w:p w14:paraId="1BA062A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4F8D62CB">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36" w:type="dxa"/>
            <w:vAlign w:val="center"/>
            <w:textDirection w:val="lrTb"/>
            <w:noWrap w:val="false"/>
          </w:tcPr>
          <w:p w14:paraId="2EFD123C">
            <w:pPr>
              <w:pBdr/>
              <w:spacing w:after="0" w:before="0" w:line="240" w:lineRule="auto"/>
              <w:ind/>
              <w:jc w:val="center"/>
              <w:rPr/>
            </w:pPr>
            <w:r>
              <w:rPr>
                <w:rFonts w:ascii="Times New Roman" w:hAnsi="Times New Roman" w:eastAsia="Times New Roman" w:cs="Times New Roman"/>
                <w:color w:val="000000"/>
                <w:sz w:val="24"/>
              </w:rPr>
              <w:t xml:space="preserve">5,5m + vỉa hè 3m mỗi bên</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08D824D3">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33" w:type="dxa"/>
            <w:vAlign w:val="center"/>
            <w:textDirection w:val="lrTb"/>
            <w:noWrap w:val="false"/>
          </w:tcPr>
          <w:p w14:paraId="07E69451">
            <w:pPr>
              <w:pBdr/>
              <w:spacing w:after="0" w:before="0" w:line="240" w:lineRule="auto"/>
              <w:ind/>
              <w:jc w:val="center"/>
              <w:rPr/>
            </w:pPr>
            <w:r>
              <w:rPr>
                <w:rFonts w:ascii="Times New Roman" w:hAnsi="Times New Roman" w:eastAsia="Times New Roman" w:cs="Times New Roman"/>
                <w:color w:val="000000"/>
                <w:sz w:val="24"/>
              </w:rPr>
              <w:t xml:space="preserve">5,5m + vỉa hè 3m mỗi bên</w:t>
            </w: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6E8D87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31" w:type="dxa"/>
            <w:vAlign w:val="center"/>
            <w:textDirection w:val="lrTb"/>
            <w:noWrap w:val="false"/>
          </w:tcPr>
          <w:p w14:paraId="1B51EFF9">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84" w:type="dxa"/>
            <w:vAlign w:val="center"/>
            <w:textDirection w:val="lrTb"/>
            <w:noWrap w:val="false"/>
          </w:tcPr>
          <w:p w14:paraId="48320AA9">
            <w:pPr>
              <w:pBdr/>
              <w:spacing w:after="0" w:before="0" w:line="240" w:lineRule="auto"/>
              <w:ind/>
              <w:jc w:val="both"/>
              <w:rPr/>
            </w:pPr>
            <w:r>
              <w:rPr>
                <w:rFonts w:ascii="Times New Roman" w:hAnsi="Times New Roman" w:eastAsia="Times New Roman" w:cs="Times New Roman"/>
                <w:color w:val="000000"/>
                <w:sz w:val="24"/>
              </w:rPr>
              <w:t xml:space="preserve">Tiếp giáp đường Đỗ Bí, cách biển khoảng 200m</w:t>
            </w:r>
            <w:r/>
          </w:p>
        </w:tc>
      </w:tr>
      <w:tr>
        <w:trPr>
          <w:trHeight w:val="687"/>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34C84F8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389A6A81">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584" w:type="dxa"/>
            <w:vAlign w:val="center"/>
            <w:textDirection w:val="lrTb"/>
            <w:noWrap w:val="false"/>
          </w:tcPr>
          <w:p w14:paraId="708C51B6">
            <w:pPr>
              <w:pBdr/>
              <w:spacing w:after="0" w:before="0" w:line="240" w:lineRule="auto"/>
              <w:ind/>
              <w:jc w:val="both"/>
              <w:rPr/>
            </w:pPr>
            <w:r>
              <w:rPr>
                <w:rFonts w:ascii="Times New Roman" w:hAnsi="Times New Roman" w:eastAsia="Times New Roman" w:cs="Times New Roman"/>
                <w:color w:val="000000"/>
                <w:sz w:val="24"/>
              </w:rPr>
              <w:t xml:space="preserve">Hướng Tây : Tiếp giáp đường đường giao thông;</w:t>
              <w:br/>
              <w:t xml:space="preserve">Các hướng khác: Tiếp giáp các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2075CC23">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815" w:type="dxa"/>
            <w:vAlign w:val="center"/>
            <w:textDirection w:val="lrTb"/>
            <w:noWrap w:val="false"/>
          </w:tcPr>
          <w:p w14:paraId="78BB6B4F">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47CE5978">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8815" w:type="dxa"/>
            <w:vAlign w:val="center"/>
            <w:textDirection w:val="lrTb"/>
            <w:noWrap w:val="false"/>
          </w:tcPr>
          <w:p w14:paraId="08A2C21A">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547275471" name="" descr=""/>
                              <pic:cNvPicPr/>
                              <pic:nvPr/>
                            </pic:nvPicPr>
                            <pic:blipFill rotWithShape="1">
                              <a:blip r:embed="rId18"/>
                              <a:stretch/>
                            </pic:blipFill>
                            <pic:spPr bwMode="auto">
                              <a:xfrm rot="0" flipH="0" flipV="0">
                                <a:off x="0" y="0"/>
                                <a:ext cx="4984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rotation:0;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D805222">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815" w:type="dxa"/>
            <w:vAlign w:val="center"/>
            <w:textDirection w:val="lrTb"/>
            <w:noWrap w:val="false"/>
          </w:tcPr>
          <w:p w14:paraId="0BD86349">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437C7C0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742878D0">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1936" w:type="dxa"/>
            <w:vAlign w:val="center"/>
            <w:textDirection w:val="lrTb"/>
            <w:noWrap w:val="false"/>
          </w:tcPr>
          <w:p w14:paraId="0E99EF48">
            <w:pPr>
              <w:pBdr/>
              <w:spacing w:after="0" w:before="0" w:line="240" w:lineRule="auto"/>
              <w:ind/>
              <w:jc w:val="center"/>
              <w:rPr/>
            </w:pPr>
            <w:r>
              <w:rPr>
                <w:rFonts w:ascii="Times New Roman" w:hAnsi="Times New Roman" w:eastAsia="Times New Roman" w:cs="Times New Roman"/>
                <w:color w:val="000000"/>
                <w:sz w:val="24"/>
              </w:rPr>
              <w:t xml:space="preserve">243,0</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4FA9C6CE">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333" w:type="dxa"/>
            <w:vAlign w:val="center"/>
            <w:textDirection w:val="lrTb"/>
            <w:noWrap w:val="false"/>
          </w:tcPr>
          <w:p w14:paraId="7D9282FA">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3727766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1DDBD075">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1936" w:type="dxa"/>
            <w:vAlign w:val="center"/>
            <w:textDirection w:val="lrTb"/>
            <w:noWrap w:val="false"/>
          </w:tcPr>
          <w:p w14:paraId="19313B1F">
            <w:pPr>
              <w:pBdr/>
              <w:spacing w:after="0" w:before="0" w:line="240" w:lineRule="auto"/>
              <w:ind/>
              <w:jc w:val="center"/>
              <w:rPr/>
            </w:pPr>
            <w:r>
              <w:rPr>
                <w:rFonts w:ascii="Times New Roman" w:hAnsi="Times New Roman" w:eastAsia="Times New Roman" w:cs="Times New Roman"/>
                <w:color w:val="000000"/>
                <w:sz w:val="24"/>
              </w:rPr>
              <w:t xml:space="preserve">13,50</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76D8823D">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333" w:type="dxa"/>
            <w:vAlign w:val="center"/>
            <w:textDirection w:val="lrTb"/>
            <w:noWrap w:val="false"/>
          </w:tcPr>
          <w:p w14:paraId="37501B20">
            <w:pPr>
              <w:pBdr/>
              <w:spacing w:after="0" w:before="0" w:line="240" w:lineRule="auto"/>
              <w:ind/>
              <w:jc w:val="center"/>
              <w:rPr/>
            </w:pPr>
            <w:r>
              <w:rPr>
                <w:rFonts w:ascii="Times New Roman" w:hAnsi="Times New Roman" w:eastAsia="Times New Roman" w:cs="Times New Roman"/>
                <w:color w:val="000000"/>
                <w:sz w:val="24"/>
              </w:rPr>
              <w:t xml:space="preserve">18,00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35BFEBE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78DA8B40">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1936" w:type="dxa"/>
            <w:vAlign w:val="center"/>
            <w:textDirection w:val="lrTb"/>
            <w:noWrap w:val="false"/>
          </w:tcPr>
          <w:p w14:paraId="4C3EFB0B">
            <w:pPr>
              <w:pBdr/>
              <w:spacing w:after="0" w:before="0" w:line="240" w:lineRule="auto"/>
              <w:ind/>
              <w:jc w:val="center"/>
              <w:rPr/>
            </w:pPr>
            <w:r>
              <w:rPr>
                <w:rFonts w:ascii="Times New Roman" w:hAnsi="Times New Roman" w:eastAsia="Times New Roman" w:cs="Times New Roman"/>
                <w:color w:val="000000"/>
                <w:sz w:val="24"/>
              </w:rPr>
              <w:t xml:space="preserve">Hình chữ nhật</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51E888AB">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333" w:type="dxa"/>
            <w:vAlign w:val="center"/>
            <w:textDirection w:val="lrTb"/>
            <w:noWrap w:val="false"/>
          </w:tcPr>
          <w:p w14:paraId="0442C2C9">
            <w:pPr>
              <w:pBdr/>
              <w:spacing w:after="0" w:before="0" w:line="240" w:lineRule="auto"/>
              <w:ind/>
              <w:jc w:val="center"/>
              <w:rPr/>
            </w:pPr>
            <w:r>
              <w:rPr>
                <w:rFonts w:ascii="Times New Roman" w:hAnsi="Times New Roman" w:eastAsia="Times New Roman" w:cs="Times New Roman"/>
                <w:color w:val="000000"/>
                <w:sz w:val="24"/>
              </w:rPr>
              <w:t xml:space="preserve">Tây</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23C298E7">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815" w:type="dxa"/>
            <w:vAlign w:val="center"/>
            <w:textDirection w:val="lrTb"/>
            <w:noWrap w:val="false"/>
          </w:tcPr>
          <w:p w14:paraId="6AB39F13">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0CB3EDC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41687AAA">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84" w:type="dxa"/>
            <w:vAlign w:val="center"/>
            <w:textDirection w:val="lrTb"/>
            <w:noWrap w:val="false"/>
          </w:tcPr>
          <w:p w14:paraId="5C77A2EC">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78D1496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1B6AD207">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584" w:type="dxa"/>
            <w:vAlign w:val="center"/>
            <w:textDirection w:val="lrTb"/>
            <w:noWrap w:val="false"/>
          </w:tcPr>
          <w:p w14:paraId="0C36FDC4">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1295E1B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4FEDB451">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1936" w:type="dxa"/>
            <w:vAlign w:val="center"/>
            <w:textDirection w:val="lrTb"/>
            <w:noWrap w:val="false"/>
          </w:tcPr>
          <w:p w14:paraId="3F1188E7">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25AC2AF2">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333" w:type="dxa"/>
            <w:vAlign w:val="center"/>
            <w:textDirection w:val="lrTb"/>
            <w:noWrap w:val="false"/>
          </w:tcPr>
          <w:p w14:paraId="2D51A64A">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09259A0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31" w:type="dxa"/>
            <w:vAlign w:val="center"/>
            <w:textDirection w:val="lrTb"/>
            <w:noWrap w:val="false"/>
          </w:tcPr>
          <w:p w14:paraId="4597D9A8">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36" w:type="dxa"/>
            <w:vAlign w:val="center"/>
            <w:textDirection w:val="lrTb"/>
            <w:noWrap w:val="false"/>
          </w:tcPr>
          <w:p w14:paraId="54CFC246">
            <w:pPr>
              <w:pBdr/>
              <w:spacing w:after="0" w:before="0" w:line="240" w:lineRule="auto"/>
              <w:ind/>
              <w:jc w:val="center"/>
              <w:rPr/>
            </w:pPr>
            <w:r>
              <w:rPr>
                <w:rFonts w:ascii="Times New Roman" w:hAnsi="Times New Roman" w:eastAsia="Times New Roman" w:cs="Times New Roman"/>
                <w:color w:val="000000"/>
                <w:sz w:val="24"/>
              </w:rPr>
              <w:t xml:space="preserve">Tốt</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14:paraId="507F27B6">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333" w:type="dxa"/>
            <w:vAlign w:val="center"/>
            <w:textDirection w:val="lrTb"/>
            <w:noWrap w:val="false"/>
          </w:tcPr>
          <w:p w14:paraId="23205BEE">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09954AB0">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8815" w:type="dxa"/>
            <w:vAlign w:val="center"/>
            <w:textDirection w:val="lrTb"/>
            <w:noWrap w:val="false"/>
          </w:tcPr>
          <w:p w14:paraId="2140826C">
            <w:pPr>
              <w:pBdr/>
              <w:spacing w:after="0" w:before="0" w:line="240" w:lineRule="auto"/>
              <w:ind/>
              <w:rPr/>
            </w:pPr>
            <w:r>
              <w:rPr>
                <w:rFonts w:ascii="Times New Roman" w:hAnsi="Times New Roman" w:eastAsia="Times New Roman" w:cs="Times New Roman"/>
                <w:b/>
                <w:color w:val="000000"/>
                <w:sz w:val="24"/>
              </w:rPr>
              <w:t xml:space="preserve">Tài sản gắn liền với đất : Khách sạn 10 tầng +  01 tầng hầm</w:t>
            </w:r>
            <w:r/>
          </w:p>
        </w:tc>
      </w:tr>
      <w:tr>
        <w:trPr>
          <w:trHeight w:val="1755"/>
        </w:trPr>
        <w:tc>
          <w:tcPr>
            <w:tcBorders>
              <w:left w:val="single" w:color="000000" w:sz="6" w:space="0"/>
              <w:bottom w:val="single" w:color="000000" w:sz="6" w:space="0"/>
              <w:right w:val="single" w:color="000000" w:sz="6" w:space="0"/>
            </w:tcBorders>
            <w:tcMar>
              <w:left w:w="0" w:type="dxa"/>
              <w:top w:w="0" w:type="dxa"/>
              <w:right w:w="0" w:type="dxa"/>
              <w:bottom w:w="0" w:type="dxa"/>
            </w:tcMar>
            <w:tcW w:w="595" w:type="dxa"/>
            <w:vAlign w:val="center"/>
            <w:textDirection w:val="lrTb"/>
            <w:noWrap w:val="false"/>
          </w:tcPr>
          <w:p w14:paraId="04A0E16F">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815" w:type="dxa"/>
            <w:vAlign w:val="top"/>
            <w:textDirection w:val="lrTb"/>
            <w:noWrap w:val="false"/>
          </w:tcPr>
          <w:p w14:paraId="7C21049B">
            <w:pPr>
              <w:pBdr/>
              <w:spacing w:after="0" w:before="0" w:line="240" w:lineRule="auto"/>
              <w:ind/>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CTXD khách sạn 10 tầng có 1 tầng hầm, có 2 thang máy xây dựng trên 03 thửa đất liền kề 104; 105; 106 cùng chủ tài sản, diện tích xây dựng khoảng 194,4m2, tổng diện</w:t>
            </w:r>
            <w:r>
              <w:rPr>
                <w:rFonts w:ascii="Times New Roman" w:hAnsi="Times New Roman" w:eastAsia="Times New Roman" w:cs="Times New Roman"/>
                <w:color w:val="000000"/>
                <w:sz w:val="24"/>
              </w:rPr>
              <w:t xml:space="preserve"> tích sàn khoảng 2699,3m2, xây dựng năm 2018, ngoại quan còn mới. Công trình đã được chứng nhận quyền sở hữu.</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bl>
    <w:p w14:paraId="71DF5A8A" w14:textId="77777777">
      <w:pPr>
        <w:pBdr/>
        <w:spacing/>
        <w:ind/>
        <w:rPr>
          <w:b/>
          <w:bCs/>
        </w:rPr>
      </w:pPr>
      <w:r>
        <w:rPr>
          <w:b/>
          <w:bCs/>
        </w:rPr>
      </w:r>
      <w:r>
        <w:rPr>
          <w:b/>
          <w:bCs/>
        </w:rPr>
      </w:r>
      <w:r>
        <w:rPr>
          <w:b/>
          <w:bCs/>
        </w:rPr>
      </w:r>
    </w:p>
    <w:p w14:paraId="5BF515F4" w14:textId="1F5BCF4C">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64580722"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0FBE69AC"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6E891E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54A38D3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16CB6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6AD7C83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3292D9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79BD4C9C"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E30F48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699E98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99FDDF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3690D23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DCF0D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37C7B45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35EA7F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F87140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18710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5B4B5F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B59D7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0D8164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7EFD713" w14:textId="77777777">
            <w:pPr>
              <w:widowControl w:val="false"/>
              <w:pBdr/>
              <w:spacing w:line="235" w:lineRule="auto"/>
              <w:ind w:left="144"/>
              <w:rPr>
                <w:lang w:eastAsia="ko-KR"/>
              </w:rPr>
            </w:pPr>
            <w:r>
              <w:rPr>
                <w:lang w:eastAsia="ko-KR"/>
              </w:rPr>
            </w:r>
            <w:r>
              <w:rPr>
                <w:lang w:eastAsia="ko-KR"/>
              </w:rPr>
            </w:r>
            <w:r>
              <w:rPr>
                <w:lang w:eastAsia="ko-KR"/>
              </w:rPr>
            </w:r>
          </w:p>
        </w:tc>
      </w:tr>
    </w:tbl>
    <w:p w14:paraId="26F77C8D" w14:textId="570C5476">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15CA7BEA"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13CEC7CB"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ED37CCD"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EA86D8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7E98F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61AB7A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A7DFC5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8E193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E021D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4413A85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2F0B3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B0BC51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D9481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F92E9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10833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59712E4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0986C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5443778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4DD43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7C6429D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9A66E0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12CCD55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2169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4C23489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A41AB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46D50D8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75BEA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50BBC8AE"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F0E91D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C55CC2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28714D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749FBE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512AC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6CBA2D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D3240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816AE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92B979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509AC29"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1E59F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08881E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ED6EE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1BFD6B8"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79D26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21EEDC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3795918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6353D3F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1F6D02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241477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033918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79C3E8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0184CD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0E58BC93"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7D47070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5E5C6E3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AFC605D"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4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4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4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563469FF">
      <w:pPr>
        <w:pStyle w:val="1045"/>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360" w:lineRule="atLeast"/>
        <w:ind w:right="0"/>
        <w:jc w:val="both"/>
        <w:rPr/>
      </w:pPr>
      <w:r>
        <w:rPr>
          <w:rFonts w:ascii="Times New Roman" w:hAnsi="Times New Roman" w:eastAsia="Times New Roman" w:cs="Times New Roman"/>
          <w:color w:val="000000"/>
          <w:sz w:val="24"/>
        </w:rPr>
        <w:t xml:space="preserve">Giá trị TSĐG được xác định trên cơ sở </w:t>
      </w:r>
      <w:r>
        <w:rPr>
          <w:rFonts w:ascii="Times New Roman" w:hAnsi="Times New Roman" w:eastAsia="Times New Roman" w:cs="Times New Roman"/>
          <w:color w:val="000000"/>
          <w:sz w:val="24"/>
        </w:rPr>
        <w:t xml:space="preserve">Các thửa đất liền kề như một khối thống nhất, không tách rời</w:t>
      </w:r>
      <w:r>
        <w:rPr>
          <w:rFonts w:ascii="Times New Roman" w:hAnsi="Times New Roman" w:eastAsia="Times New Roman" w:cs="Times New Roman"/>
          <w:color w:val="000000"/>
          <w:sz w:val="24"/>
        </w:rPr>
        <w:t xml:space="preserve"> có 01 cạnh tiếp giáp đường  là đường Đỗ Bí, mặt tiền tiếp giáp của các thửa đất tạo ra tiếp giáp đường là 13,5m. Cạnh cò</w:t>
      </w:r>
      <w:r>
        <w:rPr>
          <w:rFonts w:ascii="Times New Roman" w:hAnsi="Times New Roman" w:eastAsia="Times New Roman" w:cs="Times New Roman"/>
          <w:color w:val="000000"/>
          <w:sz w:val="24"/>
        </w:rPr>
        <w:t xml:space="preserve">n lại tiếp giáp với thửa khác.</w:t>
      </w:r>
      <w:r>
        <w:rPr>
          <w:rFonts w:ascii="Times New Roman" w:hAnsi="Times New Roman" w:eastAsia="Times New Roman" w:cs="Times New Roman"/>
          <w:color w:val="000000"/>
          <w:sz w:val="24"/>
        </w:rPr>
        <w:t xml:space="preserve">Kính đề nghị các bên sử dụng chứng thư, báo cáo thẩm định giá này lưu ý.</w:t>
      </w:r>
      <w:r>
        <w:rPr>
          <w:rFonts w:ascii="Times New Roman" w:hAnsi="Times New Roman" w:eastAsia="Times New Roman" w:cs="Times New Roman"/>
          <w:sz w:val="24"/>
        </w:rPr>
      </w:r>
      <w:r/>
    </w:p>
    <w:p w14:paraId="507B6FF6">
      <w:pPr>
        <w:pStyle w:val="1045"/>
        <w:numPr>
          <w:ilvl w:val="0"/>
          <w:numId w:val="3"/>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z w:val="24"/>
        </w:rPr>
        <w:t xml:space="preserve">Công ty Cổ phần Thẩm định và Đầu tư Tài chính Hoa Sen bảo lưu quyền xem xét lại báo cáo định giá nếu các giả định trên được chứng minh là không chính xác.</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4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4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4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4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4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4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4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4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4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4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71 + 73 đường Đỗ Bí, phường  Ngũ Hành Sơn,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r>
            <w:r>
              <w:rPr>
                <w:color w:val="000000" w:themeColor="text1"/>
                <w:sz w:val="22"/>
                <w:szCs w:val="22"/>
              </w:rPr>
              <w:t xml:space="preserve">Đường Đỗ Bí, phường  Ngũ Hành Sơn,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BBEFE4">
            <w:pPr>
              <w:pBdr/>
              <w:spacing/>
              <w:ind/>
              <w:jc w:val="center"/>
              <w:rPr>
                <w:sz w:val="22"/>
                <w:szCs w:val="22"/>
              </w:rPr>
            </w:pPr>
            <w:r>
              <w:rPr>
                <w:color w:val="000000" w:themeColor="text1"/>
                <w:sz w:val="22"/>
                <w:szCs w:val="22"/>
              </w:rPr>
            </w:r>
            <w:r>
              <w:rPr>
                <w:color w:val="000000" w:themeColor="text1"/>
                <w:sz w:val="22"/>
                <w:szCs w:val="22"/>
              </w:rPr>
              <w:t xml:space="preserve">Đường Đỗ Bí, phường  Ngũ Hành Sơn,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BBEFE4">
            <w:pPr>
              <w:pBdr/>
              <w:spacing/>
              <w:ind/>
              <w:jc w:val="center"/>
              <w:rPr>
                <w:sz w:val="22"/>
                <w:szCs w:val="22"/>
              </w:rPr>
            </w:pPr>
            <w:r>
              <w:rPr>
                <w:color w:val="000000" w:themeColor="text1"/>
                <w:sz w:val="22"/>
                <w:szCs w:val="22"/>
              </w:rPr>
            </w:r>
            <w:r>
              <w:rPr>
                <w:color w:val="000000" w:themeColor="text1"/>
                <w:sz w:val="22"/>
                <w:szCs w:val="22"/>
              </w:rPr>
              <w:t xml:space="preserve">Đường Đỗ Bí, phường  Ngũ Hành Sơn, Thành phố Đà Nẵng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https://www.facebook.com/share/p/1CDgTwuAut/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https://batdongsan.com.vn/ban-dat-duong-do-bi-phuong-my-an/ban-cap-162m-kep-cong-sat-goc-phan-liem-cach-en-250m-gia-43-ty-pr44347880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51075AF2">
            <w:pPr>
              <w:pBdr/>
              <w:spacing/>
              <w:ind/>
              <w:jc w:val="center"/>
              <w:rPr>
                <w:sz w:val="22"/>
                <w:szCs w:val="22"/>
              </w:rPr>
            </w:pPr>
            <w:r>
              <w:rPr>
                <w:sz w:val="22"/>
                <w:szCs w:val="22"/>
              </w:rPr>
              <w:t xml:space="preserve">SĐT: </w:t>
            </w:r>
            <w:r>
              <w:rPr>
                <w:color w:val="000000" w:themeColor="text1"/>
                <w:sz w:val="22"/>
                <w:szCs w:val="22"/>
              </w:rPr>
              <w:t xml:space="preserve">0934 862 336</w:t>
            </w:r>
            <w:r>
              <w:rPr>
                <w:sz w:val="22"/>
                <w:szCs w:val="22"/>
              </w:rPr>
              <w:t xml:space="preserve"> </w:t>
            </w:r>
            <w:r>
              <w:rPr>
                <w:sz w:val="22"/>
                <w:szCs w:val="22"/>
              </w:rPr>
              <w:br/>
              <w:t xml:space="preserve">(</w:t>
            </w:r>
            <w:r>
              <w:rPr>
                <w:sz w:val="22"/>
                <w:szCs w:val="22"/>
              </w:rPr>
              <w:t xml:space="preserve">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133039DE">
            <w:pPr>
              <w:pBdr/>
              <w:spacing/>
              <w:ind/>
              <w:jc w:val="center"/>
              <w:rPr>
                <w:sz w:val="22"/>
                <w:szCs w:val="22"/>
              </w:rPr>
            </w:pPr>
            <w:r>
              <w:rPr>
                <w:sz w:val="22"/>
                <w:szCs w:val="22"/>
              </w:rPr>
              <w:t xml:space="preserve">SĐT: </w:t>
            </w:r>
            <w:r>
              <w:rPr>
                <w:color w:val="000000" w:themeColor="text1"/>
                <w:sz w:val="22"/>
                <w:szCs w:val="22"/>
              </w:rPr>
              <w:t xml:space="preserve">0934 862 336</w:t>
            </w:r>
            <w:r>
              <w:rPr>
                <w:sz w:val="22"/>
                <w:szCs w:val="22"/>
              </w:rPr>
              <w:br/>
            </w:r>
            <w:r>
              <w:rPr>
                <w:sz w:val="22"/>
                <w:szCs w:val="22"/>
              </w:rPr>
              <w:t xml:space="preserve">(</w:t>
            </w:r>
            <w:r>
              <w:rPr>
                <w:sz w:val="22"/>
                <w:szCs w:val="22"/>
              </w:rPr>
              <w:t xml:space="preserve">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14028FF">
            <w:pPr>
              <w:pBdr/>
              <w:spacing/>
              <w:ind/>
              <w:jc w:val="center"/>
              <w:rPr>
                <w:sz w:val="22"/>
                <w:szCs w:val="22"/>
              </w:rPr>
            </w:pPr>
            <w:r>
              <w:rPr>
                <w:sz w:val="22"/>
                <w:szCs w:val="22"/>
              </w:rPr>
              <w:t xml:space="preserve">SĐT: </w:t>
            </w:r>
            <w:r>
              <w:rPr>
                <w:color w:val="000000" w:themeColor="text1"/>
                <w:sz w:val="22"/>
                <w:szCs w:val="22"/>
              </w:rPr>
              <w:t xml:space="preserve">0943999943</w:t>
            </w:r>
            <w:r>
              <w:rPr>
                <w:sz w:val="22"/>
                <w:szCs w:val="22"/>
              </w:rPr>
              <w:br/>
            </w:r>
            <w:r>
              <w:rPr>
                <w:sz w:val="22"/>
                <w:szCs w:val="22"/>
              </w:rPr>
              <w:t xml:space="preserve">(</w:t>
            </w:r>
            <w:r>
              <w:rPr>
                <w:sz w:val="22"/>
                <w:szCs w:val="22"/>
              </w:rPr>
              <w:t xml:space="preserve">KIm Thành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Tài sả</w:t>
            </w:r>
            <w:r>
              <w:rPr>
                <w:color w:val="000000" w:themeColor="text1"/>
                <w:sz w:val="22"/>
                <w:szCs w:val="22"/>
              </w:rPr>
              <w:t xml:space="preserve">n tại: Phường Ngũ Hành Sơn, Thành phố Đà Nẵng, khoảng cách ra đường chính Tiếp giáp đường Đỗ Bí, Cách Biển khoảng 200mm, độ rộng đường trước mặt tài sản 5.5m, mặt tiền 13.5m, Tiếp giáp đường Đỗ Bí, Cách Biển khoảng 200m, 16.0533483, 108.2460364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Tài sản tại: Phường</w:t>
            </w:r>
            <w:r>
              <w:rPr>
                <w:color w:val="000000" w:themeColor="text1"/>
                <w:sz w:val="22"/>
                <w:szCs w:val="22"/>
              </w:rPr>
              <w:t xml:space="preserve"> Ngũ Hành Sơn, Thành phố Đà Nẵng, khoảng cách ra đường chính Tiếp giáp đường Đỗ Bí, cách biển khoảng 200mm, độ rộng đường trước mặt tài sản 5.5m, mặt tiền 4.5m, Tiếp giáp đường Đỗ Bí, cách biển khoảng 200m, 16.052987433493293, 108.24617587478691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Tài sản tại: Phường  Ngũ Hành Sơn, Thành phố Đà Nẵng, độ rộng đường trước mặt tài sản 5.5m, mặt tiền 4.5m, </w:t>
            </w:r>
            <w:r>
              <w:rPr>
                <w:color w:val="000000" w:themeColor="text1"/>
                <w:sz w:val="22"/>
                <w:szCs w:val="22"/>
              </w:rPr>
              <w:t xml:space="preserve">Tiếp giáp đường Đỗ Bí, cách biển khoảng 200mm, độ rộng đường trước mặt tài sản 5.5m, mặt tiền 4.5m, Tiếp giáp đường Đỗ Bí, cách biển khoảng 200m</w:t>
            </w:r>
            <w:r>
              <w:rPr>
                <w:color w:val="000000" w:themeColor="text1"/>
                <w:sz w:val="22"/>
                <w:szCs w:val="22"/>
              </w:rPr>
              <w:t xml:space="preserve">16.054417148283797, 108.24571811122418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Tài sản tại: Phường </w:t>
            </w:r>
            <w:r>
              <w:rPr>
                <w:color w:val="000000" w:themeColor="text1"/>
                <w:sz w:val="22"/>
                <w:szCs w:val="22"/>
              </w:rPr>
              <w:t xml:space="preserve">Mỹ An, Quận Ngũ Hành Sơn, Thành phố Đà Nẵng, khoảng cách ra đường chính Tiếp giáp đường Đỗ Bí, cách biển khoảng 250mm, độ rộng đường trước mặt tài sản 5.5m, mặt tiền 4.5m, Tiếp giáp đường Đỗ Bí, cách biển khoảng 250m, 16.054563212325558, 108.24566625515594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73594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73594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73594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6C76A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6C76A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243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162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6C76A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6C76A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6C76A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24.000.000.000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19.500.000.000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42.000.000.000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20.400.000.000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16.575.000.000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35.700.000.000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92A9F5" w14:textId="77777777">
            <w:pPr>
              <w:pBdr/>
              <w:spacing/>
              <w:ind/>
              <w:jc w:val="center"/>
              <w:rPr>
                <w:color w:val="000000" w:themeColor="text1"/>
                <w:sz w:val="22"/>
                <w:szCs w:val="22"/>
              </w:rPr>
            </w:pPr>
            <w:r>
              <w:rPr>
                <w:color w:val="000000"/>
                <w:sz w:val="22"/>
                <w:szCs w:val="22"/>
              </w:rPr>
              <w:t xml:space="preserve"> </w:t>
            </w:r>
            <w:r>
              <w:rPr>
                <w:color w:val="000000" w:themeColor="text1"/>
                <w:sz w:val="22"/>
                <w:szCs w:val="22"/>
              </w:rPr>
              <w:t xml:space="preserve">26.398.826.775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01151E" w14:textId="77777777">
            <w:pPr>
              <w:pBdr/>
              <w:spacing/>
              <w:ind/>
              <w:jc w:val="center"/>
              <w:rPr>
                <w:color w:val="000000" w:themeColor="text1"/>
                <w:sz w:val="22"/>
                <w:szCs w:val="22"/>
              </w:rPr>
            </w:pPr>
            <w:r>
              <w:rPr>
                <w:color w:val="000000" w:themeColor="text1"/>
                <w:sz w:val="22"/>
                <w:szCs w:val="22"/>
              </w:rPr>
              <w:t xml:space="preserve">1.650.106.080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396E38C9">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68C195B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D925E3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33574E4" w14:textId="77777777">
            <w:pPr>
              <w:pBdr/>
              <w:spacing/>
              <w:ind/>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A2F112">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E2664" w14:textId="55DF90C6">
            <w:pPr>
              <w:pBdr/>
              <w:spacing/>
              <w:ind/>
              <w:jc w:val="center"/>
              <w:rPr>
                <w:color w:val="000000"/>
                <w:sz w:val="22"/>
                <w:szCs w:val="22"/>
              </w:rPr>
            </w:pPr>
            <w:r>
              <w:rPr>
                <w:color w:val="000000" w:themeColor="text1"/>
                <w:sz w:val="22"/>
                <w:szCs w:val="22"/>
              </w:rPr>
              <w:t xml:space="preserve">8.488.200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B3C5BD" w14:textId="44344723">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B59D5A" w14:textId="73490B24">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4EE6347"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863881C" w14:textId="77777777">
            <w:pPr>
              <w:pBdr/>
              <w:spacing/>
              <w:ind/>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FBFFB5">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6B2596" w14:textId="3046345D">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8DD13E" w14:textId="1DAF8705">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12B24" w14:textId="1A5B41C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91E224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14:paraId="3416002B"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w:t>
            </w:r>
            <w:r>
              <w:rPr>
                <w:color w:val="000000"/>
                <w:sz w:val="22"/>
                <w:szCs w:val="22"/>
              </w:rPr>
              <w:t xml:space="preserve">hoàn</w:t>
            </w:r>
            <w:r>
              <w:rPr>
                <w:color w:val="000000"/>
                <w:sz w:val="22"/>
                <w:szCs w:val="22"/>
              </w:rPr>
              <w:t xml:space="preserve"> </w:t>
            </w:r>
            <w:r>
              <w:rPr>
                <w:color w:val="000000"/>
                <w:sz w:val="22"/>
                <w:szCs w:val="22"/>
              </w:rPr>
              <w:t xml:space="preserve">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92869A">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D93BEA" w14:textId="179A6C3A">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DC7F76" w14:textId="1A36A81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12AAA8" w14:textId="3DDC3F7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17A6AAB">
            <w:pPr>
              <w:pBdr/>
              <w:spacing/>
              <w:ind/>
              <w:jc w:val="center"/>
              <w:rPr>
                <w:color w:val="000000"/>
                <w:sz w:val="22"/>
                <w:szCs w:val="22"/>
              </w:rPr>
            </w:pPr>
            <w:r>
              <w:rPr>
                <w:color w:val="000000" w:themeColor="text1"/>
                <w:sz w:val="22"/>
                <w:szCs w:val="22"/>
              </w:rPr>
              <w:t xml:space="preserve">18.749.893.920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1F0BC76">
            <w:pPr>
              <w:pBdr/>
              <w:spacing/>
              <w:ind/>
              <w:jc w:val="center"/>
              <w:rPr>
                <w:color w:val="000000"/>
                <w:sz w:val="22"/>
                <w:szCs w:val="22"/>
              </w:rPr>
            </w:pPr>
            <w:r>
              <w:rPr>
                <w:color w:val="000000" w:themeColor="text1"/>
                <w:sz w:val="22"/>
                <w:szCs w:val="22"/>
              </w:rPr>
              <w:t xml:space="preserve">16.575.000.000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BBEAEE2">
            <w:pPr>
              <w:pBdr/>
              <w:spacing/>
              <w:ind/>
              <w:jc w:val="center"/>
              <w:rPr>
                <w:color w:val="000000"/>
                <w:sz w:val="22"/>
                <w:szCs w:val="22"/>
              </w:rPr>
            </w:pPr>
            <w:r>
              <w:rPr>
                <w:color w:val="000000" w:themeColor="text1"/>
                <w:sz w:val="22"/>
                <w:szCs w:val="22"/>
              </w:rPr>
              <w:t xml:space="preserve">35.700.000.000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231.480.172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204.629.630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220.370.370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A2012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A2012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A2012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A2012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A2012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A2012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A2012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A2012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A2012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18.749.893.920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16.575.000.000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35.700.000.000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231.480.172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204.629.630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220.370.370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231.480.172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204.629.630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220.370.370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thương mại, dịch vụ</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-18.518.414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-16.370.370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-17.629.630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212.961.758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188.259.260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202.740.740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212.961.758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188.259.260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202.740.740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D64E5B">
            <w:pPr>
              <w:pBdr/>
              <w:spacing/>
              <w:ind/>
              <w:jc w:val="center"/>
              <w:rPr>
                <w:color w:val="000000"/>
                <w:sz w:val="22"/>
                <w:szCs w:val="22"/>
              </w:rPr>
            </w:pPr>
            <w:r>
              <w:rPr>
                <w:color w:val="000000" w:themeColor="text1"/>
                <w:sz w:val="22"/>
                <w:szCs w:val="22"/>
              </w:rPr>
              <w:t xml:space="preserve">Tài sả</w:t>
            </w:r>
            <w:r>
              <w:rPr>
                <w:color w:val="000000" w:themeColor="text1"/>
                <w:sz w:val="22"/>
                <w:szCs w:val="22"/>
              </w:rPr>
              <w:t xml:space="preserve">n tại: Phường Ngũ Hành Sơn, Thành phố Đà Nẵng, khoảng cách ra đường chính Tiếp giáp đường Đỗ Bí, Cách Biển khoảng 200mm, độ rộng đường trước mặt tài sản 5.5m, mặt tiền 13.5m, Tiếp giáp đường Đỗ Bí, Cách Biển khoảng 200m, 16.0533483, 108.2460364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7460DB">
            <w:pPr>
              <w:pBdr/>
              <w:spacing/>
              <w:ind/>
              <w:jc w:val="center"/>
              <w:rPr>
                <w:color w:val="000000"/>
                <w:sz w:val="22"/>
                <w:szCs w:val="22"/>
              </w:rPr>
            </w:pPr>
            <w:r>
              <w:rPr>
                <w:color w:val="000000" w:themeColor="text1"/>
                <w:sz w:val="22"/>
                <w:szCs w:val="22"/>
              </w:rPr>
              <w:t xml:space="preserve">Tài sản tại: Phường</w:t>
            </w:r>
            <w:r>
              <w:rPr>
                <w:color w:val="000000" w:themeColor="text1"/>
                <w:sz w:val="22"/>
                <w:szCs w:val="22"/>
              </w:rPr>
              <w:t xml:space="preserve"> Ngũ Hành Sơn, Thành phố Đà Nẵng, khoảng cách ra đường chính Tiếp giáp đường Đỗ Bí, cách biển khoảng 200mm, độ rộng đường trước mặt tài sản 5.5m, mặt tiền 4.5m, Tiếp giáp đường Đỗ Bí, cách biển khoảng 200m, 16.052987433493293, 108.24617587478691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B16A0F">
            <w:pPr>
              <w:pBdr/>
              <w:spacing/>
              <w:ind/>
              <w:jc w:val="center"/>
              <w:rPr>
                <w:color w:val="000000"/>
                <w:sz w:val="22"/>
                <w:szCs w:val="22"/>
              </w:rPr>
            </w:pPr>
            <w:r>
              <w:rPr>
                <w:color w:val="000000" w:themeColor="text1"/>
                <w:sz w:val="22"/>
                <w:szCs w:val="22"/>
              </w:rPr>
              <w:t xml:space="preserve">Tài sản tại: Phường  Ngũ Hành Sơn, Thành phố Đà Nẵng, độ rộng đường trước mặt tài sản 5.5m, mặt tiền 4.5m, </w:t>
            </w:r>
            <w:r>
              <w:rPr>
                <w:color w:val="000000" w:themeColor="text1"/>
                <w:sz w:val="22"/>
                <w:szCs w:val="22"/>
              </w:rPr>
              <w:t xml:space="preserve">Tiếp giáp đường Đỗ Bí, cách biển khoảng 200mm, độ rộng đường trước mặt tài sản 5.5m, mặt tiền 4.5m, Tiếp giáp đường Đỗ Bí, cách biển khoảng 200m</w:t>
            </w:r>
            <w:r>
              <w:rPr>
                <w:color w:val="000000" w:themeColor="text1"/>
                <w:sz w:val="22"/>
                <w:szCs w:val="22"/>
              </w:rPr>
              <w:t xml:space="preserve">16.054417148283797, 108.24571811122418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A6B9B9">
            <w:pPr>
              <w:pBdr/>
              <w:spacing/>
              <w:ind/>
              <w:jc w:val="center"/>
              <w:rPr>
                <w:color w:val="000000"/>
                <w:sz w:val="22"/>
                <w:szCs w:val="22"/>
              </w:rPr>
            </w:pPr>
            <w:r>
              <w:rPr>
                <w:color w:val="000000" w:themeColor="text1"/>
                <w:sz w:val="22"/>
                <w:szCs w:val="22"/>
              </w:rPr>
              <w:t xml:space="preserve">Tài sản tại: Phường </w:t>
            </w:r>
            <w:r>
              <w:rPr>
                <w:color w:val="000000" w:themeColor="text1"/>
                <w:sz w:val="22"/>
                <w:szCs w:val="22"/>
              </w:rPr>
              <w:t xml:space="preserve">Mỹ An, Quận Ngũ Hành Sơn, Thành phố Đà Nẵng, khoảng cách ra đường chính Tiếp giáp đường Đỗ Bí, cách biển khoảng 250mm, độ rộng đường trước mặt tài sản 5.5m, mặt tiền 4.5m, Tiếp giáp đường Đỗ Bí, cách biển khoảng 250m, 16.054563212325558, 108.24566625515594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212.961.758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188.259.260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202.740.740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212.961.758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188.259.260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202.740.740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212.961.758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188.259.260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202.740.740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72B7DB">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72B7DB">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72B7DB">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212.961.758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188.259.260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202.740.740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7DF866">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7DF866">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7DF866">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212.961.758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188.259.260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202.740.740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-46.296.034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-40.925.926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-22.037.037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166.665.724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147.333.334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180.703.703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23.148.017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20.462.963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15.425.926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189.813.741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167.796.297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196.129.629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189.813.741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167.796.297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196.129.629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189.813.741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167.796.297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196.129.629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189.813.741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167.796.297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196.129.629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7DF866">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7DF866">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7DF866">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189.813.741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167.796.297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196.129.629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189.813.741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167.796.297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196.129.629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184.579.889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2,84%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-9,09%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6,26%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87.962.465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77.759.259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55.092.593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2CE85B9E">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64B2056" w14:textId="690F7F4F">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B243872" w14:textId="1293DB69">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41.666.431</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36.833.333</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24.240.741</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51A2B77B">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-9,09</w:t>
      </w:r>
      <w:r>
        <w:t xml:space="preserve">% </w:t>
      </w:r>
      <w:r>
        <w:t xml:space="preserve">đến</w:t>
      </w:r>
      <w:r>
        <w:t xml:space="preserve"> </w:t>
      </w:r>
      <w:r>
        <w:t xml:space="preserve">6,26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189.813.741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63.283.901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167.796.297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55.926.506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196.129.629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65.370.005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184.580.412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185.000.000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185.000.000</w:t>
      </w:r>
      <w:r>
        <w:rPr>
          <w:b/>
          <w:bCs/>
          <w:color w:val="000000" w:themeColor="text1"/>
        </w:rPr>
        <w:t xml:space="preserve"> </w:t>
      </w:r>
      <w:r>
        <w:rPr>
          <w:b/>
          <w:bCs/>
        </w:rPr>
        <w:t xml:space="preserve">đồng</w:t>
      </w:r>
      <w:r>
        <w:rPr>
          <w:b/>
          <w:bCs/>
        </w:rPr>
        <w:t xml:space="preserve">/m².</w:t>
      </w:r>
      <w:r>
        <w:rPr>
          <w:b/>
          <w:bCs/>
        </w:rPr>
      </w:r>
      <w:r>
        <w:rPr>
          <w:b/>
          <w:bCs/>
        </w:rPr>
      </w:r>
    </w:p>
    <w:p w14:paraId="4C05BF37" w14:textId="4AC65EF1">
      <w:pPr>
        <w:pStyle w:val="1045"/>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14:paraId="539F806A">
      <w:pPr>
        <w:pBdr>
          <w:top w:val="none" w:color="000000" w:sz="4" w:space="0"/>
          <w:left w:val="none" w:color="000000" w:sz="4" w:space="0"/>
          <w:bottom w:val="none" w:color="000000" w:sz="4" w:space="0"/>
          <w:right w:val="none" w:color="000000" w:sz="4" w:space="0"/>
        </w:pBdr>
        <w:spacing w:after="120" w:before="120" w:line="264" w:lineRule="auto"/>
        <w:ind w:right="0" w:firstLine="0" w:left="357"/>
        <w:jc w:val="both"/>
        <w:rPr/>
      </w:pPr>
      <w:r>
        <w:rPr>
          <w:rFonts w:ascii="Times New Roman" w:hAnsi="Times New Roman" w:eastAsia="Times New Roman" w:cs="Times New Roman"/>
          <w:b/>
          <w:color w:val="000000"/>
          <w:sz w:val="24"/>
        </w:rPr>
        <w:t xml:space="preserve">Công thức xác định giá trị ước tính công trình xây dựng trên đất:</w:t>
      </w:r>
      <w:r/>
    </w:p>
    <w:tbl>
      <w:tblPr>
        <w:tblStyle w:val="1049"/>
        <w:tblInd w:w="630" w:type="dxa"/>
        <w:tblW w:w="465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544"/>
        <w:gridCol w:w="709"/>
        <w:gridCol w:w="2189"/>
        <w:gridCol w:w="610"/>
        <w:gridCol w:w="3302"/>
      </w:tblGrid>
      <w:tr>
        <w:trPr/>
        <w:tc>
          <w:tcPr>
            <w:tcBorders/>
            <w:tcMar>
              <w:left w:w="0" w:type="dxa"/>
              <w:top w:w="0" w:type="dxa"/>
              <w:right w:w="0" w:type="dxa"/>
              <w:bottom w:w="0" w:type="dxa"/>
            </w:tcMar>
            <w:tcW w:w="2544" w:type="dxa"/>
            <w:vAlign w:val="center"/>
            <w:textDirection w:val="lrTb"/>
            <w:noWrap w:val="false"/>
          </w:tcPr>
          <w:p w14:paraId="611CF7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ước tính tài sản thẩm định giá</w:t>
            </w:r>
            <w:r/>
          </w:p>
        </w:tc>
        <w:tc>
          <w:tcPr>
            <w:tcBorders/>
            <w:tcMar>
              <w:left w:w="0" w:type="dxa"/>
              <w:top w:w="0" w:type="dxa"/>
              <w:right w:w="0" w:type="dxa"/>
              <w:bottom w:w="0" w:type="dxa"/>
            </w:tcMar>
            <w:tcW w:w="709" w:type="dxa"/>
            <w:vAlign w:val="center"/>
            <w:textDirection w:val="lrTb"/>
            <w:noWrap w:val="false"/>
          </w:tcPr>
          <w:p w14:paraId="2C053C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2189" w:type="dxa"/>
            <w:vAlign w:val="center"/>
            <w:textDirection w:val="lrTb"/>
            <w:noWrap w:val="false"/>
          </w:tcPr>
          <w:p w14:paraId="13DBFE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w:t>
            </w:r>
            <w:r/>
          </w:p>
          <w:p w14:paraId="09B877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(đã bao gồm lợi nhuận của nhà sản xuất/ nhà đầu tư)</w:t>
            </w:r>
            <w:r/>
          </w:p>
        </w:tc>
        <w:tc>
          <w:tcPr>
            <w:tcBorders/>
            <w:tcMar>
              <w:left w:w="0" w:type="dxa"/>
              <w:top w:w="0" w:type="dxa"/>
              <w:right w:w="0" w:type="dxa"/>
              <w:bottom w:w="0" w:type="dxa"/>
            </w:tcMar>
            <w:tcW w:w="610" w:type="dxa"/>
            <w:vAlign w:val="center"/>
            <w:textDirection w:val="lrTb"/>
            <w:noWrap w:val="false"/>
          </w:tcPr>
          <w:p w14:paraId="6756FC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0" w:type="dxa"/>
              <w:top w:w="0" w:type="dxa"/>
              <w:right w:w="0" w:type="dxa"/>
              <w:bottom w:w="0" w:type="dxa"/>
            </w:tcMar>
            <w:tcW w:w="3302" w:type="dxa"/>
            <w:vAlign w:val="center"/>
            <w:textDirection w:val="lrTb"/>
            <w:noWrap w:val="false"/>
          </w:tcPr>
          <w:p w14:paraId="579A45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giá trị hao mòn của tài sản thẩm định giá</w:t>
            </w:r>
            <w:r/>
          </w:p>
          <w:p w14:paraId="6FD4E3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(không bao gồm phần giá trị hao mòn chức năng của tài sản thẩm định giá đã được phản ánh trong chi phí thay thế</w:t>
            </w:r>
            <w:r/>
          </w:p>
        </w:tc>
      </w:tr>
    </w:tbl>
    <w:p w14:paraId="43BBEAF7">
      <w:pPr>
        <w:pBdr>
          <w:top w:val="none" w:color="000000" w:sz="4" w:space="0"/>
          <w:left w:val="none" w:color="000000" w:sz="4" w:space="0"/>
          <w:bottom w:val="none" w:color="000000" w:sz="4" w:space="0"/>
          <w:right w:val="none" w:color="000000" w:sz="4" w:space="0"/>
        </w:pBdr>
        <w:spacing w:after="120" w:before="120" w:line="264" w:lineRule="auto"/>
        <w:ind w:right="0" w:firstLine="0" w:left="284"/>
        <w:jc w:val="both"/>
        <w:rPr/>
      </w:pPr>
      <w:r>
        <w:rPr>
          <w:rFonts w:ascii="Times New Roman" w:hAnsi="Times New Roman" w:eastAsia="Times New Roman" w:cs="Times New Roman"/>
          <w:b/>
          <w:color w:val="000000"/>
          <w:sz w:val="24"/>
        </w:rPr>
        <w:t xml:space="preserve"> </w:t>
      </w:r>
      <w:r/>
    </w:p>
    <w:p w14:paraId="5B1F10EE">
      <w:pPr>
        <w:numPr>
          <w:ilvl w:val="0"/>
          <w:numId w:val="43"/>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chi phí thay thế</w:t>
      </w:r>
      <w:r/>
    </w:p>
    <w:p w14:paraId="6BAE5300">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Khách sạn 10 tầng + 1 tầng hầm, cân nhắc và xem xét với mức độ hoàn thiện của công trình xây dựng hiện có, Tổ thẩm định nhận thấy đơn giá vận dụng theo Quyết định số 409/QĐ-BXD ngày 11 thá</w:t>
      </w:r>
      <w:r>
        <w:rPr>
          <w:rFonts w:ascii="Times New Roman" w:hAnsi="Times New Roman" w:eastAsia="Times New Roman" w:cs="Times New Roman"/>
          <w:color w:val="000000"/>
          <w:sz w:val="24"/>
        </w:rPr>
        <w:t xml:space="preserve">ng 4 năm 2025 của Bộ Xây dựng về việc công bố suất vốn đầu tư xây dựng và giá xây dựng tổng hợp bộ phận kết cấu công trình năm 2024 là khá phù hợp với thị trường, theo đó: </w:t>
      </w:r>
      <w:r/>
    </w:p>
    <w:p w14:paraId="1B2B15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i/>
          <w:color w:val="000000"/>
          <w:sz w:val="24"/>
        </w:rPr>
        <w:t xml:space="preserve">Công trình đầu tư xây dựng Trụ sở, văn phòng làm việc từ  </w:t>
      </w:r>
      <w:r>
        <w:rPr>
          <w:rFonts w:ascii="Times New Roman" w:hAnsi="Times New Roman" w:eastAsia="Times New Roman" w:cs="Times New Roman"/>
          <w:i/>
          <w:color w:val="000000"/>
          <w:sz w:val="24"/>
          <w:highlight w:val="white"/>
        </w:rPr>
        <w:t xml:space="preserve">7 &lt; Số</w:t>
      </w:r>
      <w:r>
        <w:rPr>
          <w:rFonts w:ascii="Times New Roman" w:hAnsi="Times New Roman" w:eastAsia="Times New Roman" w:cs="Times New Roman"/>
          <w:i/>
          <w:color w:val="000000"/>
          <w:sz w:val="24"/>
          <w:highlight w:val="white"/>
        </w:rPr>
        <w:t xml:space="preserve"> tầng ≤ 11,  có 01 </w:t>
      </w:r>
      <w:r>
        <w:rPr>
          <w:rFonts w:ascii="Times New Roman" w:hAnsi="Times New Roman" w:eastAsia="Times New Roman" w:cs="Times New Roman"/>
          <w:i/>
          <w:color w:val="000000"/>
          <w:sz w:val="24"/>
          <w:highlight w:val="white"/>
        </w:rPr>
        <w:t xml:space="preserve">tầng </w:t>
      </w:r>
      <w:r>
        <w:rPr>
          <w:rFonts w:ascii="Times New Roman" w:hAnsi="Times New Roman" w:eastAsia="Times New Roman" w:cs="Times New Roman"/>
          <w:i/>
          <w:color w:val="000000"/>
          <w:sz w:val="24"/>
        </w:rPr>
        <w:t xml:space="preserve">hầm là 12.635.000 đồng/m² sàn, hệ số vùng 3 – TP Đà Nẵng là 1,032 tương đương đơn giá: 12.073.444 đồng/m</w:t>
      </w:r>
      <w:r>
        <w:rPr>
          <w:rFonts w:ascii="Times New Roman" w:hAnsi="Times New Roman" w:eastAsia="Times New Roman" w:cs="Times New Roman"/>
          <w:i/>
          <w:iCs/>
          <w:color w:val="000000"/>
          <w:sz w:val="24"/>
        </w:rPr>
        <w:t xml:space="preserve">²</w:t>
      </w:r>
      <w:r>
        <w:rPr>
          <w:rFonts w:ascii="Times New Roman" w:hAnsi="Times New Roman" w:eastAsia="Times New Roman" w:cs="Times New Roman"/>
          <w:i/>
          <w:iCs/>
          <w:color w:val="000000"/>
          <w:sz w:val="24"/>
        </w:rPr>
        <w:t xml:space="preserve"> (chưa bao gồm VAT). </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980"/>
        <w:gridCol w:w="1984"/>
        <w:gridCol w:w="2975"/>
        <w:gridCol w:w="2409"/>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14:paraId="25F380E7">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29090915">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14:paraId="155C975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628EBB9F">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14:paraId="4BEDF89D">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14:paraId="5F603F8B">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val="false"/>
          </w:tcPr>
          <w:p w14:paraId="2EF41E2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val="false"/>
          </w:tcPr>
          <w:p w14:paraId="51829DB4">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80" w:type="dxa"/>
            <w:vAlign w:val="center"/>
            <w:textDirection w:val="lrTb"/>
            <w:noWrap w:val="false"/>
          </w:tcPr>
          <w:p w14:paraId="1C181447">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Khách sạn 10 tầng + 1 tầng hầm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14:paraId="23752EF2">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2.699,3</w:t>
            </w:r>
            <w:r/>
          </w:p>
        </w:tc>
        <w:tc>
          <w:tcPr>
            <w:tcBorders>
              <w:bottom w:val="single" w:color="000000" w:sz="8" w:space="0"/>
              <w:right w:val="single" w:color="000000" w:sz="8" w:space="0"/>
            </w:tcBorders>
            <w:tcMar>
              <w:left w:w="108" w:type="dxa"/>
              <w:top w:w="0" w:type="dxa"/>
              <w:right w:w="108" w:type="dxa"/>
              <w:bottom w:w="0" w:type="dxa"/>
            </w:tcMar>
            <w:tcW w:w="2975" w:type="dxa"/>
            <w:vAlign w:val="center"/>
            <w:textDirection w:val="lrTb"/>
            <w:noWrap/>
          </w:tcPr>
          <w:p w14:paraId="6E2FBBB5">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12.073.444</w:t>
            </w:r>
            <w:r/>
          </w:p>
        </w:tc>
        <w:tc>
          <w:tcPr>
            <w:tcBorders>
              <w:bottom w:val="single" w:color="000000" w:sz="8" w:space="0"/>
              <w:right w:val="single" w:color="000000" w:sz="8" w:space="0"/>
            </w:tcBorders>
            <w:tcMar>
              <w:left w:w="108" w:type="dxa"/>
              <w:top w:w="0" w:type="dxa"/>
              <w:right w:w="108" w:type="dxa"/>
              <w:bottom w:w="0" w:type="dxa"/>
            </w:tcMar>
            <w:tcW w:w="2409" w:type="dxa"/>
            <w:vAlign w:val="center"/>
            <w:textDirection w:val="lrTb"/>
            <w:noWrap/>
          </w:tcPr>
          <w:p w14:paraId="6B5CEBBF">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32.589.847.389</w:t>
            </w:r>
            <w:r/>
          </w:p>
        </w:tc>
      </w:tr>
    </w:tbl>
    <w:p w14:paraId="47224DED">
      <w:pPr>
        <w:numPr>
          <w:ilvl w:val="0"/>
          <w:numId w:val="44"/>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14:paraId="7A28F00C">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584A4132">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quả/Tuổi đời kinh tế</w:t>
      </w:r>
      <w:r/>
    </w:p>
    <w:p w14:paraId="3EE8FC39">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Theo thông tin khách hàng cung cấp, Công trình xây dựng năm 2018, do đó, Tổ thẩm định ước tính tuổi đời hiệu quả của công trình là khoảng 7 năm.</w:t>
      </w:r>
      <w:r/>
    </w:p>
    <w:p w14:paraId="7302DB2B">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pacing w:val="2"/>
          <w:sz w:val="24"/>
        </w:rPr>
        <w:t xml:space="preserve">ông trình, Tổ thẩm định xác định tuổi đời kinh tế của tài sản thẩm định là 50 năm</w:t>
      </w:r>
      <w:r>
        <w:rPr>
          <w:rFonts w:ascii="Times New Roman" w:hAnsi="Times New Roman" w:eastAsia="Times New Roman" w:cs="Times New Roman"/>
          <w:color w:val="000000"/>
          <w:sz w:val="24"/>
        </w:rPr>
        <w:t xml:space="preserve">.</w:t>
      </w:r>
      <w:r/>
    </w:p>
    <w:tbl>
      <w:tblPr>
        <w:tblStyle w:val="104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2257"/>
        <w:gridCol w:w="1664"/>
        <w:gridCol w:w="1360"/>
        <w:gridCol w:w="1360"/>
        <w:gridCol w:w="1356"/>
        <w:gridCol w:w="1356"/>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14:paraId="2CCB8829">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14:paraId="3F5CBA3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0" w:type="dxa"/>
            <w:vAlign w:val="center"/>
            <w:textDirection w:val="lrTb"/>
            <w:noWrap w:val="false"/>
          </w:tcPr>
          <w:p w14:paraId="77223DAF">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0" w:type="dxa"/>
            <w:vAlign w:val="center"/>
            <w:textDirection w:val="lrTb"/>
            <w:noWrap w:val="false"/>
          </w:tcPr>
          <w:p w14:paraId="4C5A6640">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56" w:type="dxa"/>
            <w:vAlign w:val="center"/>
            <w:textDirection w:val="lrTb"/>
            <w:noWrap w:val="false"/>
          </w:tcPr>
          <w:p w14:paraId="084F7FB2">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56" w:type="dxa"/>
            <w:vAlign w:val="top"/>
            <w:textDirection w:val="lrTb"/>
            <w:noWrap w:val="false"/>
          </w:tcPr>
          <w:p w14:paraId="079B32E1">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CLCL(%)</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257" w:type="dxa"/>
            <w:vAlign w:val="center"/>
            <w:textDirection w:val="lrTb"/>
            <w:noWrap w:val="false"/>
          </w:tcPr>
          <w:p w14:paraId="1D5B9ED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both"/>
              <w:rPr/>
            </w:pPr>
            <w:r>
              <w:rPr>
                <w:rFonts w:ascii="Times New Roman" w:hAnsi="Times New Roman" w:eastAsia="Times New Roman" w:cs="Times New Roman"/>
                <w:color w:val="000000"/>
                <w:sz w:val="24"/>
              </w:rPr>
              <w:t xml:space="preserve">Khách sạn 10 tầng + 1 tầng hầm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4" w:type="dxa"/>
            <w:vAlign w:val="center"/>
            <w:textDirection w:val="lrTb"/>
            <w:noWrap w:val="false"/>
          </w:tcPr>
          <w:p w14:paraId="074F23DE">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2025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0" w:type="dxa"/>
            <w:vAlign w:val="center"/>
            <w:textDirection w:val="lrTb"/>
            <w:noWrap w:val="false"/>
          </w:tcPr>
          <w:p w14:paraId="110AA3B8">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0" w:type="dxa"/>
            <w:vAlign w:val="center"/>
            <w:textDirection w:val="lrTb"/>
            <w:noWrap w:val="false"/>
          </w:tcPr>
          <w:p w14:paraId="0340276A">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6" w:type="dxa"/>
            <w:vAlign w:val="center"/>
            <w:textDirection w:val="lrTb"/>
            <w:noWrap w:val="false"/>
          </w:tcPr>
          <w:p w14:paraId="0BE1920D">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56" w:type="dxa"/>
            <w:vAlign w:val="center"/>
            <w:textDirection w:val="lrTb"/>
            <w:noWrap w:val="false"/>
          </w:tcPr>
          <w:p w14:paraId="5AC10A71">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86%</w:t>
            </w:r>
            <w:r/>
          </w:p>
        </w:tc>
      </w:tr>
    </w:tbl>
    <w:p w14:paraId="0DCCBF7D">
      <w:pPr>
        <w:numPr>
          <w:ilvl w:val="0"/>
          <w:numId w:val="45"/>
        </w:numPr>
        <w:pBdr>
          <w:top w:val="none" w:color="000000" w:sz="4" w:space="0"/>
          <w:left w:val="none" w:color="000000" w:sz="4" w:space="0"/>
          <w:bottom w:val="none" w:color="000000" w:sz="4" w:space="0"/>
          <w:right w:val="none" w:color="000000" w:sz="4" w:space="0"/>
        </w:pBdr>
        <w:spacing w:after="120" w:before="240" w:line="360"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rPr>
          <w:rFonts w:ascii="Times New Roman" w:hAnsi="Times New Roman" w:eastAsia="Times New Roman" w:cs="Times New Roman"/>
          <w:sz w:val="24"/>
        </w:rPr>
      </w: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14:paraId="0EE0C4E9" w14:textId="77777777">
            <w:pPr>
              <w:pBdr/>
              <w:spacing w:after="60" w:before="60"/>
              <w:ind/>
              <w:jc w:val="center"/>
              <w:rPr>
                <w:b/>
                <w:bCs/>
                <w:sz w:val="22"/>
                <w:szCs w:val="22"/>
              </w:rPr>
            </w:pPr>
            <w:r>
              <w:rPr>
                <w:b/>
                <w:bCs/>
                <w:sz w:val="22"/>
                <w:szCs w:val="22"/>
              </w:rPr>
              <w:t xml:space="preserve">Tài</w:t>
            </w:r>
            <w:r>
              <w:rPr>
                <w:b/>
                <w:bCs/>
                <w:sz w:val="22"/>
                <w:szCs w:val="22"/>
              </w:rPr>
              <w:t xml:space="preserve"> </w:t>
            </w:r>
            <w:r>
              <w:rPr>
                <w:b/>
                <w:bCs/>
                <w:sz w:val="22"/>
                <w:szCs w:val="22"/>
              </w:rPr>
              <w:t xml:space="preserve">sản</w:t>
            </w:r>
            <w:r>
              <w:rPr>
                <w:b/>
                <w:bCs/>
                <w:sz w:val="22"/>
                <w:szCs w:val="22"/>
              </w:rPr>
            </w:r>
            <w:r>
              <w:rPr>
                <w:b/>
                <w:bCs/>
                <w:sz w:val="22"/>
                <w:szCs w:val="22"/>
              </w:rPr>
            </w:r>
          </w:p>
        </w:tc>
        <w:tc>
          <w:tcPr>
            <w:shd w:val="clear" w:color="000000" w:fill="ffffff"/>
            <w:tcBorders/>
            <w:tcW w:w="1275" w:type="dxa"/>
            <w:vAlign w:val="center"/>
            <w:textDirection w:val="lrTb"/>
            <w:noWrap w:val="false"/>
          </w:tcPr>
          <w:p w14:paraId="5FEEE347" w14:textId="77777777">
            <w:pPr>
              <w:pBdr/>
              <w:spacing w:after="60" w:before="60"/>
              <w:ind/>
              <w:jc w:val="center"/>
              <w:rPr>
                <w:b/>
                <w:bCs/>
                <w:sz w:val="22"/>
                <w:szCs w:val="22"/>
              </w:rPr>
            </w:pPr>
            <w:r>
              <w:rPr>
                <w:b/>
                <w:bCs/>
                <w:sz w:val="22"/>
                <w:szCs w:val="22"/>
              </w:rPr>
              <w:t xml:space="preserve">Diện</w:t>
            </w:r>
            <w:r>
              <w:rPr>
                <w:b/>
                <w:bCs/>
                <w:sz w:val="22"/>
                <w:szCs w:val="22"/>
              </w:rPr>
              <w:t xml:space="preserve"> </w:t>
            </w:r>
            <w:r>
              <w:rPr>
                <w:b/>
                <w:bCs/>
                <w:sz w:val="22"/>
                <w:szCs w:val="22"/>
              </w:rPr>
              <w:t xml:space="preserve">tích</w:t>
            </w:r>
            <w:r>
              <w:rPr>
                <w:b/>
                <w:bCs/>
                <w:sz w:val="22"/>
                <w:szCs w:val="22"/>
              </w:rPr>
              <w:t xml:space="preserve"> </w:t>
            </w:r>
            <w:r>
              <w:rPr>
                <w:b/>
                <w:bCs/>
                <w:sz w:val="22"/>
                <w:szCs w:val="22"/>
              </w:rPr>
              <w:t xml:space="preserve">sàn</w:t>
            </w:r>
            <w:r>
              <w:rPr>
                <w:b/>
                <w:bCs/>
                <w:sz w:val="22"/>
                <w:szCs w:val="22"/>
              </w:rPr>
              <w:t xml:space="preserve"> (m²)</w:t>
            </w:r>
            <w:r>
              <w:rPr>
                <w:b/>
                <w:bCs/>
                <w:sz w:val="22"/>
                <w:szCs w:val="22"/>
              </w:rPr>
            </w:r>
            <w:r>
              <w:rPr>
                <w:b/>
                <w:bCs/>
                <w:sz w:val="22"/>
                <w:szCs w:val="22"/>
              </w:rPr>
            </w:r>
          </w:p>
        </w:tc>
        <w:tc>
          <w:tcPr>
            <w:shd w:val="clear" w:color="000000" w:fill="ffffff"/>
            <w:tcBorders/>
            <w:tcW w:w="1560" w:type="dxa"/>
            <w:vAlign w:val="center"/>
            <w:textDirection w:val="lrTb"/>
            <w:noWrap w:val="false"/>
          </w:tcPr>
          <w:p w14:paraId="6A920351" w14:textId="77777777">
            <w:pPr>
              <w:pBdr/>
              <w:spacing w:after="60" w:before="60"/>
              <w:ind/>
              <w:jc w:val="center"/>
              <w:rPr>
                <w:b/>
                <w:bCs/>
                <w:sz w:val="22"/>
                <w:szCs w:val="22"/>
              </w:rPr>
            </w:pPr>
            <w:r>
              <w:rPr>
                <w:b/>
                <w:bCs/>
                <w:sz w:val="22"/>
                <w:szCs w:val="22"/>
              </w:rPr>
              <w:t xml:space="preserve">Đơn</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xây</w:t>
            </w:r>
            <w:r>
              <w:rPr>
                <w:b/>
                <w:bCs/>
                <w:sz w:val="22"/>
                <w:szCs w:val="22"/>
              </w:rPr>
              <w:t xml:space="preserve"> </w:t>
            </w:r>
            <w:r>
              <w:rPr>
                <w:b/>
                <w:bCs/>
                <w:sz w:val="22"/>
                <w:szCs w:val="22"/>
              </w:rPr>
              <w:t xml:space="preserve">dựng</w:t>
            </w:r>
            <w:r>
              <w:rPr>
                <w:b/>
                <w:bCs/>
                <w:sz w:val="22"/>
                <w:szCs w:val="22"/>
              </w:rPr>
              <w:t xml:space="preserve"> </w:t>
            </w:r>
            <w:r>
              <w:rPr>
                <w:b/>
                <w:bCs/>
                <w:sz w:val="22"/>
                <w:szCs w:val="22"/>
              </w:rPr>
              <w:t xml:space="preserve">mới</w:t>
            </w:r>
            <w:r>
              <w:rPr>
                <w:b/>
                <w:bCs/>
                <w:sz w:val="22"/>
                <w:szCs w:val="22"/>
              </w:rPr>
              <w:t xml:space="preserve"> (</w:t>
            </w:r>
            <w:r>
              <w:rPr>
                <w:b/>
                <w:bCs/>
                <w:sz w:val="22"/>
                <w:szCs w:val="22"/>
              </w:rPr>
              <w:t xml:space="preserve">đồng</w:t>
            </w:r>
            <w:r>
              <w:rPr>
                <w:b/>
                <w:bCs/>
                <w:sz w:val="22"/>
                <w:szCs w:val="22"/>
              </w:rPr>
              <w:t xml:space="preserve">/m² </w:t>
            </w:r>
            <w:r>
              <w:rPr>
                <w:b/>
                <w:bCs/>
                <w:sz w:val="22"/>
                <w:szCs w:val="22"/>
              </w:rPr>
              <w:t xml:space="preserve">sàn</w:t>
            </w:r>
            <w:r>
              <w:rPr>
                <w:b/>
                <w:bCs/>
                <w:sz w:val="22"/>
                <w:szCs w:val="22"/>
              </w:rPr>
              <w:t xml:space="preserve">)</w:t>
            </w:r>
            <w:r>
              <w:rPr>
                <w:b/>
                <w:bCs/>
                <w:sz w:val="22"/>
                <w:szCs w:val="22"/>
              </w:rPr>
            </w:r>
            <w:r>
              <w:rPr>
                <w:b/>
                <w:bCs/>
                <w:sz w:val="22"/>
                <w:szCs w:val="22"/>
              </w:rPr>
            </w:r>
          </w:p>
        </w:tc>
        <w:tc>
          <w:tcPr>
            <w:shd w:val="clear" w:color="000000" w:fill="ffffff"/>
            <w:tcBorders/>
            <w:tcW w:w="1701" w:type="dxa"/>
            <w:vAlign w:val="center"/>
            <w:textDirection w:val="lrTb"/>
            <w:noWrap w:val="false"/>
          </w:tcPr>
          <w:p w14:paraId="7E96232C" w14:textId="77777777">
            <w:pPr>
              <w:pBdr/>
              <w:spacing w:after="60" w:before="60"/>
              <w:ind/>
              <w:jc w:val="center"/>
              <w:rPr>
                <w:b/>
                <w:bCs/>
                <w:sz w:val="22"/>
                <w:szCs w:val="22"/>
              </w:rPr>
            </w:pPr>
            <w:r>
              <w:rPr>
                <w:b/>
                <w:bCs/>
                <w:sz w:val="22"/>
                <w:szCs w:val="22"/>
              </w:rPr>
              <w:t xml:space="preserve">Chi </w:t>
            </w:r>
            <w:r>
              <w:rPr>
                <w:b/>
                <w:bCs/>
                <w:sz w:val="22"/>
                <w:szCs w:val="22"/>
              </w:rPr>
              <w:t xml:space="preserve">phí</w:t>
            </w:r>
            <w:r>
              <w:rPr>
                <w:b/>
                <w:bCs/>
                <w:sz w:val="22"/>
                <w:szCs w:val="22"/>
              </w:rPr>
              <w:t xml:space="preserve"> </w:t>
            </w:r>
            <w:r>
              <w:rPr>
                <w:b/>
                <w:bCs/>
                <w:sz w:val="22"/>
                <w:szCs w:val="22"/>
              </w:rPr>
              <w:t xml:space="preserve">thay</w:t>
            </w:r>
            <w:r>
              <w:rPr>
                <w:b/>
                <w:bCs/>
                <w:sz w:val="22"/>
                <w:szCs w:val="22"/>
              </w:rPr>
              <w:t xml:space="preserve"> </w:t>
            </w:r>
            <w:r>
              <w:rPr>
                <w:b/>
                <w:bCs/>
                <w:sz w:val="22"/>
                <w:szCs w:val="22"/>
              </w:rPr>
              <w:t xml:space="preserve">thế</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139" w:type="dxa"/>
            <w:vAlign w:val="center"/>
            <w:textDirection w:val="lrTb"/>
            <w:noWrap w:val="false"/>
          </w:tcPr>
          <w:p w14:paraId="60D04CA3" w14:textId="77777777">
            <w:pPr>
              <w:pBdr/>
              <w:spacing w:after="60" w:before="60"/>
              <w:ind/>
              <w:jc w:val="center"/>
              <w:rPr>
                <w:b/>
                <w:bCs/>
                <w:sz w:val="22"/>
                <w:szCs w:val="22"/>
              </w:rPr>
            </w:pPr>
            <w:r>
              <w:rPr>
                <w:b/>
                <w:bCs/>
                <w:sz w:val="22"/>
                <w:szCs w:val="22"/>
              </w:rPr>
              <w:t xml:space="preserve">Tỷ</w:t>
            </w:r>
            <w:r>
              <w:rPr>
                <w:b/>
                <w:bCs/>
                <w:sz w:val="22"/>
                <w:szCs w:val="22"/>
              </w:rPr>
              <w:t xml:space="preserve"> </w:t>
            </w:r>
            <w:r>
              <w:rPr>
                <w:b/>
                <w:bCs/>
                <w:sz w:val="22"/>
                <w:szCs w:val="22"/>
              </w:rPr>
              <w:t xml:space="preserve">lệ</w:t>
            </w:r>
            <w:r>
              <w:rPr>
                <w:b/>
                <w:bCs/>
                <w:sz w:val="22"/>
                <w:szCs w:val="22"/>
              </w:rPr>
              <w:t xml:space="preserve"> hao </w:t>
            </w:r>
            <w:r>
              <w:rPr>
                <w:b/>
                <w:bCs/>
                <w:sz w:val="22"/>
                <w:szCs w:val="22"/>
              </w:rPr>
              <w:t xml:space="preserve">mòn</w:t>
            </w:r>
            <w:r>
              <w:rPr>
                <w:b/>
                <w:bCs/>
                <w:sz w:val="22"/>
                <w:szCs w:val="22"/>
              </w:rPr>
              <w:t xml:space="preserve"> (%)</w:t>
            </w:r>
            <w:r>
              <w:rPr>
                <w:b/>
                <w:bCs/>
                <w:sz w:val="22"/>
                <w:szCs w:val="22"/>
              </w:rPr>
            </w:r>
            <w:r>
              <w:rPr>
                <w:b/>
                <w:bCs/>
                <w:sz w:val="22"/>
                <w:szCs w:val="22"/>
              </w:rPr>
            </w:r>
          </w:p>
        </w:tc>
        <w:tc>
          <w:tcPr>
            <w:shd w:val="clear" w:color="000000" w:fill="ffffff"/>
            <w:tcBorders/>
            <w:tcW w:w="1559" w:type="dxa"/>
            <w:vAlign w:val="center"/>
            <w:textDirection w:val="lrTb"/>
            <w:noWrap w:val="false"/>
          </w:tcPr>
          <w:p w14:paraId="3218FA95" w14:textId="77777777">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hao </w:t>
            </w:r>
            <w:r>
              <w:rPr>
                <w:b/>
                <w:bCs/>
                <w:sz w:val="22"/>
                <w:szCs w:val="22"/>
              </w:rPr>
              <w:t xml:space="preserve">mòn</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968" w:type="dxa"/>
            <w:vAlign w:val="center"/>
            <w:textDirection w:val="lrTb"/>
            <w:noWrap w:val="false"/>
          </w:tcPr>
          <w:p w14:paraId="0351F927" w14:textId="77777777">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tại</w:t>
            </w:r>
            <w:r>
              <w:rPr>
                <w:b/>
                <w:bCs/>
                <w:sz w:val="22"/>
                <w:szCs w:val="22"/>
              </w:rPr>
              <w:t xml:space="preserve"> </w:t>
            </w:r>
            <w:r>
              <w:rPr>
                <w:b/>
                <w:bCs/>
                <w:sz w:val="22"/>
                <w:szCs w:val="22"/>
              </w:rPr>
              <w:t xml:space="preserve">thời</w:t>
            </w:r>
            <w:r>
              <w:rPr>
                <w:b/>
                <w:bCs/>
                <w:sz w:val="22"/>
                <w:szCs w:val="22"/>
              </w:rPr>
              <w:t xml:space="preserve"> </w:t>
            </w:r>
            <w:r>
              <w:rPr>
                <w:b/>
                <w:bCs/>
                <w:sz w:val="22"/>
                <w:szCs w:val="22"/>
              </w:rPr>
              <w:t xml:space="preserve">điểm</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14:paraId="1A30FA8C" w14:textId="77777777">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14:paraId="64089011" w14:textId="77777777">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14:paraId="378BD9C2" w14:textId="77777777">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14:paraId="0B2DAB71" w14:textId="77777777">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14:paraId="7216B7DC" w14:textId="77777777">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14:paraId="6C985A65" w14:textId="77777777">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14:paraId="2BD0CF0D" w14:textId="77777777">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14:paraId="20626213" w14:textId="77777777">
            <w:pPr>
              <w:pBdr/>
              <w:spacing w:after="60" w:before="60"/>
              <w:ind/>
              <w:jc w:val="center"/>
              <w:rPr>
                <w:sz w:val="22"/>
                <w:szCs w:val="22"/>
              </w:rPr>
            </w:pPr>
            <w:r>
              <w:rPr>
                <w:sz w:val="22"/>
                <w:szCs w:val="22"/>
              </w:rPr>
              <w:t xml:space="preserve">Khách sạn 10 tầng + 1 tầng hầm</w:t>
            </w:r>
            <w:r>
              <w:rPr>
                <w:sz w:val="22"/>
                <w:szCs w:val="22"/>
              </w:rPr>
            </w:r>
            <w:r>
              <w:rPr>
                <w:sz w:val="22"/>
                <w:szCs w:val="22"/>
              </w:rPr>
            </w:r>
          </w:p>
        </w:tc>
        <w:tc>
          <w:tcPr>
            <w:tcBorders/>
            <w:tcW w:w="1275" w:type="dxa"/>
            <w:vAlign w:val="center"/>
            <w:textDirection w:val="lrTb"/>
            <w:noWrap/>
          </w:tcPr>
          <w:p w14:paraId="79594625" w14:textId="77777777">
            <w:pPr>
              <w:pBdr/>
              <w:spacing w:after="60" w:before="60"/>
              <w:ind/>
              <w:jc w:val="center"/>
              <w:rPr>
                <w:sz w:val="22"/>
                <w:szCs w:val="22"/>
              </w:rPr>
            </w:pPr>
            <w:r>
              <w:rPr>
                <w:sz w:val="22"/>
                <w:szCs w:val="22"/>
              </w:rPr>
              <w:t xml:space="preserve">2669,3</w:t>
            </w:r>
            <w:r>
              <w:rPr>
                <w:sz w:val="22"/>
                <w:szCs w:val="22"/>
              </w:rPr>
            </w:r>
            <w:r>
              <w:rPr>
                <w:sz w:val="22"/>
                <w:szCs w:val="22"/>
              </w:rPr>
            </w:r>
          </w:p>
        </w:tc>
        <w:tc>
          <w:tcPr>
            <w:tcBorders/>
            <w:tcW w:w="1560" w:type="dxa"/>
            <w:vAlign w:val="center"/>
            <w:textDirection w:val="lrTb"/>
            <w:noWrap/>
          </w:tcPr>
          <w:p w14:paraId="70E4F213" w14:textId="77777777">
            <w:pPr>
              <w:pBdr/>
              <w:spacing w:after="60" w:before="60"/>
              <w:ind/>
              <w:jc w:val="center"/>
              <w:rPr>
                <w:sz w:val="22"/>
                <w:szCs w:val="22"/>
              </w:rPr>
            </w:pPr>
            <w:r>
              <w:rPr>
                <w:sz w:val="22"/>
                <w:szCs w:val="22"/>
              </w:rPr>
              <w:t xml:space="preserve">12.073.444</w:t>
            </w:r>
            <w:r>
              <w:rPr>
                <w:sz w:val="22"/>
                <w:szCs w:val="22"/>
              </w:rPr>
            </w:r>
            <w:r>
              <w:rPr>
                <w:sz w:val="22"/>
                <w:szCs w:val="22"/>
              </w:rPr>
            </w:r>
          </w:p>
        </w:tc>
        <w:tc>
          <w:tcPr>
            <w:tcBorders/>
            <w:tcW w:w="1701" w:type="dxa"/>
            <w:vAlign w:val="center"/>
            <w:textDirection w:val="lrTb"/>
            <w:noWrap/>
          </w:tcPr>
          <w:p w14:paraId="5B87CBA7">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32.589.847.389</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cW w:w="1139" w:type="dxa"/>
            <w:vAlign w:val="center"/>
            <w:textDirection w:val="lrTb"/>
            <w:noWrap w:val="false"/>
          </w:tcPr>
          <w:p w14:paraId="7F445948" w14:textId="77777777">
            <w:pPr>
              <w:pBdr/>
              <w:spacing w:after="60" w:before="60"/>
              <w:ind/>
              <w:jc w:val="center"/>
              <w:rPr>
                <w:sz w:val="22"/>
                <w:szCs w:val="22"/>
              </w:rPr>
            </w:pPr>
            <w:r>
              <w:rPr>
                <w:sz w:val="22"/>
                <w:szCs w:val="22"/>
              </w:rPr>
              <w:t xml:space="preserve">14%</w:t>
            </w:r>
            <w:r>
              <w:rPr>
                <w:sz w:val="22"/>
                <w:szCs w:val="22"/>
              </w:rPr>
            </w:r>
            <w:r>
              <w:rPr>
                <w:sz w:val="22"/>
                <w:szCs w:val="22"/>
              </w:rPr>
            </w:r>
          </w:p>
        </w:tc>
        <w:tc>
          <w:tcPr>
            <w:tcBorders/>
            <w:tcW w:w="1559" w:type="dxa"/>
            <w:vAlign w:val="center"/>
            <w:textDirection w:val="lrTb"/>
            <w:noWrap/>
          </w:tcPr>
          <w:p w14:paraId="3DE22820">
            <w:pPr>
              <w:pBdr/>
              <w:spacing w:after="0" w:before="0" w:line="240" w:lineRule="auto"/>
              <w:ind/>
              <w:jc w:val="right"/>
              <w:rPr>
                <w:sz w:val="22"/>
                <w:szCs w:val="22"/>
              </w:rPr>
            </w:pPr>
            <w:r>
              <w:rPr>
                <w:rFonts w:ascii="Times New Roman" w:hAnsi="Times New Roman" w:eastAsia="Times New Roman" w:cs="Times New Roman"/>
                <w:color w:val="000000"/>
                <w:sz w:val="22"/>
                <w:szCs w:val="22"/>
              </w:rPr>
              <w:t xml:space="preserve">4.562.578.634</w:t>
            </w:r>
            <w:r>
              <w:rPr>
                <w:sz w:val="22"/>
                <w:szCs w:val="22"/>
              </w:rPr>
            </w:r>
            <w:r>
              <w:rPr>
                <w:sz w:val="22"/>
                <w:szCs w:val="22"/>
              </w:rPr>
            </w:r>
          </w:p>
        </w:tc>
        <w:tc>
          <w:tcPr>
            <w:tcBorders/>
            <w:tcW w:w="1968" w:type="dxa"/>
            <w:vAlign w:val="center"/>
            <w:textDirection w:val="lrTb"/>
            <w:noWrap w:val="false"/>
          </w:tcPr>
          <w:p w14:paraId="016E7CB5">
            <w:pPr>
              <w:pBdr/>
              <w:spacing w:after="0" w:before="0" w:line="240" w:lineRule="auto"/>
              <w:ind/>
              <w:jc w:val="right"/>
              <w:rPr/>
            </w:pPr>
            <w:r>
              <w:rPr>
                <w:rFonts w:ascii="Times New Roman" w:hAnsi="Times New Roman" w:eastAsia="Times New Roman" w:cs="Times New Roman"/>
                <w:color w:val="000000"/>
                <w:sz w:val="24"/>
              </w:rPr>
              <w:t xml:space="preserve">28.027.268.755</w:t>
            </w:r>
            <w:r/>
          </w:p>
        </w:tc>
      </w:tr>
    </w:tbl>
    <w:p w14:paraId="4B506B03" w14:textId="49B8E0F8">
      <w:pPr>
        <w:pStyle w:val="104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7EC8B675">
      <w:pPr>
        <w:pStyle w:val="104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330CA6B9">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20922BE3">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54A6A36F">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0FF27183">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2C883D7E">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54E911DC">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55C56FEF">
            <w:pPr>
              <w:pBdr/>
              <w:spacing w:after="40" w:before="40" w:line="288" w:lineRule="auto"/>
              <w:ind/>
              <w:jc w:val="both"/>
              <w:rPr>
                <w:b/>
                <w:bCs/>
              </w:rPr>
            </w:pPr>
            <w:r>
              <w:rPr>
                <w:color w:val="000000"/>
              </w:rPr>
            </w:r>
            <w:r>
              <w:rPr>
                <w:b w:val="0"/>
                <w:bCs w:val="0"/>
              </w:rPr>
              <w:t xml:space="preserve">Quyền sử dụ</w:t>
            </w:r>
            <w:r>
              <w:rPr>
                <w:b w:val="0"/>
                <w:bCs w:val="0"/>
              </w:rPr>
              <w:t xml:space="preserve">ng đất tại các thửa đất số: 104, tờ bản đồ số 56 có địa chỉ: Lô 35-B2.10, Khu TĐC phía Đông Xưởng 38 và Xưởng 387, phường Mỹ An, quận Ngũ Hành Sơn ( này là phường Ngũ Hành Sơn), thành phố Đà Nẵng theo Giấy chứng nhận quyền sử dụng đất, quyền sở hữu nhà ở v</w:t>
            </w:r>
            <w:r>
              <w:rPr>
                <w:b w:val="0"/>
                <w:bCs w:val="0"/>
              </w:rPr>
              <w:t xml:space="preserve">à tài sản khác gắn liền với đất số: DC 963712, số vào sổ cấp GCN: CTS234515 do Sở tài nguyên và môi trường thành phố Đà Nẵng cấp ngày 07/4/2022; thửa đất số: </w:t>
            </w:r>
            <w:r>
              <w:rPr>
                <w:b w:val="0"/>
                <w:bCs w:val="0"/>
              </w:rPr>
              <w:t xml:space="preserve">1</w:t>
            </w:r>
            <w:r>
              <w:rPr>
                <w:b w:val="0"/>
                <w:bCs w:val="0"/>
              </w:rPr>
              <w:t xml:space="preserve">05,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số: CA 567071,</w:t>
            </w:r>
            <w:r>
              <w:rPr>
                <w:b w:val="0"/>
                <w:bCs w:val="0"/>
              </w:rPr>
              <w:t xml:space="preserve"> số vào sổ cấp GCN: CTS76509 do Sở tài nguyên và môi trường thành phố Đà Nẵng cấp ngày 24/9/2015; </w:t>
            </w:r>
            <w:r>
              <w:rPr>
                <w:b w:val="0"/>
                <w:bCs w:val="0"/>
              </w:rPr>
              <w:t xml:space="preserve">t</w:t>
            </w:r>
            <w:r>
              <w:rPr>
                <w:b w:val="0"/>
                <w:bCs w:val="0"/>
              </w:rPr>
              <w:t xml:space="preserve">hửa đất số: 106, tờ bản đồ số 56 có địa chỉ: TĐC phía Đông Xưởng 38 và Xưởng 387, phường Mỹ An, quận Ngũ Hành Sơn ( này là phường Ngũ Hành Sơn), thành phố Đà Nẵng theo Giấy chứng nhận quyền sử dụng đất, quyền sở hữu nhà ở và tài sản khác gắn liền với đất s</w:t>
            </w:r>
            <w:r>
              <w:rPr>
                <w:b w:val="0"/>
                <w:bCs w:val="0"/>
              </w:rPr>
              <w:t xml:space="preserve">ố: BE 764664, số vào sổ cấp GCN: CH02153 do UBND Quận Ngũ Hành Sơn cấp ngày 21/12/2011, </w:t>
            </w:r>
            <w:r>
              <w:rPr>
                <w:b w:val="0"/>
                <w:bCs w:val="0"/>
              </w:rPr>
              <w:t xml:space="preserve">Chủ sử dụng đất là Ông Nguyễn Đình Nam</w:t>
            </w:r>
            <w:r>
              <w:rPr>
                <w:bCs/>
                <w:i/>
                <w:iCs/>
              </w:rPr>
              <w:t xml:space="preserve"> </w:t>
            </w:r>
            <w:r>
              <w:rPr>
                <w:bCs/>
                <w:i w:val="0"/>
                <w:iCs w:val="0"/>
              </w:rPr>
              <w:t xml:space="preserve">và </w:t>
            </w:r>
            <w:r>
              <w:rPr>
                <w:bCs/>
                <w:i w:val="0"/>
                <w:iCs w:val="0"/>
              </w:rPr>
              <w:t xml:space="preserve">C</w:t>
            </w:r>
            <w:r>
              <w:rPr>
                <w:bCs/>
                <w:i w:val="0"/>
                <w:iCs w:val="0"/>
              </w:rPr>
              <w:t xml:space="preserve">ông trình xây dựng trên đất tại các thửa đất số: 104;105;106, tờ bản đồ số 56 có địa chỉ: Lô 35-B2.10; Lô 34-B2.10; Lô 33-B2.10, Khu TĐC phía Đông Xưởng 38 và Xưởng 387, phường Mỹ An, quận Ngũ Hành Sơn ( này là phường Ngũ Hành Sơn), thành phố Đà Nẵng theo </w:t>
            </w:r>
            <w:r>
              <w:rPr>
                <w:bCs/>
                <w:i w:val="0"/>
                <w:iCs w:val="0"/>
              </w:rPr>
              <w:t xml:space="preserve">G</w:t>
            </w:r>
            <w:r>
              <w:rPr>
                <w:bCs/>
                <w:i w:val="0"/>
                <w:iCs w:val="0"/>
              </w:rPr>
              <w:t xml:space="preserve">iấy chứng nhận quyền sử dụng đất, quyền sở hữu nhà ở và tài sản khác gắn liền với đất số: DG 241087, số vào sổ cấp GCN: CT66276 do Sở tài nguyên và môi trường thành phố Đà Nẵng cấp ngày 07/7/2022; Chủ sử dụng công trình vây dựng là Công ty TNHH Dịch vụ Du </w:t>
            </w:r>
            <w:r>
              <w:rPr>
                <w:bCs/>
                <w:i w:val="0"/>
                <w:iCs w:val="0"/>
              </w:rPr>
              <w:t xml:space="preserve">Lịch Ánh Ngọc</w:t>
            </w:r>
            <w:r>
              <w:rPr>
                <w:b/>
                <w:bCs/>
              </w:rPr>
              <w:t xml:space="preserve">.</w:t>
            </w:r>
            <w:r>
              <w:rPr>
                <w:b/>
                <w:bCs/>
              </w:rPr>
            </w:r>
            <w:r>
              <w:rPr>
                <w:b/>
                <w:bCs/>
              </w:rPr>
            </w:r>
          </w:p>
        </w:tc>
        <w:tc>
          <w:tcPr>
            <w:shd w:val="clear" w:color="000000" w:fill="ffffff"/>
            <w:tcBorders/>
            <w:tcW w:w="1136" w:type="pct"/>
            <w:vAlign w:val="center"/>
            <w:textDirection w:val="lrTb"/>
            <w:noWrap w:val="false"/>
          </w:tcPr>
          <w:p w14:paraId="1D154808">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60FF72C1">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0A81781F">
            <w:pPr>
              <w:pBdr/>
              <w:spacing w:after="40" w:before="40" w:line="288" w:lineRule="auto"/>
              <w:ind/>
              <w:rPr/>
            </w:pPr>
            <w:r>
              <w:rPr>
                <w:b/>
                <w:bCs/>
              </w:rPr>
              <w:t xml:space="preserve">Đất thương mại, dịch vụ</w:t>
            </w:r>
            <w:r/>
          </w:p>
        </w:tc>
        <w:tc>
          <w:tcPr>
            <w:tcBorders/>
            <w:tcW w:w="946" w:type="pct"/>
            <w:vAlign w:val="center"/>
            <w:textDirection w:val="lrTb"/>
            <w:noWrap/>
          </w:tcPr>
          <w:p w14:paraId="19709938">
            <w:pPr>
              <w:pBdr/>
              <w:spacing w:after="40" w:before="40" w:line="288" w:lineRule="auto"/>
              <w:ind/>
              <w:jc w:val="center"/>
              <w:rPr>
                <w:color w:val="000000"/>
              </w:rPr>
            </w:pPr>
            <w:r>
              <w:rPr>
                <w:color w:val="000000" w:themeColor="text1"/>
              </w:rPr>
              <w:t xml:space="preserve">243</w:t>
            </w:r>
            <w:r>
              <w:rPr>
                <w:color w:val="000000"/>
              </w:rPr>
            </w:r>
            <w:r>
              <w:rPr>
                <w:color w:val="000000"/>
              </w:rPr>
            </w:r>
          </w:p>
        </w:tc>
        <w:tc>
          <w:tcPr>
            <w:shd w:val="clear" w:color="000000" w:fill="ffffff"/>
            <w:tcBorders/>
            <w:tcW w:w="1355" w:type="pct"/>
            <w:vAlign w:val="center"/>
            <w:textDirection w:val="lrTb"/>
            <w:noWrap w:val="false"/>
          </w:tcPr>
          <w:p w14:paraId="5CC90062">
            <w:pPr>
              <w:pBdr/>
              <w:spacing w:after="40" w:before="40" w:line="288" w:lineRule="auto"/>
              <w:ind/>
              <w:jc w:val="center"/>
              <w:rPr/>
            </w:pPr>
            <w:r>
              <w:rPr>
                <w:color w:val="000000" w:themeColor="text1"/>
              </w:rPr>
              <w:t xml:space="preserve">185.000.000</w:t>
            </w:r>
            <w:r/>
          </w:p>
        </w:tc>
        <w:tc>
          <w:tcPr>
            <w:shd w:val="clear" w:color="000000" w:fill="ffffff"/>
            <w:tcBorders/>
            <w:tcW w:w="1136" w:type="pct"/>
            <w:vAlign w:val="center"/>
            <w:textDirection w:val="lrTb"/>
            <w:noWrap w:val="false"/>
          </w:tcPr>
          <w:p w14:paraId="072E8EDC">
            <w:pPr>
              <w:pBdr/>
              <w:spacing w:after="40" w:before="40" w:line="288" w:lineRule="auto"/>
              <w:ind/>
              <w:jc w:val="center"/>
              <w:rPr/>
            </w:pPr>
            <w:r>
              <w:rPr>
                <w:color w:val="000000" w:themeColor="text1"/>
              </w:rPr>
              <w:t xml:space="preserve">44.955.000.000</w:t>
            </w:r>
            <w:r/>
          </w:p>
        </w:tc>
      </w:tr>
      <w:tr>
        <w:trPr>
          <w:trHeight w:val="20"/>
        </w:trPr>
        <w:tc>
          <w:tcPr>
            <w:shd w:val="clear" w:color="000000" w:fill="ffffff"/>
            <w:tcBorders/>
            <w:tcW w:w="500" w:type="pct"/>
            <w:vAlign w:val="center"/>
            <w:textDirection w:val="lrTb"/>
            <w:noWrap w:val="false"/>
          </w:tcPr>
          <w:p w14:paraId="355977A2">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14:paraId="31D8EDF7">
            <w:pPr>
              <w:pBdr/>
              <w:spacing w:after="40" w:before="40" w:line="288" w:lineRule="auto"/>
              <w:ind/>
              <w:rPr/>
            </w:pPr>
            <w:r>
              <w:rPr>
                <w:b/>
                <w:bCs/>
              </w:rPr>
              <w:t xml:space="preserve">Khách sạn 10 tầng + 1 tầng hầm</w:t>
            </w:r>
            <w:r/>
          </w:p>
        </w:tc>
        <w:tc>
          <w:tcPr>
            <w:tcBorders/>
            <w:tcW w:w="946" w:type="pct"/>
            <w:vAlign w:val="center"/>
            <w:textDirection w:val="lrTb"/>
            <w:noWrap/>
          </w:tcPr>
          <w:p w14:paraId="08721A8E">
            <w:pPr>
              <w:pBdr/>
              <w:spacing w:after="40" w:before="40" w:line="288" w:lineRule="auto"/>
              <w:ind/>
              <w:jc w:val="center"/>
              <w:rPr>
                <w:color w:val="000000"/>
              </w:rPr>
            </w:pPr>
            <w:r>
              <w:rPr>
                <w:color w:val="000000" w:themeColor="text1"/>
              </w:rPr>
              <w:t xml:space="preserve">2699,3</w:t>
            </w:r>
            <w:r>
              <w:rPr>
                <w:color w:val="000000"/>
              </w:rPr>
            </w:r>
            <w:r>
              <w:rPr>
                <w:color w:val="000000"/>
              </w:rPr>
            </w:r>
          </w:p>
        </w:tc>
        <w:tc>
          <w:tcPr>
            <w:shd w:val="clear" w:color="000000" w:fill="ffffff"/>
            <w:tcBorders/>
            <w:tcW w:w="1355" w:type="pct"/>
            <w:vAlign w:val="center"/>
            <w:textDirection w:val="lrTb"/>
            <w:noWrap w:val="false"/>
          </w:tcPr>
          <w:p w14:paraId="3D15F7D6">
            <w:pPr>
              <w:pBdr/>
              <w:spacing w:after="40" w:before="40" w:line="288" w:lineRule="auto"/>
              <w:ind/>
              <w:jc w:val="center"/>
              <w:rPr/>
            </w:pPr>
            <w:r>
              <w:rPr>
                <w:color w:val="000000" w:themeColor="text1"/>
              </w:rPr>
              <w:t xml:space="preserve">12.073.444 (86%)</w:t>
            </w:r>
            <w:r/>
          </w:p>
        </w:tc>
        <w:tc>
          <w:tcPr>
            <w:shd w:val="clear" w:color="000000" w:fill="ffffff"/>
            <w:tcBorders/>
            <w:tcW w:w="1136" w:type="pct"/>
            <w:vAlign w:val="center"/>
            <w:textDirection w:val="lrTb"/>
            <w:noWrap w:val="false"/>
          </w:tcPr>
          <w:p w14:paraId="340CB6CB">
            <w:pPr>
              <w:pBdr/>
              <w:spacing w:after="0" w:before="0" w:line="240" w:lineRule="auto"/>
              <w:ind/>
              <w:jc w:val="center"/>
              <w:rPr/>
            </w:pPr>
            <w:r>
              <w:rPr>
                <w:rFonts w:ascii="Times New Roman" w:hAnsi="Times New Roman" w:eastAsia="Times New Roman" w:cs="Times New Roman"/>
                <w:color w:val="000000"/>
                <w:sz w:val="24"/>
              </w:rPr>
              <w:t xml:space="preserve">28.027.268.755</w:t>
            </w:r>
            <w:r/>
          </w:p>
        </w:tc>
      </w:tr>
      <w:tr>
        <w:trPr>
          <w:trHeight w:val="20"/>
        </w:trPr>
        <w:tc>
          <w:tcPr>
            <w:gridSpan w:val="4"/>
            <w:tcBorders/>
            <w:tcW w:w="3864" w:type="pct"/>
            <w:vAlign w:val="center"/>
            <w:textDirection w:val="lrTb"/>
            <w:noWrap/>
          </w:tcPr>
          <w:p w14:paraId="6D71E9B3">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F0548CE">
            <w:pPr>
              <w:pBdr/>
              <w:spacing w:after="0" w:before="0" w:line="240" w:lineRule="auto"/>
              <w:ind/>
              <w:jc w:val="left"/>
              <w:rPr/>
            </w:pPr>
            <w:r>
              <w:rPr>
                <w:rFonts w:ascii="Times New Roman" w:hAnsi="Times New Roman" w:eastAsia="Times New Roman" w:cs="Times New Roman"/>
                <w:b/>
                <w:color w:val="000000"/>
                <w:sz w:val="24"/>
              </w:rPr>
              <w:t xml:space="preserve">    72.982.268.755</w:t>
            </w:r>
            <w:r/>
          </w:p>
        </w:tc>
      </w:tr>
      <w:tr>
        <w:trPr>
          <w:trHeight w:val="20"/>
        </w:trPr>
        <w:tc>
          <w:tcPr>
            <w:gridSpan w:val="4"/>
            <w:tcBorders/>
            <w:tcW w:w="3864" w:type="pct"/>
            <w:vAlign w:val="center"/>
            <w:textDirection w:val="lrTb"/>
            <w:noWrap/>
          </w:tcPr>
          <w:p w14:paraId="313CE50E">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4631A0E0">
            <w:pPr>
              <w:pBdr/>
              <w:spacing w:after="0" w:before="0" w:line="240" w:lineRule="auto"/>
              <w:ind/>
              <w:jc w:val="center"/>
              <w:rPr/>
            </w:pPr>
            <w:r>
              <w:rPr>
                <w:rFonts w:ascii="Times New Roman" w:hAnsi="Times New Roman" w:eastAsia="Times New Roman" w:cs="Times New Roman"/>
                <w:b/>
                <w:color w:val="000000"/>
                <w:sz w:val="24"/>
              </w:rPr>
              <w:t xml:space="preserve">72.982.000.000</w:t>
            </w:r>
            <w:r/>
          </w:p>
        </w:tc>
      </w:tr>
      <w:tr>
        <w:trPr>
          <w:trHeight w:val="20"/>
        </w:trPr>
        <w:tc>
          <w:tcPr>
            <w:gridSpan w:val="5"/>
            <w:tcBorders/>
            <w:tcW w:w="5000" w:type="pct"/>
            <w:vAlign w:val="center"/>
            <w:textDirection w:val="lrTb"/>
            <w:noWrap w:val="false"/>
          </w:tcPr>
          <w:p w14:paraId="7BEB7B9E">
            <w:pPr>
              <w:pBdr/>
              <w:spacing w:after="0" w:before="0" w:line="240" w:lineRule="auto"/>
              <w:ind/>
              <w:jc w:val="center"/>
              <w:rPr/>
            </w:pPr>
            <w:r>
              <w:rPr>
                <w:rFonts w:ascii="Times New Roman" w:hAnsi="Times New Roman" w:eastAsia="Times New Roman" w:cs="Times New Roman"/>
                <w:b/>
                <w:i/>
                <w:color w:val="000000"/>
                <w:sz w:val="24"/>
              </w:rPr>
              <w:t xml:space="preserve">(Bằng chữ: Bảy mươi hai tỷ chín trăm tám mươi hai triệu đồng chẵn./.)</w:t>
            </w:r>
            <w:r/>
          </w:p>
        </w:tc>
      </w:tr>
    </w:tbl>
    <w:p w14:paraId="187E2E91" w14:textId="56B58432">
      <w:pPr>
        <w:pStyle w:val="104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HỜI HẠN HIỆU LỰC CỦA KẾT QUẢ THẨM ĐỊNH GIÁ</w:t>
      </w:r>
      <w:r>
        <w:rPr>
          <w:b/>
          <w:lang w:val="pt-BR"/>
        </w:rPr>
      </w:r>
      <w:r>
        <w:rPr>
          <w:b/>
          <w:lang w:val="pt-BR"/>
        </w:rPr>
      </w:r>
    </w:p>
    <w:p w14:paraId="279C742C" w14:textId="6D8F76C7">
      <w:pPr>
        <w:pStyle w:val="104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4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4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4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4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4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4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4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4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4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4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4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4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4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4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4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13C2F000">
      <w:pPr>
        <w:pStyle w:val="1045"/>
        <w:numPr>
          <w:ilvl w:val="0"/>
          <w:numId w:val="5"/>
        </w:numPr>
        <w:pBdr/>
        <w:spacing w:after="120" w:before="120" w:line="288" w:lineRule="auto"/>
        <w:ind/>
        <w:jc w:val="both"/>
        <w:rPr>
          <w:lang w:val="vi-VN"/>
        </w:rPr>
      </w:pPr>
      <w:r>
        <w:rPr>
          <w:highlight w:val="none"/>
          <w:lang w:val="vi-VN" w:bidi="vi-VN"/>
        </w:rPr>
      </w:r>
      <w:r>
        <w:rPr>
          <w:rFonts w:ascii="Times New Roman" w:hAnsi="Times New Roman" w:eastAsia="Times New Roman" w:cs="Times New Roman"/>
          <w:color w:val="000000"/>
          <w:sz w:val="24"/>
        </w:rPr>
        <w:t xml:space="preserve">Giá trị TSĐG được xác định trên cơ sở </w:t>
      </w:r>
      <w:r>
        <w:rPr>
          <w:rFonts w:ascii="Times New Roman" w:hAnsi="Times New Roman" w:eastAsia="Times New Roman" w:cs="Times New Roman"/>
          <w:color w:val="000000"/>
          <w:sz w:val="24"/>
        </w:rPr>
        <w:t xml:space="preserve">Các thửa đất liền kề như một khối thống nhất, không tách rời</w:t>
      </w:r>
      <w:r>
        <w:rPr>
          <w:rFonts w:ascii="Times New Roman" w:hAnsi="Times New Roman" w:eastAsia="Times New Roman" w:cs="Times New Roman"/>
          <w:color w:val="000000"/>
          <w:sz w:val="24"/>
        </w:rPr>
        <w:t xml:space="preserve"> có 01 cạnh tiếp giáp đường  là đường Đỗ Bí, mặt tiền tiếp giáp của các thửa đất tạo ra tiếp giáp đường là 13,5m. Cạnh cò</w:t>
      </w:r>
      <w:r>
        <w:rPr>
          <w:rFonts w:ascii="Times New Roman" w:hAnsi="Times New Roman" w:eastAsia="Times New Roman" w:cs="Times New Roman"/>
          <w:color w:val="000000"/>
          <w:sz w:val="24"/>
        </w:rPr>
        <w:t xml:space="preserve">n lại tiếp giáp với thửa khác.</w:t>
      </w:r>
      <w:r>
        <w:rPr>
          <w:rFonts w:ascii="Times New Roman" w:hAnsi="Times New Roman" w:eastAsia="Times New Roman" w:cs="Times New Roman"/>
          <w:color w:val="000000"/>
          <w:sz w:val="24"/>
        </w:rPr>
        <w:t xml:space="preserve">Kính đề nghị các bên sử dụng chứng thư, báo cáo thẩm định giá này lưu ý</w:t>
      </w:r>
      <w:r>
        <w:rPr>
          <w:lang w:val="vi-VN"/>
        </w:rPr>
      </w:r>
      <w:r>
        <w:rPr>
          <w:lang w:val="vi-VN"/>
        </w:rPr>
      </w:r>
    </w:p>
    <w:p w14:paraId="5F9C87DF" w14:textId="660E13BF">
      <w:pPr>
        <w:pStyle w:val="104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0F9E384F" w14:textId="63102E36">
      <w:pPr>
        <w:pStyle w:val="104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4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45"/>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4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45"/>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14:paraId="635ABDC0">
      <w:pPr>
        <w:pBdr/>
        <w:shd w:val="nil" w:color="auto"/>
        <w:spacing/>
        <w:ind/>
        <w:rPr>
          <w:highlight w:val="none"/>
          <w:lang w:val="pt-BR"/>
        </w:rPr>
      </w:pPr>
      <w:r>
        <w:rPr>
          <w:highlight w:val="none"/>
          <w:lang w:val="pt-BR"/>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275/2026/0029/VFI-HĐTĐ.44.A</w:t>
      </w:r>
      <w:r>
        <w:rPr>
          <w:color w:val="ff0000"/>
          <w:lang w:val="vi-VN"/>
        </w:rPr>
        <w:t xml:space="preserve"> </w:t>
      </w:r>
      <w:r>
        <w:rPr>
          <w:color w:val="000000" w:themeColor="text1"/>
        </w:rPr>
        <w:t xml:space="preserve">ngày 8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pt-BR"/>
        </w:rPr>
      </w:r>
      <w:r>
        <w:rPr>
          <w:highlight w:val="none"/>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3C17F12"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4134C1A9"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1FF64E5B" w14:textId="77777777">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4728CA5B"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48EEE3F4">
      <w:pPr>
        <w:pBdr/>
        <w:shd w:val="nil" w:color="auto"/>
        <w:spacing/>
        <w:ind/>
        <w:rPr>
          <w:b/>
          <w:bCs/>
          <w:u w:val="single"/>
          <w:lang w:val="vi-VN"/>
        </w:rPr>
      </w:pPr>
      <w:r>
        <w:rPr>
          <w:b/>
          <w:highlight w:val="none"/>
          <w:lang w:val="pt-BR"/>
        </w:rPr>
        <w:br w:type="page" w:clear="all"/>
      </w:r>
      <w:r>
        <w:rPr>
          <w:b/>
          <w:bCs/>
          <w:u w:val="single"/>
          <w:lang w:val="vi-VN"/>
        </w:rPr>
      </w:r>
      <w:r>
        <w:rPr>
          <w:b/>
          <w:bCs/>
          <w:u w:val="single"/>
          <w:lang w:val="vi-VN"/>
        </w:rPr>
      </w:r>
    </w:p>
    <w:p w14:paraId="79EBCD6E" w14:textId="7EE5057B">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14:paraId="24EDD05E" w14:textId="4889C1DC">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275/2026/0029/VFI-BC.44.A</w:t>
      </w:r>
      <w:r>
        <w:rPr>
          <w:i/>
        </w:rPr>
        <w:t xml:space="preserve"> </w:t>
      </w:r>
      <w:r>
        <w:rPr>
          <w:i/>
        </w:rPr>
        <w:t xml:space="preserve">ngày</w:t>
      </w:r>
      <w:r>
        <w:rPr>
          <w:i/>
          <w:lang w:val="pt-BR"/>
        </w:rPr>
        <w:t xml:space="preserve"> </w:t>
      </w:r>
      <w:r>
        <w:rPr>
          <w:i/>
          <w:lang w:val="pt-BR"/>
        </w:rPr>
        <w:t xml:space="preserve">8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270803" cy="302773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69578" name=""/>
                              <pic:cNvPicPr>
                                <a:picLocks noChangeAspect="1"/>
                              </pic:cNvPicPr>
                              <pic:nvPr/>
                            </pic:nvPicPr>
                            <pic:blipFill rotWithShape="1">
                              <a:blip r:embed="rId19"/>
                              <a:stretch/>
                            </pic:blipFill>
                            <pic:spPr bwMode="auto">
                              <a:xfrm flipH="0" flipV="0">
                                <a:off x="0" y="0"/>
                                <a:ext cx="2270802" cy="30277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8.80pt;height:238.4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9C21C3B" w14:textId="2BDC14F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352438" cy="313658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56552" name=""/>
                              <pic:cNvPicPr>
                                <a:picLocks noChangeAspect="1"/>
                              </pic:cNvPicPr>
                              <pic:nvPr/>
                            </pic:nvPicPr>
                            <pic:blipFill rotWithShape="1">
                              <a:blip r:embed="rId20"/>
                              <a:stretch/>
                            </pic:blipFill>
                            <pic:spPr bwMode="auto">
                              <a:xfrm flipH="0" flipV="0">
                                <a:off x="0" y="0"/>
                                <a:ext cx="2352438" cy="3136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5.23pt;height:246.98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2E5DF8D" w14:textId="3349A9F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17457" cy="181309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69033" name=""/>
                              <pic:cNvPicPr>
                                <a:picLocks noChangeAspect="1"/>
                              </pic:cNvPicPr>
                              <pic:nvPr/>
                            </pic:nvPicPr>
                            <pic:blipFill rotWithShape="1">
                              <a:blip r:embed="rId21"/>
                              <a:stretch/>
                            </pic:blipFill>
                            <pic:spPr bwMode="auto">
                              <a:xfrm flipH="0" flipV="0">
                                <a:off x="0" y="0"/>
                                <a:ext cx="2417456" cy="18130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0.35pt;height:142.76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69487" cy="192711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642742" name=""/>
                              <pic:cNvPicPr>
                                <a:picLocks noChangeAspect="1"/>
                              </pic:cNvPicPr>
                              <pic:nvPr/>
                            </pic:nvPicPr>
                            <pic:blipFill rotWithShape="1">
                              <a:blip r:embed="rId22"/>
                              <a:stretch/>
                            </pic:blipFill>
                            <pic:spPr bwMode="auto">
                              <a:xfrm flipH="0" flipV="0">
                                <a:off x="0" y="0"/>
                                <a:ext cx="2569486" cy="19271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2.32pt;height:151.74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235569" cy="167667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39419" name=""/>
                              <pic:cNvPicPr>
                                <a:picLocks noChangeAspect="1"/>
                              </pic:cNvPicPr>
                              <pic:nvPr/>
                            </pic:nvPicPr>
                            <pic:blipFill rotWithShape="1">
                              <a:blip r:embed="rId23"/>
                              <a:stretch/>
                            </pic:blipFill>
                            <pic:spPr bwMode="auto">
                              <a:xfrm flipH="0" flipV="0">
                                <a:off x="0" y="0"/>
                                <a:ext cx="2235569" cy="16766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76.03pt;height:132.0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443844" cy="192512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066886" name=""/>
                              <pic:cNvPicPr>
                                <a:picLocks noChangeAspect="1"/>
                              </pic:cNvPicPr>
                              <pic:nvPr/>
                            </pic:nvPicPr>
                            <pic:blipFill rotWithShape="1">
                              <a:blip r:embed="rId24"/>
                              <a:stretch/>
                            </pic:blipFill>
                            <pic:spPr bwMode="auto">
                              <a:xfrm flipH="0" flipV="0">
                                <a:off x="0" y="0"/>
                                <a:ext cx="1443844" cy="1925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3.69pt;height:151.5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05B3F5C3">
      <w:pPr>
        <w:pBdr/>
        <w:shd w:val="nil" w:color="auto"/>
        <w:spacing/>
        <w:ind/>
        <w:rPr/>
      </w:pPr>
      <w:r>
        <w:rPr>
          <w:highlight w:val="none"/>
        </w:rPr>
        <w:br w:type="page" w:clear="all"/>
      </w:r>
      <w:r>
        <w:rPr>
          <w:highlight w:val="none"/>
        </w:rPr>
      </w:r>
      <w:r/>
    </w:p>
    <w:p w14:paraId="37412123" w14:textId="77777777">
      <w:pPr>
        <w:pBdr/>
        <w:spacing w:after="200" w:line="276" w:lineRule="auto"/>
        <w:ind/>
        <w:rPr/>
      </w:pPr>
      <w:r>
        <mc:AlternateContent>
          <mc:Choice Requires="wpg">
            <w:drawing>
              <wp:inline xmlns:wp="http://schemas.openxmlformats.org/drawingml/2006/wordprocessingDrawing" distT="0" distB="0" distL="0" distR="0">
                <wp:extent cx="6048375" cy="394995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65654" name=""/>
                        <pic:cNvPicPr>
                          <a:picLocks noChangeAspect="1"/>
                        </pic:cNvPicPr>
                        <pic:nvPr/>
                      </pic:nvPicPr>
                      <pic:blipFill rotWithShape="1">
                        <a:blip r:embed="rId25"/>
                        <a:stretch/>
                      </pic:blipFill>
                      <pic:spPr bwMode="auto">
                        <a:xfrm>
                          <a:off x="0" y="0"/>
                          <a:ext cx="6048374" cy="39499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11.02pt;mso-wrap-distance-left:0.00pt;mso-wrap-distance-top:0.00pt;mso-wrap-distance-right:0.00pt;mso-wrap-distance-bottom:0.00pt;z-index:1;" stroked="false">
                <v:imagedata r:id="rId25" o:title=""/>
                <o:lock v:ext="edit" rotation="t"/>
              </v:shape>
            </w:pict>
          </mc:Fallback>
        </mc:AlternateContent>
      </w:r>
      <w:r>
        <w:rPr>
          <w:highlight w:val="none"/>
        </w:rPr>
      </w:r>
      <w:r/>
    </w:p>
    <w:p w14:paraId="39D5418D">
      <w:pPr>
        <w:pBdr/>
        <w:spacing w:after="200" w:line="276" w:lineRule="auto"/>
        <w:ind/>
        <w:rPr/>
      </w:pPr>
      <w:r>
        <mc:AlternateContent>
          <mc:Choice Requires="wpg">
            <w:drawing>
              <wp:inline xmlns:wp="http://schemas.openxmlformats.org/drawingml/2006/wordprocessingDrawing" distT="0" distB="0" distL="0" distR="0">
                <wp:extent cx="6048375" cy="41773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22666" name=""/>
                        <pic:cNvPicPr>
                          <a:picLocks noChangeAspect="1"/>
                        </pic:cNvPicPr>
                        <pic:nvPr/>
                      </pic:nvPicPr>
                      <pic:blipFill rotWithShape="1">
                        <a:blip r:embed="rId26"/>
                        <a:stretch/>
                      </pic:blipFill>
                      <pic:spPr bwMode="auto">
                        <a:xfrm>
                          <a:off x="0" y="0"/>
                          <a:ext cx="6048374" cy="41773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28.93pt;mso-wrap-distance-left:0.00pt;mso-wrap-distance-top:0.00pt;mso-wrap-distance-right:0.00pt;mso-wrap-distance-bottom:0.00pt;z-index:1;" stroked="false">
                <v:imagedata r:id="rId26" o:title=""/>
                <o:lock v:ext="edit" rotation="t"/>
              </v:shape>
            </w:pict>
          </mc:Fallback>
        </mc:AlternateContent>
      </w:r>
      <w:r>
        <w:rPr>
          <w:highlight w:val="none"/>
        </w:rPr>
      </w:r>
      <w:r/>
    </w:p>
    <w:p w14:paraId="3F68B028">
      <w:pPr>
        <w:pBdr/>
        <w:spacing w:after="200" w:line="276" w:lineRule="auto"/>
        <w:ind/>
        <w:rPr/>
      </w:pPr>
      <w:r>
        <mc:AlternateContent>
          <mc:Choice Requires="wpg">
            <w:drawing>
              <wp:inline xmlns:wp="http://schemas.openxmlformats.org/drawingml/2006/wordprocessingDrawing" distT="0" distB="0" distL="0" distR="0">
                <wp:extent cx="6048375" cy="41468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93495" name=""/>
                        <pic:cNvPicPr>
                          <a:picLocks noChangeAspect="1"/>
                        </pic:cNvPicPr>
                        <pic:nvPr/>
                      </pic:nvPicPr>
                      <pic:blipFill rotWithShape="1">
                        <a:blip r:embed="rId27"/>
                        <a:stretch/>
                      </pic:blipFill>
                      <pic:spPr bwMode="auto">
                        <a:xfrm>
                          <a:off x="0" y="0"/>
                          <a:ext cx="6048374" cy="41468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26.52pt;mso-wrap-distance-left:0.00pt;mso-wrap-distance-top:0.00pt;mso-wrap-distance-right:0.00pt;mso-wrap-distance-bottom:0.00pt;z-index:1;" stroked="false">
                <v:imagedata r:id="rId27" o:title=""/>
                <o:lock v:ext="edit" rotation="t"/>
              </v:shape>
            </w:pict>
          </mc:Fallback>
        </mc:AlternateContent>
      </w:r>
      <w:r>
        <w:rPr>
          <w:highlight w:val="none"/>
        </w:rPr>
      </w:r>
      <w:r/>
    </w:p>
    <w:p w14:paraId="2D98FC3A">
      <w:pPr>
        <w:pBdr/>
        <w:spacing w:after="200" w:line="276" w:lineRule="auto"/>
        <w:ind/>
        <w:rPr>
          <w:highlight w:val="none"/>
        </w:rPr>
      </w:pPr>
      <w:r>
        <mc:AlternateContent>
          <mc:Choice Requires="wpg">
            <w:drawing>
              <wp:inline xmlns:wp="http://schemas.openxmlformats.org/drawingml/2006/wordprocessingDrawing" distT="0" distB="0" distL="0" distR="0">
                <wp:extent cx="6048375" cy="418498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26972" name=""/>
                        <pic:cNvPicPr>
                          <a:picLocks noChangeAspect="1"/>
                        </pic:cNvPicPr>
                        <pic:nvPr/>
                      </pic:nvPicPr>
                      <pic:blipFill rotWithShape="1">
                        <a:blip r:embed="rId28"/>
                        <a:stretch/>
                      </pic:blipFill>
                      <pic:spPr bwMode="auto">
                        <a:xfrm>
                          <a:off x="0" y="0"/>
                          <a:ext cx="6048374" cy="41849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29.53pt;mso-wrap-distance-left:0.00pt;mso-wrap-distance-top:0.00pt;mso-wrap-distance-right:0.00pt;mso-wrap-distance-bottom:0.00pt;z-index:1;" stroked="false">
                <v:imagedata r:id="rId28" o:title=""/>
                <o:lock v:ext="edit" rotation="t"/>
              </v:shape>
            </w:pict>
          </mc:Fallback>
        </mc:AlternateContent>
      </w:r>
      <w:r>
        <w:rPr>
          <w:highlight w:val="none"/>
        </w:rPr>
      </w:r>
      <w:r>
        <w:rPr>
          <w:highlight w:val="none"/>
        </w:rPr>
      </w:r>
    </w:p>
    <w:p w14:paraId="2DEE7F60">
      <w:pPr>
        <w:pBdr/>
        <w:spacing w:after="200" w:line="276" w:lineRule="auto"/>
        <w:ind/>
        <w:rPr/>
      </w:pPr>
      <w:r>
        <w:rPr>
          <w:highlight w:val="none"/>
        </w:rPr>
      </w:r>
      <w:r>
        <mc:AlternateContent>
          <mc:Choice Requires="wpg">
            <w:drawing>
              <wp:inline xmlns:wp="http://schemas.openxmlformats.org/drawingml/2006/wordprocessingDrawing" distT="0" distB="0" distL="0" distR="0">
                <wp:extent cx="5905840" cy="780044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2271" name=""/>
                        <pic:cNvPicPr>
                          <a:picLocks noChangeAspect="1"/>
                        </pic:cNvPicPr>
                        <pic:nvPr/>
                      </pic:nvPicPr>
                      <pic:blipFill rotWithShape="1">
                        <a:blip r:embed="rId29"/>
                        <a:stretch/>
                      </pic:blipFill>
                      <pic:spPr bwMode="auto">
                        <a:xfrm flipH="0" flipV="0">
                          <a:off x="0" y="0"/>
                          <a:ext cx="5905839" cy="78004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65.03pt;height:614.21pt;mso-wrap-distance-left:0.00pt;mso-wrap-distance-top:0.00pt;mso-wrap-distance-right:0.00pt;mso-wrap-distance-bottom:0.00pt;z-index:1;" stroked="false">
                <v:imagedata r:id="rId29" o:title=""/>
                <o:lock v:ext="edit" rotation="t"/>
              </v:shape>
            </w:pict>
          </mc:Fallback>
        </mc:AlternateContent>
      </w:r>
      <w:r>
        <w:rPr>
          <w:highlight w:val="none"/>
        </w:rPr>
      </w:r>
      <w:r/>
    </w:p>
    <w:p w14:paraId="70A973E7">
      <w:pPr>
        <w:pBdr/>
        <w:spacing w:after="200" w:line="276" w:lineRule="auto"/>
        <w:ind/>
        <w:rPr/>
      </w:pPr>
      <w:r>
        <mc:AlternateContent>
          <mc:Choice Requires="wpg">
            <w:drawing>
              <wp:inline xmlns:wp="http://schemas.openxmlformats.org/drawingml/2006/wordprocessingDrawing" distT="0" distB="0" distL="0" distR="0">
                <wp:extent cx="6182065" cy="424664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24815" name=""/>
                        <pic:cNvPicPr>
                          <a:picLocks noChangeAspect="1"/>
                        </pic:cNvPicPr>
                        <pic:nvPr/>
                      </pic:nvPicPr>
                      <pic:blipFill rotWithShape="1">
                        <a:blip r:embed="rId30"/>
                        <a:stretch/>
                      </pic:blipFill>
                      <pic:spPr bwMode="auto">
                        <a:xfrm flipH="0" flipV="0">
                          <a:off x="0" y="0"/>
                          <a:ext cx="6182064" cy="42466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86.78pt;height:334.38pt;mso-wrap-distance-left:0.00pt;mso-wrap-distance-top:0.00pt;mso-wrap-distance-right:0.00pt;mso-wrap-distance-bottom:0.00pt;z-index:1;" stroked="false">
                <v:imagedata r:id="rId30" o:title=""/>
                <o:lock v:ext="edit" rotation="t"/>
              </v:shape>
            </w:pict>
          </mc:Fallback>
        </mc:AlternateContent>
      </w:r>
      <w:r>
        <w:rPr>
          <w:highlight w:val="none"/>
        </w:rPr>
      </w:r>
      <w:r/>
    </w:p>
    <w:p w14:paraId="5A12CC10">
      <w:pPr>
        <w:pBdr/>
        <w:spacing w:after="200" w:line="276" w:lineRule="auto"/>
        <w:ind/>
        <w:rPr/>
      </w:pPr>
      <w:r>
        <mc:AlternateContent>
          <mc:Choice Requires="wpg">
            <w:drawing>
              <wp:inline xmlns:wp="http://schemas.openxmlformats.org/drawingml/2006/wordprocessingDrawing" distT="0" distB="0" distL="0" distR="0">
                <wp:extent cx="5962990" cy="471834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74397" name=""/>
                        <pic:cNvPicPr>
                          <a:picLocks noChangeAspect="1"/>
                        </pic:cNvPicPr>
                        <pic:nvPr/>
                      </pic:nvPicPr>
                      <pic:blipFill rotWithShape="1">
                        <a:blip r:embed="rId31"/>
                        <a:stretch/>
                      </pic:blipFill>
                      <pic:spPr bwMode="auto">
                        <a:xfrm flipH="0" flipV="0">
                          <a:off x="0" y="0"/>
                          <a:ext cx="5962989" cy="47183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69.53pt;height:371.52pt;mso-wrap-distance-left:0.00pt;mso-wrap-distance-top:0.00pt;mso-wrap-distance-right:0.00pt;mso-wrap-distance-bottom:0.00pt;z-index:1;" stroked="false">
                <v:imagedata r:id="rId31" o:title=""/>
                <o:lock v:ext="edit" rotation="t"/>
              </v:shape>
            </w:pict>
          </mc:Fallback>
        </mc:AlternateContent>
      </w:r>
      <w:r>
        <w:rPr>
          <w:highlight w:val="none"/>
        </w:rPr>
      </w:r>
      <w:r/>
    </w:p>
    <w:p w14:paraId="48EFFD40">
      <w:pPr>
        <w:pBdr/>
        <w:spacing w:after="200" w:line="276" w:lineRule="auto"/>
        <w:ind/>
        <w:rPr/>
      </w:pPr>
      <w:r>
        <mc:AlternateContent>
          <mc:Choice Requires="wpg">
            <w:drawing>
              <wp:inline xmlns:wp="http://schemas.openxmlformats.org/drawingml/2006/wordprocessingDrawing" distT="0" distB="0" distL="0" distR="0">
                <wp:extent cx="6048375" cy="4159691"/>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574114" name=""/>
                        <pic:cNvPicPr>
                          <a:picLocks noChangeAspect="1"/>
                        </pic:cNvPicPr>
                        <pic:nvPr/>
                      </pic:nvPicPr>
                      <pic:blipFill rotWithShape="1">
                        <a:blip r:embed="rId32"/>
                        <a:stretch/>
                      </pic:blipFill>
                      <pic:spPr bwMode="auto">
                        <a:xfrm>
                          <a:off x="0" y="0"/>
                          <a:ext cx="6048374" cy="41596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27.53pt;mso-wrap-distance-left:0.00pt;mso-wrap-distance-top:0.00pt;mso-wrap-distance-right:0.00pt;mso-wrap-distance-bottom:0.00pt;z-index:1;" stroked="false">
                <v:imagedata r:id="rId32" o:title=""/>
                <o:lock v:ext="edit" rotation="t"/>
              </v:shape>
            </w:pict>
          </mc:Fallback>
        </mc:AlternateContent>
      </w:r>
      <w:r>
        <w:rPr>
          <w:highlight w:val="none"/>
        </w:rPr>
      </w:r>
      <w:r/>
    </w:p>
    <w:p w14:paraId="42520BC7">
      <w:pPr>
        <w:pBdr/>
        <w:spacing w:after="200" w:line="276" w:lineRule="auto"/>
        <w:ind/>
        <w:rPr>
          <w:highlight w:val="none"/>
        </w:rPr>
      </w:pPr>
      <w:r>
        <mc:AlternateContent>
          <mc:Choice Requires="wpg">
            <w:drawing>
              <wp:inline xmlns:wp="http://schemas.openxmlformats.org/drawingml/2006/wordprocessingDrawing" distT="0" distB="0" distL="0" distR="0">
                <wp:extent cx="6048375" cy="4201949"/>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78900" name=""/>
                        <pic:cNvPicPr>
                          <a:picLocks noChangeAspect="1"/>
                        </pic:cNvPicPr>
                        <pic:nvPr/>
                      </pic:nvPicPr>
                      <pic:blipFill rotWithShape="1">
                        <a:blip r:embed="rId33"/>
                        <a:stretch/>
                      </pic:blipFill>
                      <pic:spPr bwMode="auto">
                        <a:xfrm>
                          <a:off x="0" y="0"/>
                          <a:ext cx="6048374" cy="42019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30.86pt;mso-wrap-distance-left:0.00pt;mso-wrap-distance-top:0.00pt;mso-wrap-distance-right:0.00pt;mso-wrap-distance-bottom:0.00pt;z-index:1;" stroked="false">
                <v:imagedata r:id="rId33" o:title=""/>
                <o:lock v:ext="edit" rotation="t"/>
              </v:shape>
            </w:pict>
          </mc:Fallback>
        </mc:AlternateContent>
      </w:r>
      <w:r>
        <w:br w:type="page" w:clear="all"/>
      </w:r>
      <w:r>
        <w:rPr>
          <w:highlight w:val="none"/>
        </w:rPr>
      </w:r>
      <w:r>
        <w:rPr>
          <w:highlight w:val="none"/>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3B60B4A6">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275/2026/0029/VFI-BC.44.A</w:t>
      </w:r>
      <w:r>
        <w:rPr>
          <w:i/>
        </w:rPr>
        <w:t xml:space="preserve"> </w:t>
      </w:r>
      <w:r>
        <w:rPr>
          <w:i/>
        </w:rPr>
        <w:t xml:space="preserve">ngày</w:t>
      </w:r>
      <w:r>
        <w:rPr>
          <w:i/>
          <w:lang w:val="pt-BR"/>
        </w:rPr>
        <w:t xml:space="preserve"> </w:t>
      </w:r>
      <w:r>
        <w:rPr>
          <w:i/>
          <w:lang w:val="pt-BR"/>
        </w:rPr>
        <w:t xml:space="preserve">8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t xml:space="preserve">https://www.facebook.com/share/p/1CDgTwuAut/</w:t>
            </w:r>
            <w:r>
              <w:rPr>
                <w:color w:val="000000" w:themeColor="text1"/>
                <w:sz w:val="22"/>
                <w:szCs w:val="22"/>
              </w:rPr>
              <w:br/>
              <w:t xml:space="preserve">0934 862 336</w:t>
            </w:r>
            <w:r>
              <w:rPr>
                <w:sz w:val="22"/>
                <w:szCs w:val="22"/>
              </w:rPr>
              <w:t xml:space="preserve"> </w:t>
            </w:r>
            <w:r>
              <w:rPr>
                <w:sz w:val="22"/>
                <w:szCs w:val="22"/>
              </w:rPr>
              <w:br/>
              <w:t xml:space="preserve">(Duy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24.000.000.000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20.400.000.000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F1028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FBA627"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21F238"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69EC9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A526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BC526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ở tại đô thị (81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17FA4"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80BDA" w14:textId="77777777">
            <w:pPr>
              <w:pBdr/>
              <w:spacing w:line="276" w:lineRule="auto"/>
              <w:ind/>
              <w:jc w:val="center"/>
              <w:rPr>
                <w:sz w:val="22"/>
                <w:szCs w:val="22"/>
              </w:rPr>
            </w:pPr>
            <w:r>
              <w:rPr>
                <w:color w:val="000000" w:themeColor="text1"/>
                <w:sz w:val="22"/>
                <w:szCs w:val="22"/>
              </w:rPr>
              <w:t xml:space="preserve">Tài sản tại: Phường </w:t>
            </w:r>
            <w:r>
              <w:rPr>
                <w:color w:val="000000" w:themeColor="text1"/>
                <w:sz w:val="22"/>
                <w:szCs w:val="22"/>
              </w:rPr>
              <w:t xml:space="preserve">Mỹ An, Quận Ngũ Hành Sơn, Thành phố Đà Nẵng, khoảng cách ra đường chính Tiếp giáp đường Đỗ Bí, cách biển khoảng 200mm, độ rộng đường trước mặt tài sản 5.5m, mặt tiền 4.5m, Tiếp giáp đường Đỗ Bí, cách biển khoảng 200m, 16.052987433493293, 108.24617587478691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F61D19"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8C75420"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61F315D5"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82351" cy="251723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3682350" cy="25172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89.95pt;height:198.2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5996DC9"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0E6DCDE1">
      <w:pPr>
        <w:pBdr/>
        <w:spacing/>
        <w:ind/>
        <w:rPr/>
      </w:pPr>
      <w:r>
        <w:rPr>
          <w:b/>
          <w:bCs/>
          <w:iCs/>
          <w:highlight w:val="none"/>
          <w:lang w:val="pt-BR"/>
        </w:rPr>
      </w:r>
      <w:r>
        <w:rPr>
          <w:b/>
          <w:bCs/>
          <w:iCs/>
          <w:highlight w:val="none"/>
          <w:lang w:val="pt-BR"/>
        </w:rPr>
      </w:r>
      <w:r/>
    </w:p>
    <w:p w14:paraId="78BE8D69" w14:textId="77777777">
      <w:pPr>
        <w:pBdr/>
        <w:spacing/>
        <w:ind/>
        <w:jc w:val="center"/>
        <w:rPr>
          <w:b/>
          <w:bCs/>
          <w:highlight w:val="none"/>
          <w:lang w:val="pt-BR"/>
        </w:rPr>
      </w:pPr>
      <w:r>
        <w:rPr>
          <w:b/>
          <w:bCs/>
          <w:iCs/>
          <w:lang w:val="pt-BR"/>
        </w:rPr>
        <w:t xml:space="preserve">TSSS2</w:t>
      </w:r>
      <w:r>
        <w:rPr>
          <w:b/>
          <w:bCs/>
          <w:highlight w:val="none"/>
          <w:lang w:val="pt-BR"/>
        </w:rPr>
      </w:r>
      <w:r>
        <w:rPr>
          <w:b/>
          <w:b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0934 862 336</w:t>
            </w:r>
            <w:r>
              <w:rPr>
                <w:sz w:val="22"/>
                <w:szCs w:val="22"/>
              </w:rPr>
              <w:t xml:space="preserve"> </w:t>
            </w:r>
            <w:r>
              <w:rPr>
                <w:sz w:val="22"/>
                <w:szCs w:val="22"/>
              </w:rPr>
              <w:br/>
              <w:t xml:space="preserve">(Duy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19.500.000.000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16.575.000.000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4A7E4"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39B79D"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93B36B"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74AD8B"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F183F2" w14:textId="77777777">
            <w:pPr>
              <w:pBdr/>
              <w:spacing w:line="276" w:lineRule="auto"/>
              <w:ind/>
              <w:jc w:val="center"/>
              <w:rPr>
                <w:sz w:val="22"/>
                <w:szCs w:val="22"/>
              </w:rPr>
            </w:pPr>
            <w:r>
              <w:rPr>
                <w:color w:val="000000" w:themeColor="text1"/>
                <w:sz w:val="22"/>
                <w:szCs w:val="22"/>
              </w:rPr>
              <w:t xml:space="preserve">Đất ở tại đô thị (81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EF55F4"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531F88"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ED6A2A" w14:textId="77777777">
            <w:pPr>
              <w:pBdr/>
              <w:spacing w:line="276" w:lineRule="auto"/>
              <w:ind/>
              <w:jc w:val="center"/>
              <w:rPr>
                <w:sz w:val="22"/>
                <w:szCs w:val="22"/>
              </w:rPr>
            </w:pPr>
            <w:r>
              <w:rPr>
                <w:color w:val="000000" w:themeColor="text1"/>
                <w:sz w:val="22"/>
                <w:szCs w:val="22"/>
              </w:rPr>
              <w:t xml:space="preserve">Tài sản tại: Phường Mỹ An, Quận Ngũ Hành Sơn, Thành phố Đà Nẵng, độ rộng đường trước mặt tài sản 5.5m, mặt tiền 4.5m, 16.054417148283797, 108.24571811122418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E9D0A"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92B4A32" w14:textId="77777777">
            <w:pPr>
              <w:pBdr/>
              <w:spacing w:line="276" w:lineRule="auto"/>
              <w:ind/>
              <w:rPr>
                <w:color w:val="000000"/>
                <w:sz w:val="22"/>
                <w:szCs w:val="22"/>
              </w:rPr>
            </w:pP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682351" cy="2517235"/>
                      <wp:effectExtent l="0" t="0" r="0" b="0"/>
                      <wp:docPr id="22" name=""/>
                      <wp:cNvGraphicFramePr/>
                      <a:graphic xmlns:a="http://schemas.openxmlformats.org/drawingml/2006/main">
                        <a:graphicData uri="http://schemas.openxmlformats.org/drawingml/2006/picture">
                          <pic:pic xmlns:pic="http://schemas.openxmlformats.org/drawingml/2006/picture">
                            <pic:nvPicPr>
                              <pic:cNvPr id="205090039" name="" descr=""/>
                              <pic:cNvPicPr/>
                              <pic:nvPr/>
                            </pic:nvPicPr>
                            <pic:blipFill rotWithShape="1">
                              <a:blip r:embed="rId34"/>
                              <a:stretch/>
                            </pic:blipFill>
                            <pic:spPr bwMode="auto">
                              <a:xfrm rot="0" flipH="0" flipV="0">
                                <a:off x="0" y="0"/>
                                <a:ext cx="3682350" cy="25172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89.95pt;height:198.21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w:r>
            <w:r>
              <w:rPr>
                <w:color w:val="000000"/>
                <w:sz w:val="22"/>
                <w:szCs w:val="22"/>
              </w:rPr>
            </w:r>
          </w:p>
          <w:p w14:paraId="7CA84D56" w14:textId="644BD629">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tc>
      </w:tr>
    </w:tbl>
    <w:p w14:paraId="5FEF938F" w14:textId="77777777">
      <w:pPr>
        <w:pBdr/>
        <w:spacing w:after="200" w:line="276" w:lineRule="auto"/>
        <w:ind/>
        <w:jc w:val="center"/>
        <w:rPr>
          <w:i/>
          <w:lang w:val="pt-BR"/>
        </w:rPr>
      </w:pPr>
      <w:r>
        <w:rPr>
          <w:i/>
          <w:lang w:val="pt-BR"/>
        </w:rPr>
      </w:r>
      <w:r>
        <w:rPr>
          <w:i/>
          <w:lang w:val="pt-BR"/>
        </w:rPr>
      </w:r>
      <w:r>
        <w:rPr>
          <w:i/>
          <w:lang w:val="pt-BR"/>
        </w:rPr>
      </w:r>
    </w:p>
    <w:p w14:paraId="12911EF6">
      <w:pPr>
        <w:pBdr/>
        <w:spacing w:after="200" w:line="276" w:lineRule="auto"/>
        <w:ind/>
        <w:rPr>
          <w:lang w:val="pt-BR"/>
        </w:rPr>
      </w:pPr>
      <w:r>
        <w:rPr>
          <w:iCs/>
          <w:lang w:val="pt-BR"/>
        </w:rPr>
      </w:r>
      <w:r>
        <w:rPr>
          <w:lang w:val="pt-BR"/>
        </w:rPr>
      </w:r>
      <w:r>
        <w:rPr>
          <w:lang w:val="pt-BR"/>
        </w:rPr>
      </w:r>
    </w:p>
    <w:p w14:paraId="7B061B7C">
      <w:pPr>
        <w:pBdr/>
        <w:spacing w:after="200" w:line="276" w:lineRule="auto"/>
        <w:ind/>
        <w:rPr>
          <w:lang w:val="pt-BR"/>
        </w:rPr>
      </w:pPr>
      <w:r>
        <w:rPr>
          <w:iCs/>
          <w:lang w:val="pt-BR"/>
        </w:rPr>
      </w:r>
      <w:r>
        <w:rPr>
          <w:lang w:val="pt-BR"/>
        </w:rPr>
      </w:r>
      <w:r>
        <w:rPr>
          <w:lang w:val="pt-BR"/>
        </w:rPr>
      </w:r>
    </w:p>
    <w:p w14:paraId="4CB8B54A">
      <w:pPr>
        <w:pBdr/>
        <w:spacing w:after="200" w:line="276" w:lineRule="auto"/>
        <w:ind/>
        <w:rPr>
          <w:lang w:val="pt-BR"/>
        </w:rPr>
      </w:pPr>
      <w:r>
        <w:rPr>
          <w:iCs/>
          <w:lang w:val="pt-BR"/>
        </w:rPr>
      </w:r>
      <w:r>
        <w:rPr>
          <w:lang w:val="pt-BR"/>
        </w:rPr>
      </w:r>
      <w:r>
        <w:rPr>
          <w:lang w:val="pt-BR"/>
        </w:rPr>
      </w:r>
    </w:p>
    <w:p w14:paraId="3CE06316">
      <w:pPr>
        <w:pBdr/>
        <w:spacing w:after="200" w:line="276" w:lineRule="auto"/>
        <w:ind/>
        <w:rPr>
          <w:lang w:val="pt-BR"/>
        </w:rPr>
      </w:pPr>
      <w:r>
        <w:rPr>
          <w:iCs/>
          <w:lang w:val="pt-BR"/>
        </w:rPr>
      </w:r>
      <w:r>
        <w:rPr>
          <w:lang w:val="pt-BR"/>
        </w:rPr>
      </w:r>
      <w:r>
        <w:rPr>
          <w:lang w:val="pt-BR"/>
        </w:rPr>
      </w:r>
    </w:p>
    <w:p w14:paraId="3123A226" w14:textId="18A56581">
      <w:pPr>
        <w:pBdr/>
        <w:spacing w:after="200" w:line="276" w:lineRule="auto"/>
        <w:ind/>
        <w:rPr>
          <w:iCs/>
          <w:lang w:val="pt-BR"/>
        </w:rPr>
      </w:pPr>
      <w:r>
        <w:rPr>
          <w:iCs/>
          <w:lang w:val="pt-BR"/>
        </w:rPr>
      </w:r>
      <w:r>
        <w:rPr>
          <w:iCs/>
          <w:lang w:val="pt-BR"/>
        </w:rPr>
      </w:r>
      <w:r>
        <w:rPr>
          <w:iCs/>
          <w:lang w:val="pt-BR"/>
        </w:rPr>
      </w:r>
    </w:p>
    <w:p w14:paraId="546DA933" w14:textId="416FFDEF">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https://batdongsan.com.vn/ban-dat-duong-do-bi-phuong-my-an/ban-cap-162m-kep-cong-sat-goc-phan-liem-cach-en-250m-gia-43-ty-pr44347880</w:t>
            </w:r>
            <w:r>
              <w:rPr>
                <w:color w:val="000000" w:themeColor="text1"/>
                <w:sz w:val="22"/>
                <w:szCs w:val="22"/>
              </w:rPr>
              <w:br/>
            </w:r>
            <w:r>
              <w:rPr>
                <w:sz w:val="22"/>
                <w:szCs w:val="22"/>
              </w:rPr>
              <w:t xml:space="preserve">SĐT: </w:t>
            </w:r>
            <w:r>
              <w:rPr>
                <w:color w:val="000000" w:themeColor="text1"/>
                <w:sz w:val="22"/>
                <w:szCs w:val="22"/>
              </w:rPr>
              <w:t xml:space="preserve">0943999943</w:t>
            </w:r>
            <w:r>
              <w:rPr>
                <w:sz w:val="22"/>
                <w:szCs w:val="22"/>
              </w:rPr>
              <w:t xml:space="preserve"> </w:t>
            </w:r>
            <w:r>
              <w:rPr>
                <w:sz w:val="22"/>
                <w:szCs w:val="22"/>
              </w:rPr>
              <w:br/>
              <w:t xml:space="preserve">(KIm Thành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42.000.000.000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35.700.000.000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28FBE4"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680968"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420CE1"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BF854C" w14:textId="77777777">
            <w:pPr>
              <w:pBdr/>
              <w:spacing w:line="276" w:lineRule="auto"/>
              <w:ind/>
              <w:jc w:val="center"/>
              <w:rPr>
                <w:sz w:val="22"/>
                <w:szCs w:val="22"/>
              </w:rPr>
            </w:pPr>
            <w:r>
              <w:rPr>
                <w:color w:val="000000" w:themeColor="text1"/>
                <w:sz w:val="22"/>
                <w:szCs w:val="22"/>
              </w:rPr>
              <w:t xml:space="preserve">Đất ở tại đô thị (162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EBCADF"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3C19C"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7606E" w14:textId="77777777">
            <w:pPr>
              <w:pBdr/>
              <w:spacing w:line="276" w:lineRule="auto"/>
              <w:ind/>
              <w:jc w:val="center"/>
              <w:rPr>
                <w:sz w:val="22"/>
                <w:szCs w:val="22"/>
              </w:rPr>
            </w:pPr>
            <w:r>
              <w:rPr>
                <w:color w:val="000000" w:themeColor="text1"/>
                <w:sz w:val="22"/>
                <w:szCs w:val="22"/>
              </w:rPr>
              <w:t xml:space="preserve">Tài sản tại: Phường </w:t>
            </w:r>
            <w:r>
              <w:rPr>
                <w:color w:val="000000" w:themeColor="text1"/>
                <w:sz w:val="22"/>
                <w:szCs w:val="22"/>
              </w:rPr>
              <w:t xml:space="preserve">Mỹ An, Quận Ngũ Hành Sơn, Thành phố Đà Nẵng, khoảng cách ra đường chính Tiếp giáp đường Đỗ Bí, cách biển khoảng 250mm, độ rộng đường trước mặt tài sản 5.5m, mặt tiền 4.5m, Tiếp giáp đường Đỗ Bí, cách biển khoảng 250m, 16.054563212325558, 108.24566625515594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162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0FAACF3" w14:textId="77777777">
            <w:pPr>
              <w:pBdr/>
              <w:spacing w:line="276" w:lineRule="auto"/>
              <w:ind/>
              <w:jc w:val="center"/>
              <w:rPr>
                <w:b/>
                <w:bCs/>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4696695" cy="315270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74856" name=""/>
                              <pic:cNvPicPr>
                                <a:picLocks noChangeAspect="1"/>
                              </pic:cNvPicPr>
                              <pic:nvPr/>
                            </pic:nvPicPr>
                            <pic:blipFill rotWithShape="1">
                              <a:blip r:embed="rId35"/>
                              <a:stretch/>
                            </pic:blipFill>
                            <pic:spPr bwMode="auto">
                              <a:xfrm flipH="0" flipV="0">
                                <a:off x="0" y="0"/>
                                <a:ext cx="4696695" cy="31527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69.82pt;height:248.24pt;mso-wrap-distance-left:0.00pt;mso-wrap-distance-top:0.00pt;mso-wrap-distance-right:0.00pt;mso-wrap-distance-bottom:0.00pt;z-index:1;" stroked="false">
                      <v:imagedata r:id="rId35" o:title=""/>
                      <o:lock v:ext="edit" rotation="t"/>
                    </v:shape>
                  </w:pict>
                </mc:Fallback>
              </mc:AlternateContent>
            </w:r>
            <w:r>
              <w:rPr>
                <w:b/>
                <w:bCs/>
                <w:color w:val="000000"/>
                <w:sz w:val="22"/>
                <w:szCs w:val="22"/>
              </w:rPr>
            </w:r>
            <w:r>
              <w:rPr>
                <w:b/>
                <w:bCs/>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53677B50">
            <w:pPr>
              <w:pBdr/>
              <w:spacing/>
              <w:ind/>
              <w:jc w:val="center"/>
              <w:rPr/>
            </w:pPr>
            <w:r>
              <w:t xml:space="preserve">Lê Đình Duy</w: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jc w:val="center"/>
        <w:rPr>
          <w:iCs/>
          <w:highlight w:val="none"/>
          <w:lang w:val="pt-BR"/>
        </w:rPr>
      </w:pPr>
      <w:r>
        <w:rPr>
          <w:iCs/>
          <w:lang w:val="pt-BR"/>
        </w:rPr>
      </w:r>
      <w:r>
        <w:rPr>
          <w:iCs/>
          <w:lang w:val="pt-BR"/>
        </w:rPr>
        <w:t xml:space="preserve">BIÊN BẢN KHẢO SÁT</w:t>
      </w:r>
      <w:r>
        <w:rPr>
          <w:iCs/>
          <w:highlight w:val="none"/>
          <w:lang w:val="pt-BR"/>
        </w:rPr>
      </w:r>
      <w:r>
        <w:rPr>
          <w:iCs/>
          <w:highlight w:val="none"/>
          <w:lang w:val="pt-BR"/>
        </w:rPr>
      </w:r>
    </w:p>
    <w:p w14:paraId="5ED3B1DE">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5403969" cy="720529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02484" name=""/>
                        <pic:cNvPicPr>
                          <a:picLocks noChangeAspect="1"/>
                        </pic:cNvPicPr>
                        <pic:nvPr/>
                      </pic:nvPicPr>
                      <pic:blipFill rotWithShape="1">
                        <a:blip r:embed="rId36"/>
                        <a:stretch/>
                      </pic:blipFill>
                      <pic:spPr bwMode="auto">
                        <a:xfrm flipH="0" flipV="0">
                          <a:off x="0" y="0"/>
                          <a:ext cx="5403969" cy="72052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25.51pt;height:567.35pt;mso-wrap-distance-left:0.00pt;mso-wrap-distance-top:0.00pt;mso-wrap-distance-right:0.00pt;mso-wrap-distance-bottom:0.00pt;z-index:1;" stroked="false">
                <v:imagedata r:id="rId36" o:title=""/>
                <o:lock v:ext="edit" rotation="t"/>
              </v:shape>
            </w:pict>
          </mc:Fallback>
        </mc:AlternateContent>
      </w:r>
      <w:r>
        <w:rPr>
          <w:iCs/>
          <w:highlight w:val="none"/>
          <w:lang w:val="pt-BR" w:bidi="pt-BR"/>
        </w:rPr>
      </w: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9D8C5E8" w14:textId="77777777">
      <w:pPr>
        <w:pBdr/>
        <w:spacing/>
        <w:ind/>
        <w:rPr/>
      </w:pPr>
      <w:r>
        <w:separator/>
      </w:r>
      <w:r/>
    </w:p>
  </w:endnote>
  <w:endnote w:type="continuationSeparator" w:id="0">
    <w:p w14:paraId="20D9775F"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50132853">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182DA727">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3FF4871" w14:textId="77777777">
      <w:pPr>
        <w:pBdr/>
        <w:spacing/>
        <w:ind/>
        <w:rPr/>
      </w:pPr>
      <w:r>
        <w:separator/>
      </w:r>
      <w:r/>
    </w:p>
  </w:footnote>
  <w:footnote w:type="continuationSeparator" w:id="0">
    <w:p w14:paraId="51B60AF5"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3C121E40"/>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30909450"/>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3B209A2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3AFD66D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4">
    <w:nsid w:val="213F7918"/>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6">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name w:val="Unresolved Mention"/>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dautubds.baodautu.vn/chuyen%20dong-thi-truong-c31/"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511</cp:revision>
  <dcterms:created xsi:type="dcterms:W3CDTF">2025-09-15T02:01:00Z</dcterms:created>
  <dcterms:modified xsi:type="dcterms:W3CDTF">2026-01-13T09:01:32Z</dcterms:modified>
</cp:coreProperties>
</file>