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0373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3733"/>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275/2026/0019/VFI-CT.63.A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DUNG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190, tờ bản đồ số: 7 có địa chỉ: KĐC Tự xây Sau Núi, Phường Nội Hợp, Thành phố Vĩnh Yên, Vĩnh Phúc (nay là</w:t>
                            </w:r>
                            <w:r>
                              <w:rPr>
                                <w:color w:val="000000"/>
                              </w:rPr>
                              <w:t xml:space="preserve"> phường Vĩnh Yên, tỉnh Phú Thọ) theo Giấy chứng nhận quyền sử dụng đất, quyền sở hữu nhà ở và tài sản khác gắn liền với đất  số: CB 548899, số vào sổ cấp GCN: CS 04093 do Sở Tài nguyên và Môi trường - Tỉnh Vĩnh Phúc cấp ngày 03/11/2016</w:t>
                            </w:r>
                            <w:r>
                              <w:rPr>
                                <w:color w:val="000000"/>
                              </w:rPr>
                              <w:t xml:space="preserve"> cho Bà Nguyễn Thị Dung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5.88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275/2026/0019/VFI-CT.63.A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DUNG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190, tờ bản đồ số: 7 có địa chỉ: KĐC Tự xây Sau Núi, Phường Nội Hợp, Thành phố Vĩnh Yên, Vĩnh Phúc (nay là</w:t>
                      </w:r>
                      <w:r>
                        <w:rPr>
                          <w:color w:val="000000"/>
                        </w:rPr>
                        <w:t xml:space="preserve"> phường Vĩnh Yên, tỉnh Phú Thọ) theo Giấy chứng nhận quyền sử dụng đất, quyền sở hữu nhà ở và tài sản khác gắn liền với đất  số: CB 548899, số vào sổ cấp GCN: CS 04093 do Sở Tài nguyên và Môi trường - Tỉnh Vĩnh Phúc cấp ngày 03/11/2016</w:t>
                      </w:r>
                      <w:r>
                        <w:rPr>
                          <w:color w:val="000000"/>
                        </w:rPr>
                        <w:t xml:space="preserve"> cho Bà Nguyễn Thị Dung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19-30</w:t>
            </w:r>
            <w:r>
              <w:rPr>
                <w:b/>
                <w:bCs/>
              </w:rPr>
            </w:r>
            <w:r>
              <w:rPr>
                <w:b/>
                <w:bCs/>
              </w:rPr>
            </w:r>
          </w:p>
        </w:tc>
      </w:tr>
    </w:tbl>
    <w:p w14:paraId="65E8110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583"/>
        <w:gridCol w:w="11976"/>
      </w:tblGrid>
      <w:tr>
        <w:trPr>
          <w:trHeight w:val="1152"/>
        </w:trPr>
        <w:tc>
          <w:tcPr>
            <w:gridSpan w:val="2"/>
            <w:tcBorders/>
            <w:tcW w:w="243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976"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14:paraId="103F6C0D" w14:textId="77777777">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275/2026/0019/VFI-CT.63.A</w:t>
            </w:r>
            <w:r>
              <w:rPr>
                <w:color w:val="000000" w:themeColor="text1"/>
                <w:sz w:val="24"/>
                <w:szCs w:val="24"/>
              </w:rPr>
            </w:r>
            <w:r>
              <w:rPr>
                <w:color w:val="000000" w:themeColor="text1"/>
                <w:sz w:val="24"/>
                <w:szCs w:val="24"/>
              </w:rPr>
            </w:r>
          </w:p>
          <w:p w14:paraId="6C20F813" w14:textId="77777777">
            <w:pPr>
              <w:pStyle w:val="1028"/>
              <w:pBdr/>
              <w:spacing w:after="60"/>
              <w:ind w:right="-56"/>
              <w:jc w:val="left"/>
              <w:rPr>
                <w:color w:val="000000" w:themeColor="text1"/>
                <w:sz w:val="24"/>
                <w:szCs w:val="24"/>
                <w:lang w:val="vi-VN"/>
              </w:rPr>
            </w:pPr>
            <w:r>
              <w:rPr>
                <w:rStyle w:val="1027"/>
                <w:rFonts w:ascii="Times New Roman" w:hAnsi="Times New Roman"/>
                <w:i/>
                <w:color w:val="auto"/>
              </w:rPr>
              <w:t xml:space="preserve">                                                                                  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7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DUNG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275/2026/0019/VFI-HĐTĐ.63.A</w:t>
      </w:r>
      <w:r>
        <w:rPr>
          <w:spacing w:val="-4"/>
          <w:lang w:val="vi-VN"/>
        </w:rPr>
        <w:t xml:space="preserve"> ký ngày </w:t>
      </w:r>
      <w:r>
        <w:rPr>
          <w:color w:val="000000" w:themeColor="text1"/>
          <w:spacing w:val="-4"/>
        </w:rPr>
        <w:t xml:space="preserve">6 tháng 1 năm 2026</w:t>
      </w:r>
      <w:r>
        <w:rPr>
          <w:spacing w:val="-4"/>
          <w:lang w:val="vi-VN"/>
        </w:rPr>
        <w:t xml:space="preserve"> </w:t>
      </w:r>
      <w:r>
        <w:rPr>
          <w:spacing w:val="-4"/>
          <w:lang w:val="vi-VN"/>
        </w:rPr>
        <w:t xml:space="preserve">giữa </w:t>
      </w:r>
      <w:r>
        <w:rPr>
          <w:color w:val="000000" w:themeColor="text1"/>
          <w:spacing w:val="-4"/>
        </w:rPr>
        <w:t xml:space="preserve">BÀ NGUYỄN THỊ DUNG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275/2026/0019/VFI-BC.63.A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NGUYỄN THỊ DUNG </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060718361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1950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Phường Vĩnh Yên, tỉnh Phú Thọ.</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rPr>
        <w:t xml:space="preserve"> </w:t>
      </w:r>
      <w:r>
        <w:rPr>
          <w:color w:val="000000"/>
        </w:rPr>
        <w:t xml:space="preserve">Quyền sử dụng đất tại thửa đất số: 190, tờ bản đồ số: 7 có địa chỉ: KĐC Tự xây Sau Núi, Phường Nội Hợp, Thành phố Vĩnh Yên, Vĩnh Phúc (nay là</w:t>
      </w:r>
      <w:r>
        <w:rPr>
          <w:color w:val="000000"/>
        </w:rPr>
        <w:t xml:space="preserve"> phường Vĩnh Yên, tỉnh Phú Thọ) theo Giấy chứng nhận quyền sử dụng đất, quyền sở hữu nhà ở và tài sản khác gắn liền với đất  số: CB 548899, số vào sổ cấp GCN: CS 04093 do Sở Tài nguyên và Môi trường - Tỉnh Vĩnh Phúc cấp ngày 03/11/2016</w:t>
      </w:r>
      <w:r>
        <w:rPr>
          <w:color w:val="000000"/>
        </w:rPr>
        <w:t xml:space="preserve"> cho Bà Nguyễn Thị Dung</w:t>
      </w:r>
      <w:r>
        <w:rPr>
          <w:bCs/>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b/>
                <w:bCs/>
                <w:color w:val="000000"/>
              </w:rPr>
            </w:r>
            <w:r>
              <w:rPr>
                <w:b/>
                <w:bCs/>
                <w:color w:val="000000"/>
              </w:rPr>
              <w:t xml:space="preserve">Quyền sử dụng đất tại thửa đất số: 190, tờ bản đồ số: 7 có địa chỉ: KĐC Tự xây Sau Núi, Phường Nội Hợp, Thành phố Vĩnh Yên, Vĩnh Phúc (nay là</w:t>
            </w:r>
            <w:r>
              <w:rPr>
                <w:b/>
                <w:bCs/>
                <w:color w:val="000000"/>
              </w:rPr>
              <w:t xml:space="preserve"> phường Vĩnh Yên, tỉnh Phú Thọ) theo Giấy chứng nhận quyền sử dụng đất, quyền sở hữu nhà ở và tài sản khác gắn liền với đất  số: CB 548899, số vào sổ cấp GCN: CS 04093 do Sở Tài nguyên và Môi trường - Tỉnh Vĩnh Phúc cấp ngày 03/11/2016</w:t>
            </w:r>
            <w:r>
              <w:rPr>
                <w:b/>
                <w:bCs/>
                <w:color w:val="000000"/>
              </w:rPr>
              <w:t xml:space="preserve"> cho Bà Nguyễn Thị Dung</w:t>
            </w:r>
            <w:r>
              <w:rPr>
                <w:b/>
                <w:bCs/>
                <w:i/>
                <w:i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26.000.000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2.600.000.000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rPr>
                <w:b/>
                <w:bCs/>
              </w:rPr>
              <w:t xml:space="preserve">2.600.000.000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,sáu trăm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r>
      <w:r>
        <w:rPr>
          <w:lang w:val="pt-BR"/>
        </w:rPr>
      </w:r>
    </w:p>
    <w:p w14:paraId="08E79B60">
      <w:pPr>
        <w:pBdr/>
        <w:spacing w:after="120" w:before="120" w:line="312" w:lineRule="auto"/>
        <w:ind w:firstLine="36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14:paraId="55E7402E" w14:textId="77777777">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275/2026/0019/VFI-CT.63.A</w:t>
            </w:r>
            <w:r>
              <w:rPr>
                <w:color w:val="000000" w:themeColor="text1"/>
                <w:sz w:val="24"/>
                <w:szCs w:val="24"/>
              </w:rPr>
            </w:r>
            <w:r>
              <w:rPr>
                <w:color w:val="000000" w:themeColor="text1"/>
                <w:sz w:val="24"/>
                <w:szCs w:val="24"/>
              </w:rPr>
            </w:r>
          </w:p>
          <w:p w14:paraId="2396134F" w14:textId="77777777">
            <w:pPr>
              <w:pStyle w:val="1028"/>
              <w:pBdr/>
              <w:spacing w:after="60"/>
              <w:ind w:right="-56"/>
              <w:jc w:val="left"/>
              <w:rPr>
                <w:color w:val="000000" w:themeColor="text1"/>
                <w:sz w:val="24"/>
                <w:szCs w:val="24"/>
                <w:lang w:val="vi-VN"/>
              </w:rPr>
            </w:pPr>
            <w:r>
              <w:rPr>
                <w:rStyle w:val="1027"/>
                <w:rFonts w:ascii="Times New Roman" w:hAnsi="Times New Roman"/>
                <w:i/>
                <w:color w:val="auto"/>
              </w:rPr>
              <w:t xml:space="preserve">                                                                         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7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275/2026/0019/VFI-CT.63.A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B46E02E">
            <w:pPr>
              <w:pBdr/>
              <w:spacing/>
              <w:ind/>
              <w:rPr/>
            </w:pPr>
            <w:r>
              <w:rPr>
                <w:b/>
                <w:bCs/>
              </w:rPr>
              <w:t xml:space="preserve">BÀ NGUYỄN THỊ DUNG </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33420A0">
            <w:pPr>
              <w:pBdr/>
              <w:spacing w:after="40" w:before="40" w:line="276" w:lineRule="auto"/>
              <w:ind/>
              <w:jc w:val="both"/>
              <w:rPr>
                <w:color w:val="ff0000"/>
                <w:lang w:val="pt-BR"/>
              </w:rPr>
            </w:pPr>
            <w:r>
              <w:rPr>
                <w:color w:val="000000" w:themeColor="text1"/>
                <w:lang w:val="vi-VN"/>
              </w:rPr>
              <w:t xml:space="preserve">060718361</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239F243">
            <w:pPr>
              <w:pBdr/>
              <w:spacing w:after="40" w:before="40" w:line="276" w:lineRule="auto"/>
              <w:ind/>
              <w:jc w:val="both"/>
              <w:rPr>
                <w:color w:val="ff0000"/>
                <w:lang w:val="pt-BR"/>
              </w:rPr>
            </w:pPr>
            <w:r>
              <w:rPr>
                <w:color w:val="000000" w:themeColor="text1"/>
                <w:lang w:val="vi-VN"/>
              </w:rPr>
              <w:t xml:space="preserve">1950</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EAFC20D">
            <w:pPr>
              <w:pBdr/>
              <w:spacing w:after="40" w:before="40" w:line="276" w:lineRule="auto"/>
              <w:ind/>
              <w:jc w:val="both"/>
              <w:rPr>
                <w:color w:val="ff0000"/>
                <w:lang w:val="pt-BR"/>
              </w:rPr>
            </w:pPr>
            <w:r>
              <w:rPr>
                <w:color w:val="000000" w:themeColor="text1"/>
                <w:lang w:val="vi-VN"/>
              </w:rPr>
              <w:t xml:space="preserve">Phường Vĩnh Yên, tỉnh Phú Thọ.</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
              </w:rPr>
              <w:t xml:space="preserve"> </w:t>
            </w:r>
            <w:r>
              <w:rPr>
                <w:color w:val="000000"/>
              </w:rPr>
              <w:t xml:space="preserve">Quyền sử dụng đất tại thửa đất số: 190, tờ bản đồ số: 7 có địa chỉ: KĐC Tự xây Sau Núi, Phường Nội Hợp, Thành phố Vĩnh Yên, Vĩnh Phúc (nay là</w:t>
            </w:r>
            <w:r>
              <w:rPr>
                <w:color w:val="000000"/>
              </w:rPr>
              <w:t xml:space="preserve"> phường Vĩnh Yên, tỉnh Phú Thọ) theo Giấy chứng nhận quyền sử dụng đất, quyền sở hữu nhà ở và tài sản khác gắn liền với đất  số: CB 548899, số vào sổ cấp GCN: CS 04093 do Sở Tài nguyên và Môi trường - Tỉnh Vĩnh Phúc cấp ngày 03/11/2016</w:t>
            </w:r>
            <w:r>
              <w:rPr>
                <w:color w:val="000000"/>
              </w:rPr>
              <w:t xml:space="preserve"> cho Bà Nguyễn Thị Dung</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Vĩnh Yên, tỉnh Phú Thọ</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21.3019676, 105.5657883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CB 548899, số vào sổ cấp GCN: CS 04093 do Sở Tài nguyên và Môi trường - Tỉnh Vĩnh Phúc cấp ngày 03/11/2016 cho Bà Nguyễn Thị Dung</w:t>
      </w:r>
      <w:r>
        <w:rPr>
          <w:bCs/>
          <w:spacing w:val="2"/>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275/2026/0019/VFI-HĐTĐ.63.A</w:t>
      </w:r>
      <w:r>
        <w:rPr>
          <w:color w:val="000000" w:themeColor="text1"/>
          <w:lang w:val="pt-BR"/>
        </w:rPr>
        <w:t xml:space="preserve"> ngày 06/01/2026 giữa Bà Nguyễn Thị Dung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iCs/>
        </w:rPr>
      </w:pPr>
      <w:r>
        <w:rPr>
          <w:lang w:val="pt-BR"/>
        </w:rPr>
        <w:tab/>
      </w:r>
      <w:r>
        <w:rPr>
          <w:shd w:val="clear" w:color="auto" w:fill="ffffff"/>
        </w:rPr>
        <w:t xml:space="preserve">Sự kiện Sáp nhập Phú Thọ - Vĩnh Phúc - Hòa Bình được đánh giá là cú hích mạnh mẽ với thị trường bất động sản khu vực. Nhiều nhà đầu tư đã bắt đầu dồn lực vào các khu vực ven TP. Việt Trì, các huyện đang được sáp nhập mạnh như T</w:t>
      </w:r>
      <w:r>
        <w:rPr>
          <w:shd w:val="clear" w:color="auto" w:fill="ffffff"/>
        </w:rPr>
        <w:t xml:space="preserve">am Nông, Thanh Sơn... kỳ vọng vào sự tăng trưởng về giá trị và tiềm năng sinh lời từ đất nền, nhà ở thương mại.</w:t>
      </w:r>
      <w:r>
        <w:rPr>
          <w:iCs/>
        </w:rPr>
      </w:r>
      <w:r>
        <w:rPr>
          <w:iCs/>
        </w:rPr>
      </w:r>
    </w:p>
    <w:p w14:paraId="341FEBD8">
      <w:pPr>
        <w:pBdr/>
        <w:tabs>
          <w:tab w:val="left" w:leader="none" w:pos="426"/>
        </w:tabs>
        <w:spacing w:after="120" w:before="120" w:line="276" w:lineRule="auto"/>
        <w:ind/>
        <w:jc w:val="both"/>
        <w:rPr/>
      </w:pPr>
      <w:r>
        <w:rPr>
          <w:shd w:val="clear" w:color="auto" w:fill="ffffff"/>
        </w:rPr>
        <w:t xml:space="preserve">Cải thiện và nâng cấp hạ tầng được tiến hành đồng bộ, định hướng phát triển đô thị vệ tinh và quỹ đất mở rộng. Các phân khúc như bất động sản ng</w:t>
      </w:r>
      <w:r>
        <w:rPr>
          <w:shd w:val="clear" w:color="auto" w:fill="ffffff"/>
        </w:rPr>
        <w:t xml:space="preserve">hỉ dưỡng, khu đô thị mới, đất nền vùng ven được dự báo sẽ bùng nổ từ 2025 - 2027.</w:t>
      </w:r>
      <w:r>
        <w:rPr>
          <w:bCs/>
          <w:i/>
          <w:lang w:val="pt-BR"/>
        </w:rPr>
      </w:r>
      <w:r/>
    </w:p>
    <w:p w14:paraId="66776CD0">
      <w:pPr>
        <w:pBdr/>
        <w:tabs>
          <w:tab w:val="left" w:leader="none" w:pos="426"/>
        </w:tabs>
        <w:spacing w:after="120" w:before="120" w:line="276" w:lineRule="auto"/>
        <w:ind/>
        <w:jc w:val="both"/>
        <w:rPr/>
      </w:pPr>
      <w:r>
        <w:rPr>
          <w:shd w:val="clear" w:color="auto" w:fill="ffffff"/>
        </w:rPr>
        <w:t xml:space="preserve">Ngay sau khi thông tin về sáp nhập được công bố, TP Việt Trì ghi nhận lượng lớn nhà đầu tư đổ về, đặc biệt từ Vĩnh Phúc, Hòa Bình, và Hà Nội. Nhiều nhà đầu tư từ Vĩnh Phúc đã</w:t>
      </w:r>
      <w:r>
        <w:rPr>
          <w:shd w:val="clear" w:color="auto" w:fill="ffffff"/>
        </w:rPr>
        <w:t xml:space="preserve"> chuyển hướng vốn từ các khu vực khác để mua đất tại Việt Trì, kỳ vọng phục vụ công việc sau sáp nhập và hưởng lợi từ giá đất tăng. Các khu vực gần trung tâm hành chính, trường đại học, và bệnh viện lớn như Đại học Hùng Vương, Bệnh viện Sản Nhi trở thành đ</w:t>
      </w:r>
      <w:r>
        <w:rPr>
          <w:shd w:val="clear" w:color="auto" w:fill="ffffff"/>
        </w:rPr>
        <w:t xml:space="preserve">iểm nóng thu hút giao dịch.</w:t>
        <w:br/>
        <w:t xml:space="preserve">Hoạt động mua bán diễn ra nhộn nhịp, với tần suất giao dịch tăng đáng kể so với giai đoạn trước. Nếu như trước đây, các dự án gần quốc lộ thường vắng bóng người mua, thì nay nhiều khu vực ghi nhận sự hiện diện thường xuyên của c</w:t>
      </w:r>
      <w:r>
        <w:rPr>
          <w:shd w:val="clear" w:color="auto" w:fill="ffffff"/>
        </w:rPr>
        <w:t xml:space="preserve">ác nhà đầu tư, bao gồm cả những người đến từ Hà Nội. Điều này phản ánh sức hút mạnh mẽ của thông tin sáp nhập tỉnh thành đối với thị trường bất động sản.</w:t>
        <w:br/>
        <w:t xml:space="preserve">Giá đất tại các phường trung tâm của TP Việt Trì, bao gồm Thanh Miếu, Gia Cẩm, Trưng Vương, Bạch Hạc, </w:t>
      </w:r>
      <w:r>
        <w:rPr>
          <w:shd w:val="clear" w:color="auto" w:fill="ffffff"/>
        </w:rPr>
        <w:t xml:space="preserve">Sông Lô và Thọ Sơn, đã tăng từ 20-50% so với đầu năm 2025, tùy thuộc vào vị trí. Khu đô thị Bến Gót (phường Thọ Sơn) là một trong những điểm nóng nổi bật. Một lô đất 90 m² tại đây từng có giá khoảng 1,5 tỷ đồng vào tháng trước, nay đã tăng lên 2,05 tỷ đồng</w:t>
      </w:r>
      <w:r>
        <w:rPr>
          <w:shd w:val="clear" w:color="auto" w:fill="ffffff"/>
        </w:rPr>
        <w:t xml:space="preserve">, tương đương mức tăng hơn 30%. Những lô đất lớn hơn, diện tích 105 m², thậm chí tăng từ 1,65 tỷ đồng lên 2,5 tỷ đồng, tức hơn 50%.</w:t>
        <w:br/>
        <w:t xml:space="preserve">Các khu vực khác, cách trung tâm Việt Trì 5-7 km, cũng ghi nhận sự sôi động, dù mức tăng giá không mạnh bằng các phường trun</w:t>
      </w:r>
      <w:r>
        <w:rPr>
          <w:shd w:val="clear" w:color="auto" w:fill="ffffff"/>
        </w:rPr>
        <w:t xml:space="preserve">g tâm. Ví dụ, một lô đất gần Đại học Hùng Vương, view hồ, được mua với giá 2,2 tỷ đồng vào tháng 7/2024, nay đã được định giá 3,1 tỷ đồng, tăng hơn 40% trong chưa đầy một năm. Một số lô đất khác đạt mức giá 4,8 tỷ - 5 tỷ đồng, gấp đôi so với năm trước.</w:t>
        <w:br/>
        <w:t xml:space="preserve">Bên</w:t>
      </w:r>
      <w:r>
        <w:rPr>
          <w:shd w:val="clear" w:color="auto" w:fill="ffffff"/>
        </w:rPr>
        <w:t xml:space="preserve"> cạnh làn sóng đầu tư, thị trường bất động sản tại Phú Thọ, đặc biệt ở Việt Trì, đang xuất hiện dấu hiệu đầu cơ và sốt đất cục bộ. Một số cá nhân lợi dụng thông tin sáp nhập để đẩy giá đất lên cao, tạo hiện tượng sốt đất ảo. Báo cáo từ Sở Xây dựng tỉnh Phú</w:t>
      </w:r>
      <w:r>
        <w:rPr>
          <w:shd w:val="clear" w:color="auto" w:fill="ffffff"/>
        </w:rPr>
        <w:t xml:space="preserve"> Thọ cho thấy, dù giá đất tăng mạnh tại một số khu vực, các sàn giao dịch chính thức vẫn ghi nhận ít giao dịch thực tế. Điều này cho thấy phần lớn đợt tăng giá có thể xuất phát từ hoạt động đầu cơ và tâm lý đám đông.</w:t>
        <w:br/>
        <w:t xml:space="preserve">Thị trường bất động sản Phú Thọ, Vĩnh P</w:t>
      </w:r>
      <w:r>
        <w:rPr>
          <w:shd w:val="clear" w:color="auto" w:fill="ffffff"/>
        </w:rPr>
        <w:t xml:space="preserve">húc, Hòa Bình đang trải qua giai đoạn sôi động trước thông tin sáp nhập tỉnh thành. Với TP Việt Trì được chọn làm trung tâm hành chính mới, khu vực này trở thành điểm đến hấp dẫn cho các nhà đầu tư. Với sự phát triển đồng bộ trong tương lai, tỉnh Phú Thọ m</w:t>
      </w:r>
      <w:r>
        <w:rPr>
          <w:shd w:val="clear" w:color="auto" w:fill="ffffff"/>
        </w:rPr>
        <w:t xml:space="preserve">ới hứa hẹn trở thành thị trường bất động sản tiềm năng, nhưng chỉ những quyết định sáng suốt mới mang lại lợi nhuận bền vững.</w:t>
      </w:r>
      <w:r>
        <w:rPr>
          <w:bCs/>
          <w:i/>
          <w:lang w:val="pt-BR"/>
        </w:rPr>
      </w:r>
      <w:r/>
    </w:p>
    <w:p w14:paraId="1426CDAF">
      <w:pPr>
        <w:pBdr/>
        <w:tabs>
          <w:tab w:val="left" w:leader="none" w:pos="426"/>
        </w:tabs>
        <w:spacing w:after="120" w:before="120" w:line="276" w:lineRule="auto"/>
        <w:ind/>
        <w:jc w:val="both"/>
        <w:rPr>
          <w:bCs/>
          <w:i/>
          <w:lang w:val="pt-BR"/>
        </w:rPr>
      </w:pPr>
      <w:r>
        <w:rPr>
          <w:shd w:val="clear" w:color="auto" w:fill="ffffff"/>
        </w:rPr>
        <w:t xml:space="preserve">(Nguồn:https://onehousing.vn/blog/thi-truong-bat-dong-san-phu-tho-vinh-phuc-hoa-binh-day-song-truoc-thong-tin-sap-nhap-tinh-n17t)</w:t>
      </w:r>
      <w:r>
        <w:rPr>
          <w:bCs/>
          <w:i/>
          <w:lang w:val="pt-BR"/>
        </w:rPr>
      </w:r>
      <w:r>
        <w:rPr>
          <w:bCs/>
          <w:i/>
          <w:lang w:val="pt-BR"/>
        </w:rPr>
      </w:r>
    </w:p>
    <w:p w14:paraId="20BF0D54" w14:textId="312C63AB">
      <w:pPr>
        <w:pStyle w:val="102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93"/>
        <w:gridCol w:w="2097"/>
        <w:gridCol w:w="1850"/>
        <w:gridCol w:w="2293"/>
        <w:gridCol w:w="2521"/>
      </w:tblGrid>
      <w:tr>
        <w:trPr>
          <w:trHeight w:val="2012"/>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8CDF5E9">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5390BE3E">
            <w:pPr>
              <w:pBdr/>
              <w:spacing w:after="0" w:before="0" w:line="276" w:lineRule="auto"/>
              <w:ind/>
              <w:jc w:val="left"/>
              <w:rPr/>
            </w:pPr>
            <w:r>
              <w:rPr>
                <w:rFonts w:ascii="Times New Roman" w:hAnsi="Times New Roman" w:eastAsia="Times New Roman" w:cs="Times New Roman"/>
                <w:b/>
                <w:color w:val="000000"/>
                <w:sz w:val="24"/>
              </w:rPr>
              <w:t xml:space="preserve">Quyền sử dụng đất tại thửa đất số: 190, tờ bản đồ số: 7 có địa chỉ: KĐC Tự xây Sau Núi, Phường Nội Hợp, Thành phố Vĩnh Yên, Vĩnh Phúc (nay là phường Vĩnh Yên, tỉnh Phú Thọ) theo Giấy chứng nhận quyền sử dụng đất, quyền sở hữu nhà ở và tài sản khác gắn liề</w:t>
            </w:r>
            <w:r>
              <w:rPr>
                <w:rFonts w:ascii="Times New Roman" w:hAnsi="Times New Roman" w:eastAsia="Times New Roman" w:cs="Times New Roman"/>
                <w:b/>
                <w:color w:val="000000"/>
                <w:sz w:val="24"/>
              </w:rPr>
              <w:t xml:space="preserve">n với đất  số: CB 548899, số vào sổ cấp GCN: CS 04093 do Sở Tài nguyên và Môi trường - Tỉnh Vĩnh Phúc cấp ngày 46092 cho Bà Nguyễn Thị Dung</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1B271CB">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5A8A7D27">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88CCA22">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68323722">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4961F80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6BE2F3B0">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0ED39B37">
            <w:pPr>
              <w:pBdr/>
              <w:spacing w:after="0" w:before="0" w:line="240" w:lineRule="auto"/>
              <w:ind/>
              <w:rPr/>
            </w:pPr>
            <w:r>
              <w:rPr>
                <w:rFonts w:ascii="Times New Roman" w:hAnsi="Times New Roman" w:eastAsia="Times New Roman" w:cs="Times New Roman"/>
                <w:color w:val="000000"/>
                <w:sz w:val="24"/>
              </w:rPr>
              <w:t xml:space="preserve">190</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05BB4FA5">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47D13B00">
            <w:pPr>
              <w:pBdr/>
              <w:spacing w:after="0" w:before="0" w:line="240" w:lineRule="auto"/>
              <w:ind/>
              <w:rPr/>
            </w:pPr>
            <w:r>
              <w:rPr>
                <w:rFonts w:ascii="Times New Roman" w:hAnsi="Times New Roman" w:eastAsia="Times New Roman" w:cs="Times New Roman"/>
                <w:color w:val="000000"/>
                <w:sz w:val="24"/>
              </w:rPr>
              <w:t xml:space="preserve">7</w:t>
            </w:r>
            <w:r/>
          </w:p>
        </w:tc>
      </w:tr>
      <w:tr>
        <w:trPr>
          <w:trHeight w:val="52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A1C78B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694CEF07">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0A6A4A72">
            <w:pPr>
              <w:pBdr/>
              <w:spacing w:after="0" w:before="0" w:line="240" w:lineRule="auto"/>
              <w:ind/>
              <w:rPr/>
            </w:pPr>
            <w:r>
              <w:rPr>
                <w:rFonts w:ascii="Times New Roman" w:hAnsi="Times New Roman" w:eastAsia="Times New Roman" w:cs="Times New Roman"/>
                <w:color w:val="000000"/>
                <w:sz w:val="24"/>
              </w:rPr>
              <w:t xml:space="preserve">KĐC Tự xây Sau Núi, Phường Nội Hợp, Thành phố Vĩnh Yên, Vĩnh Phúc (nay là phường Vĩnh Yên, tỉnh Phú Thọ)</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07BFAD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7246EB55">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734D8E53">
            <w:pPr>
              <w:pBdr/>
              <w:spacing w:after="0" w:before="0" w:line="240" w:lineRule="auto"/>
              <w:ind/>
              <w:rPr/>
            </w:pPr>
            <w:r>
              <w:rPr>
                <w:rFonts w:ascii="Times New Roman" w:hAnsi="Times New Roman" w:eastAsia="Times New Roman" w:cs="Times New Roman"/>
                <w:color w:val="000000"/>
                <w:sz w:val="24"/>
              </w:rPr>
              <w:t xml:space="preserve">  100</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17AB6188">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6E70022B">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98BD1F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1324915D">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10CC4C5F">
            <w:pPr>
              <w:pBdr/>
              <w:spacing w:after="0" w:before="0" w:line="240" w:lineRule="auto"/>
              <w:ind/>
              <w:rPr/>
            </w:pPr>
            <w:r>
              <w:rPr>
                <w:rFonts w:ascii="Times New Roman" w:hAnsi="Times New Roman" w:eastAsia="Times New Roman" w:cs="Times New Roman"/>
                <w:color w:val="000000"/>
                <w:sz w:val="24"/>
              </w:rPr>
              <w:t xml:space="preserve">Đất ở tại đô thị </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710E2651">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6063CE70">
            <w:pPr>
              <w:pBdr/>
              <w:spacing w:after="0" w:before="0" w:line="240" w:lineRule="auto"/>
              <w:ind/>
              <w:rPr/>
            </w:pPr>
            <w:r>
              <w:rPr>
                <w:rFonts w:ascii="Times New Roman" w:hAnsi="Times New Roman" w:eastAsia="Times New Roman" w:cs="Times New Roman"/>
                <w:color w:val="000000"/>
                <w:sz w:val="24"/>
              </w:rPr>
              <w:t xml:space="preserve">Lâu dài </w:t>
            </w:r>
            <w:r/>
          </w:p>
        </w:tc>
      </w:tr>
      <w:tr>
        <w:trPr>
          <w:trHeight w:val="103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1AB94E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2684AAA6">
            <w:pPr>
              <w:pBdr/>
              <w:spacing w:after="0" w:before="0" w:line="240" w:lineRule="auto"/>
              <w:ind/>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Ghi</w:t>
            </w:r>
            <w:r>
              <w:rPr>
                <w:rFonts w:ascii="Times New Roman" w:hAnsi="Times New Roman" w:eastAsia="Times New Roman" w:cs="Times New Roman"/>
                <w:color w:val="000000"/>
                <w:sz w:val="24"/>
              </w:rPr>
              <w:t xml:space="preserve"> chú</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4" w:type="dxa"/>
            <w:vAlign w:val="center"/>
            <w:textDirection w:val="lrTb"/>
            <w:noWrap w:val="false"/>
          </w:tcPr>
          <w:p w14:paraId="3C9B6E3F">
            <w:pPr>
              <w:pBdr/>
              <w:spacing w:after="0" w:before="0" w:line="240" w:lineRule="auto"/>
              <w:ind/>
              <w:rPr/>
            </w:pPr>
            <w:r>
              <w:rPr>
                <w:rFonts w:ascii="Times New Roman" w:hAnsi="Times New Roman" w:eastAsia="Times New Roman" w:cs="Times New Roman"/>
                <w:color w:val="000000"/>
                <w:sz w:val="24"/>
              </w:rPr>
              <w:t xml:space="preserve">Thửa đất trên GCN tương ứng với thửa đất D24 trên bản đồ quy hoạch</w:t>
            </w:r>
            <w:r/>
          </w:p>
        </w:tc>
      </w:tr>
      <w:tr>
        <w:trPr>
          <w:trHeight w:val="46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E8ED0ED">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20151399">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0AE3BBEA">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3760ADE9">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A4560D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11C4385A">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4" w:type="dxa"/>
            <w:vAlign w:val="center"/>
            <w:textDirection w:val="lrTb"/>
            <w:noWrap w:val="false"/>
          </w:tcPr>
          <w:p w14:paraId="20EA5BD6">
            <w:pPr>
              <w:pBdr/>
              <w:spacing w:after="0" w:before="0" w:line="240" w:lineRule="auto"/>
              <w:ind/>
              <w:rPr/>
            </w:pPr>
            <w:r>
              <w:rPr>
                <w:rFonts w:ascii="Times New Roman" w:hAnsi="Times New Roman" w:eastAsia="Times New Roman" w:cs="Times New Roman"/>
                <w:color w:val="000000"/>
                <w:sz w:val="24"/>
              </w:rPr>
              <w:t xml:space="preserve">KĐC Tự xây Sau Núi, Phường Nội Hợp, Thành phố Vĩnh Yên, Vĩnh Phúc (nay là phường Vĩnh Yên, tỉnh Phú Thọ)</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036A632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097" w:type="dxa"/>
            <w:vAlign w:val="center"/>
            <w:textDirection w:val="lrTb"/>
            <w:noWrap w:val="false"/>
          </w:tcPr>
          <w:p w14:paraId="2D627313">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850" w:type="dxa"/>
            <w:vAlign w:val="center"/>
            <w:textDirection w:val="lrTb"/>
            <w:noWrap w:val="false"/>
          </w:tcPr>
          <w:p w14:paraId="2DB1F9E7">
            <w:pPr>
              <w:pBdr/>
              <w:spacing w:after="0" w:before="0" w:line="240" w:lineRule="auto"/>
              <w:ind/>
              <w:rPr/>
            </w:pPr>
            <w:r>
              <w:rPr>
                <w:rFonts w:ascii="Times New Roman" w:hAnsi="Times New Roman" w:eastAsia="Times New Roman" w:cs="Times New Roman"/>
                <w:color w:val="000000"/>
                <w:sz w:val="24"/>
              </w:rPr>
              <w:t xml:space="preserve">Đường nội bộ </w:t>
            </w:r>
            <w:r/>
          </w:p>
        </w:tc>
        <w:tc>
          <w:tcPr>
            <w:tcBorders>
              <w:right w:val="single" w:color="000000" w:sz="5" w:space="0"/>
            </w:tcBorders>
            <w:tcMar>
              <w:left w:w="0" w:type="dxa"/>
              <w:top w:w="0" w:type="dxa"/>
              <w:right w:w="0" w:type="dxa"/>
              <w:bottom w:w="0" w:type="dxa"/>
            </w:tcMar>
            <w:tcW w:w="2293" w:type="dxa"/>
            <w:vAlign w:val="center"/>
            <w:textDirection w:val="lrTb"/>
            <w:noWrap w:val="false"/>
          </w:tcPr>
          <w:p w14:paraId="62339B31">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521" w:type="dxa"/>
            <w:vAlign w:val="center"/>
            <w:textDirection w:val="lrTb"/>
            <w:noWrap/>
          </w:tcPr>
          <w:p w14:paraId="5C9174EC">
            <w:pPr>
              <w:pBdr/>
              <w:spacing w:after="0" w:before="0" w:line="240" w:lineRule="auto"/>
              <w:ind/>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0FE549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07432A84">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49D468CD">
            <w:pPr>
              <w:pBdr/>
              <w:spacing w:after="0" w:before="0" w:line="240" w:lineRule="auto"/>
              <w:ind/>
              <w:rPr/>
            </w:pPr>
            <w:r>
              <w:rPr>
                <w:rFonts w:ascii="Times New Roman" w:hAnsi="Times New Roman" w:eastAsia="Times New Roman" w:cs="Times New Roman"/>
                <w:color w:val="000000"/>
                <w:sz w:val="24"/>
              </w:rPr>
              <w:t xml:space="preserve">13,5</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0B15A5D2">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684FDFEC">
            <w:pPr>
              <w:pBdr/>
              <w:spacing w:after="0" w:before="0" w:line="240" w:lineRule="auto"/>
              <w:ind/>
              <w:rPr/>
            </w:pPr>
            <w:r>
              <w:rPr>
                <w:rFonts w:ascii="Times New Roman" w:hAnsi="Times New Roman" w:eastAsia="Times New Roman" w:cs="Times New Roman"/>
                <w:color w:val="000000"/>
                <w:sz w:val="24"/>
              </w:rPr>
              <w:t xml:space="preserve">13,5</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C12234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59E9E99F">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09EF0AE5">
            <w:pPr>
              <w:pBdr/>
              <w:spacing w:after="0" w:before="0" w:line="240" w:lineRule="auto"/>
              <w:ind/>
              <w:rPr/>
            </w:pPr>
            <w:r>
              <w:rPr>
                <w:rFonts w:ascii="Times New Roman" w:hAnsi="Times New Roman" w:eastAsia="Times New Roman" w:cs="Times New Roman"/>
                <w:color w:val="000000"/>
                <w:sz w:val="24"/>
              </w:rPr>
              <w:t xml:space="preserve">Tài sản nằm cách đường  Mạc Đĩnh Chi khoảng 50m, cách đường QL2C khoảng 270m</w:t>
            </w:r>
            <w:r/>
          </w:p>
        </w:tc>
      </w:tr>
      <w:tr>
        <w:trPr>
          <w:trHeight w:val="66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6A2219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02B8A6B6">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5E92480C">
            <w:pPr>
              <w:pBdr/>
              <w:spacing w:after="0" w:before="0" w:line="240" w:lineRule="auto"/>
              <w:ind/>
              <w:rPr/>
            </w:pPr>
            <w:r>
              <w:rPr>
                <w:rFonts w:ascii="Times New Roman" w:hAnsi="Times New Roman" w:eastAsia="Times New Roman" w:cs="Times New Roman"/>
                <w:color w:val="000000"/>
                <w:sz w:val="24"/>
              </w:rPr>
              <w:t xml:space="preserve">Tài sản nằm tiếp giáp đường nhựa rộng khoảng 13,5m</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1D592444">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62" w:type="dxa"/>
            <w:vAlign w:val="center"/>
            <w:textDirection w:val="lrTb"/>
            <w:noWrap w:val="false"/>
          </w:tcPr>
          <w:p w14:paraId="2D482348">
            <w:pPr>
              <w:pBdr/>
              <w:spacing w:after="0" w:before="0" w:line="240" w:lineRule="auto"/>
              <w:ind/>
              <w:rPr/>
            </w:pPr>
            <w:r>
              <w:rPr>
                <w:rFonts w:ascii="Times New Roman" w:hAnsi="Times New Roman" w:eastAsia="Times New Roman" w:cs="Times New Roman"/>
                <w:color w:val="000000"/>
                <w:sz w:val="24"/>
              </w:rPr>
              <w:t xml:space="preserve">Vị trí </w:t>
            </w:r>
            <w:r>
              <w:rPr>
                <w:rFonts w:ascii="Times New Roman" w:hAnsi="Times New Roman" w:eastAsia="Times New Roman" w:cs="Times New Roman"/>
                <w:color w:val="000000"/>
                <w:sz w:val="24"/>
              </w:rPr>
              <w:t xml:space="preserve">:</w:t>
            </w:r>
            <w:r/>
          </w:p>
        </w:tc>
      </w:tr>
      <w:tr>
        <w:trPr>
          <w:trHeight w:val="258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90DB5F7">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62" w:type="dxa"/>
            <w:vAlign w:val="center"/>
            <w:textDirection w:val="lrTb"/>
            <w:noWrap w:val="false"/>
          </w:tcPr>
          <w:p w14:paraId="12C6FB5E">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764902523" name="" descr=""/>
                              <pic:cNvPicPr/>
                              <pic:nvPr/>
                            </pic:nvPicPr>
                            <pic:blipFill rotWithShape="1">
                              <a:blip r:embed="rId17"/>
                              <a:stretch/>
                            </pic:blipFill>
                            <pic:spPr bwMode="auto">
                              <a:xfrm rot="0" flipH="0" flipV="0">
                                <a:off x="0" y="0"/>
                                <a:ext cx="4984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57E3DC8F">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62647D92">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9A09FC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20B7C0EF">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0387597C">
            <w:pPr>
              <w:pBdr/>
              <w:spacing w:after="0" w:before="0" w:line="240" w:lineRule="auto"/>
              <w:ind/>
              <w:rPr/>
            </w:pPr>
            <w:r>
              <w:rPr>
                <w:rFonts w:ascii="Times New Roman" w:hAnsi="Times New Roman" w:eastAsia="Times New Roman" w:cs="Times New Roman"/>
                <w:color w:val="000000"/>
                <w:sz w:val="24"/>
              </w:rPr>
              <w:t xml:space="preserve">100,0 </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371CFC0D">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53091E42">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38289F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30C1D7F5">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5E585D2A">
            <w:pPr>
              <w:pBdr/>
              <w:spacing w:after="0" w:before="0" w:line="240" w:lineRule="auto"/>
              <w:ind/>
              <w:rPr/>
            </w:pPr>
            <w:r>
              <w:rPr>
                <w:rFonts w:ascii="Times New Roman" w:hAnsi="Times New Roman" w:eastAsia="Times New Roman" w:cs="Times New Roman"/>
                <w:color w:val="000000"/>
                <w:sz w:val="24"/>
              </w:rPr>
              <w:t xml:space="preserve">5,00</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50F6BC50">
            <w:pPr>
              <w:pBdr/>
              <w:spacing w:after="0" w:before="0" w:line="240" w:lineRule="auto"/>
              <w:ind/>
              <w:rPr/>
            </w:pPr>
            <w:r>
              <w:rPr>
                <w:rFonts w:ascii="Times New Roman" w:hAnsi="Times New Roman" w:eastAsia="Times New Roman" w:cs="Times New Roman"/>
                <w:color w:val="000000"/>
                <w:sz w:val="24"/>
              </w:rPr>
              <w:t xml:space="preserve">Chiều sâu (m):</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0BF23E61">
            <w:pPr>
              <w:pBdr/>
              <w:spacing w:after="0" w:before="0" w:line="240" w:lineRule="auto"/>
              <w:ind/>
              <w:rPr/>
            </w:pPr>
            <w:r>
              <w:rPr>
                <w:rFonts w:ascii="Times New Roman" w:hAnsi="Times New Roman" w:eastAsia="Times New Roman" w:cs="Times New Roman"/>
                <w:color w:val="000000"/>
                <w:sz w:val="24"/>
              </w:rPr>
              <w:t xml:space="preserve">20,00</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8CDF21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00F88BC1">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633B14E6">
            <w:pPr>
              <w:pBdr/>
              <w:spacing w:after="0" w:before="0" w:line="240" w:lineRule="auto"/>
              <w:ind/>
              <w:rPr/>
            </w:pPr>
            <w:r>
              <w:rPr>
                <w:rFonts w:ascii="Times New Roman" w:hAnsi="Times New Roman" w:eastAsia="Times New Roman" w:cs="Times New Roman"/>
                <w:color w:val="000000"/>
                <w:sz w:val="24"/>
              </w:rPr>
              <w:t xml:space="preserve">5,00</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3FE71485">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0C0BB791">
            <w:pPr>
              <w:pBdr/>
              <w:spacing w:after="0" w:before="0" w:line="240" w:lineRule="auto"/>
              <w:ind/>
              <w:rPr/>
            </w:pPr>
            <w:r>
              <w:rPr>
                <w:rFonts w:ascii="Times New Roman" w:hAnsi="Times New Roman" w:eastAsia="Times New Roman" w:cs="Times New Roman"/>
                <w:color w:val="000000"/>
                <w:sz w:val="24"/>
              </w:rPr>
              <w:t xml:space="preserve">Vuông vức</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D7CC57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1837AA2E">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664" w:type="dxa"/>
            <w:vAlign w:val="center"/>
            <w:textDirection w:val="lrTb"/>
            <w:noWrap w:val="false"/>
          </w:tcPr>
          <w:p w14:paraId="0EB915C4">
            <w:pPr>
              <w:pBdr/>
              <w:spacing w:after="0" w:before="0" w:line="240" w:lineRule="auto"/>
              <w:ind/>
              <w:rPr/>
            </w:pPr>
            <w:r>
              <w:rPr>
                <w:rFonts w:ascii="Times New Roman" w:hAnsi="Times New Roman" w:eastAsia="Times New Roman" w:cs="Times New Roman"/>
                <w:color w:val="000000"/>
                <w:sz w:val="24"/>
              </w:rPr>
              <w:t xml:space="preserve">Đông Nam </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054572FB">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6A4899B3">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751BE7E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19A6BCB3">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127237B3">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A8876A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0560D373">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664" w:type="dxa"/>
            <w:vAlign w:val="center"/>
            <w:textDirection w:val="lrTb"/>
            <w:noWrap w:val="false"/>
          </w:tcPr>
          <w:p w14:paraId="483DF5C7">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60A3FF5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1733DE01">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4810BCF5">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4810FF94">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5110BECA">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3F2E630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7" w:type="dxa"/>
            <w:vAlign w:val="center"/>
            <w:textDirection w:val="lrTb"/>
            <w:noWrap w:val="false"/>
          </w:tcPr>
          <w:p w14:paraId="5C206FEB">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50" w:type="dxa"/>
            <w:vAlign w:val="center"/>
            <w:textDirection w:val="lrTb"/>
            <w:noWrap w:val="false"/>
          </w:tcPr>
          <w:p w14:paraId="36A06A0D">
            <w:pPr>
              <w:pBdr/>
              <w:spacing w:after="0" w:before="0" w:line="240" w:lineRule="auto"/>
              <w:ind/>
              <w:rPr/>
            </w:pPr>
            <w:r>
              <w:rPr>
                <w:rFonts w:ascii="Times New Roman" w:hAnsi="Times New Roman" w:eastAsia="Times New Roman" w:cs="Times New Roman"/>
                <w:color w:val="000000"/>
                <w:sz w:val="24"/>
              </w:rPr>
              <w:t xml:space="preserve">Thích hợp để ở</w:t>
            </w:r>
            <w:r/>
          </w:p>
        </w:tc>
        <w:tc>
          <w:tcPr>
            <w:tcBorders>
              <w:bottom w:val="single" w:color="000000" w:sz="5" w:space="0"/>
              <w:right w:val="single" w:color="000000" w:sz="5" w:space="0"/>
            </w:tcBorders>
            <w:tcMar>
              <w:left w:w="0" w:type="dxa"/>
              <w:top w:w="0" w:type="dxa"/>
              <w:right w:w="0" w:type="dxa"/>
              <w:bottom w:w="0" w:type="dxa"/>
            </w:tcMar>
            <w:tcW w:w="2293" w:type="dxa"/>
            <w:vAlign w:val="center"/>
            <w:textDirection w:val="lrTb"/>
            <w:noWrap w:val="false"/>
          </w:tcPr>
          <w:p w14:paraId="37AFBB30">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521" w:type="dxa"/>
            <w:vAlign w:val="center"/>
            <w:textDirection w:val="lrTb"/>
            <w:noWrap w:val="false"/>
          </w:tcPr>
          <w:p w14:paraId="42FADFF5">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2691122E">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76F13733">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973"/>
        </w:trPr>
        <w:tc>
          <w:tcPr>
            <w:tcBorders>
              <w:left w:val="single" w:color="000000" w:sz="5" w:space="0"/>
              <w:bottom w:val="single" w:color="000000" w:sz="5" w:space="0"/>
              <w:right w:val="single" w:color="000000" w:sz="5" w:space="0"/>
            </w:tcBorders>
            <w:tcMar>
              <w:left w:w="0" w:type="dxa"/>
              <w:top w:w="0" w:type="dxa"/>
              <w:right w:w="0" w:type="dxa"/>
              <w:bottom w:w="0" w:type="dxa"/>
            </w:tcMar>
            <w:tcW w:w="593" w:type="dxa"/>
            <w:vAlign w:val="center"/>
            <w:textDirection w:val="lrTb"/>
            <w:noWrap w:val="false"/>
          </w:tcPr>
          <w:p w14:paraId="0D973ED5">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62" w:type="dxa"/>
            <w:vAlign w:val="center"/>
            <w:textDirection w:val="lrTb"/>
            <w:noWrap w:val="false"/>
          </w:tcPr>
          <w:p w14:paraId="69A6F4D1">
            <w:pPr>
              <w:pBdr/>
              <w:spacing w:after="0" w:before="0" w:line="240" w:lineRule="auto"/>
              <w:ind/>
              <w:rPr/>
            </w:pPr>
            <w:r>
              <w:rPr>
                <w:rFonts w:ascii="Times New Roman" w:hAnsi="Times New Roman" w:eastAsia="Times New Roman" w:cs="Times New Roman"/>
                <w:color w:val="000000"/>
                <w:sz w:val="24"/>
              </w:rPr>
              <w:t xml:space="preserve">- Tại thời điểm thẩm định giá, trên đất có công trình xây dựng là:</w:t>
              <w:br/>
              <w:t xml:space="preserve">+ 01 Nhà 2 tầng. Hoàn thiện năm 2008, diện tích khoảng 90m2/ sàn. Tổng diện tích xây dựng là 180m2. Hiện tại công trình chưa được chứng nhận trên GCN số CB 548899</w:t>
            </w:r>
            <w:r/>
          </w:p>
        </w:tc>
      </w:tr>
    </w:tbl>
    <w:p w14:paraId="4D2AC1E5" w14:textId="77777777">
      <w:pPr>
        <w:pBdr/>
        <w:spacing w:line="235" w:lineRule="auto"/>
        <w:ind w:left="0"/>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405"/>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highlight w:val="white"/>
              </w:rPr>
            </w:pPr>
            <w:r>
              <w:rPr>
                <w:highlight w:val="white"/>
                <w:lang w:eastAsia="ko-KR"/>
              </w:rPr>
              <w:t xml:space="preserve">Đất</w:t>
            </w:r>
            <w:r>
              <w:rPr>
                <w:highlight w:val="white"/>
                <w:lang w:eastAsia="ko-KR"/>
              </w:rPr>
              <w:t xml:space="preserve"> view </w:t>
            </w:r>
            <w:r>
              <w:rPr>
                <w:highlight w:val="white"/>
                <w:lang w:eastAsia="ko-KR"/>
              </w:rPr>
              <w:t xml:space="preserve">công</w:t>
            </w:r>
            <w:r>
              <w:rPr>
                <w:highlight w:val="white"/>
                <w:lang w:eastAsia="ko-KR"/>
              </w:rPr>
              <w:t xml:space="preserve"> </w:t>
            </w:r>
            <w:r>
              <w:rPr>
                <w:highlight w:val="white"/>
                <w:lang w:eastAsia="ko-KR"/>
              </w:rPr>
              <w:t xml:space="preserve">viên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rPr>
            </w:r>
            <w:r>
              <w:rPr>
                <w:highlight w:val="white"/>
              </w:rPr>
            </w:r>
          </w:p>
        </w:tc>
        <w:tc>
          <w:tcPr>
            <w:tcBorders/>
            <w:tcW w:w="819" w:type="pct"/>
            <w:vAlign w:val="center"/>
            <w:textDirection w:val="lrTb"/>
            <w:noWrap w:val="false"/>
          </w:tcPr>
          <w:p w14:paraId="3386D952" w14:textId="77777777">
            <w:pPr>
              <w:widowControl w:val="false"/>
              <w:pBdr/>
              <w:spacing w:line="235" w:lineRule="auto"/>
              <w:ind w:left="144"/>
              <w:jc w:val="center"/>
              <w:rPr>
                <w:highlight w:val="yellow"/>
              </w:rPr>
            </w:pPr>
            <w:r>
              <w:rPr>
                <w:highlight w:val="none"/>
              </w:rPr>
              <w:t xml:space="preserve">Có</w:t>
            </w:r>
            <w:r>
              <w:rPr>
                <w:highlight w:val="yellow"/>
              </w:rPr>
            </w:r>
            <w:r>
              <w:rPr>
                <w:highlight w:val="yellow"/>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t xml:space="preserve">Đất thuộc view công viên, vườn hoa</w:t>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CF2083F">
      <w:pPr>
        <w:pStyle w:val="1029"/>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spacing w:val="-2"/>
          <w:lang w:val="pt-BR"/>
          <w14:ligatures w14:val="none"/>
        </w:rPr>
      </w:pPr>
      <w:r>
        <w:rPr>
          <w:spacing w:val="-2"/>
          <w:lang w:val="pt-BR"/>
        </w:rPr>
        <w:t xml:space="preserve">Tại thời điểm thẩm định giá, trên đất có công trình xây dựng là: </w:t>
      </w:r>
      <w:r>
        <w:rPr>
          <w:spacing w:val="-2"/>
          <w:lang w:val="pt-BR"/>
        </w:rPr>
        <w:t xml:space="preserve">01 Nhà 2 tầng. Hoàn thiện năm 2008, diện tích khoảng 90m2/ sàn. Tổng diện tích xây dựng là 180m2. Hiện tại công trình chưa được chứng nhận trên GCN số CB 548899</w:t>
      </w:r>
      <w:r>
        <w:rPr>
          <w:spacing w:val="-2"/>
          <w:lang w:val="pt-BR"/>
        </w:rPr>
        <w:t xml:space="preserve">. Do vậy, theo đề nghị của Ngân hàng/Khách hàng, Tổ thẩm định không xác định giá trị của công trình xây </w:t>
      </w:r>
      <w:r>
        <w:rPr>
          <w:spacing w:val="-2"/>
          <w:lang w:val="pt-BR"/>
        </w:rPr>
        <w:t xml:space="preserve">dựng vào tổng giá trị, nhưng vẫn coi đó là phần không thể tách rời của tài sản thẩm định. Kính đề nghị đơn vị sử dụng kết quả lưu ý. </w:t>
      </w:r>
      <w:r>
        <w:rPr>
          <w:spacing w:val="-2"/>
          <w:lang w:val="pt-BR"/>
          <w14:ligatures w14:val="none"/>
        </w:rPr>
      </w:r>
      <w:r>
        <w:rPr>
          <w:spacing w:val="-2"/>
          <w:lang w:val="pt-BR"/>
          <w14:ligatures w14:val="none"/>
        </w:rPr>
      </w:r>
    </w:p>
    <w:p w14:paraId="110EA7E9" w14:textId="2D24DC9A">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Hội Hợp, Thành phố Vĩnh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Đường Lê Anh Tuấn, Phường Đồng Tâm, Thành phố Vĩnh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Đường Lê Tần, Phường Đồng Tâm, Thành phố Vĩnh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Phường Hội Hợp, Thành phố Vĩnh Yên, Tỉnh Vĩnh Phúc</w:t>
            </w:r>
            <w:r>
              <w:rPr>
                <w:sz w:val="22"/>
                <w:szCs w:val="22"/>
              </w:rPr>
            </w:r>
            <w:r>
              <w:rPr>
                <w:sz w:val="22"/>
                <w:szCs w:val="22"/>
              </w:rPr>
            </w:r>
          </w:p>
        </w:tc>
      </w:tr>
      <w:tr>
        <w:trPr>
          <w:trHeight w:val="21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https://www.facebook.com/share/p/1BpC9zB3EC/?mibextid=wwXIfr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https://alonhadat.com.vn/ban-dat-dep-dau-tu-duong-le-tan-dong-tam-vinh-yen--17149256.html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0985806313</w:t>
            </w:r>
            <w:r>
              <w:rPr>
                <w:sz w:val="22"/>
                <w:szCs w:val="22"/>
              </w:rPr>
              <w:t xml:space="preserve"> </w:t>
            </w:r>
            <w:r>
              <w:rPr>
                <w:sz w:val="22"/>
                <w:szCs w:val="22"/>
              </w:rPr>
              <w:br/>
              <w:t xml:space="preserve">(</w:t>
            </w:r>
            <w:r>
              <w:rPr>
                <w:sz w:val="22"/>
                <w:szCs w:val="22"/>
              </w:rPr>
              <w:t xml:space="preserve">Thu 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0964199332</w:t>
            </w:r>
            <w:r>
              <w:rPr>
                <w:sz w:val="22"/>
                <w:szCs w:val="22"/>
              </w:rPr>
              <w:br/>
            </w:r>
            <w:r>
              <w:rPr>
                <w:sz w:val="22"/>
                <w:szCs w:val="22"/>
              </w:rPr>
              <w:t xml:space="preserve">(</w:t>
            </w:r>
            <w:r>
              <w:rPr>
                <w:sz w:val="22"/>
                <w:szCs w:val="22"/>
              </w:rPr>
              <w:t xml:space="preserve">Nam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0963.242.696</w:t>
            </w:r>
            <w:r>
              <w:rPr>
                <w:sz w:val="22"/>
                <w:szCs w:val="22"/>
              </w:rPr>
              <w:br/>
            </w:r>
            <w:r>
              <w:rPr>
                <w:sz w:val="22"/>
                <w:szCs w:val="22"/>
              </w:rPr>
              <w:t xml:space="preserve">(</w:t>
            </w:r>
            <w:r>
              <w:rPr>
                <w:sz w:val="22"/>
                <w:szCs w:val="22"/>
              </w:rPr>
              <w:t xml:space="preserve">Thọ</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87B3A5">
            <w:pPr>
              <w:pBdr/>
              <w:spacing/>
              <w:ind/>
              <w:rPr/>
            </w:pPr>
            <w:r>
              <w:rPr>
                <w:color w:val="000000"/>
                <w:sz w:val="22"/>
                <w:szCs w:val="22"/>
              </w:rPr>
              <w:t xml:space="preserve"> </w:t>
            </w:r>
            <w:r>
              <w:rPr>
                <w:color w:val="000000" w:themeColor="text1"/>
                <w:sz w:val="22"/>
                <w:szCs w:val="22"/>
              </w:rPr>
              <w:t xml:space="preserve">Tháng 01/2026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186AE3">
            <w:pPr>
              <w:pBdr/>
              <w:spacing/>
              <w:ind/>
              <w:rPr/>
            </w:pPr>
            <w:r>
              <w:rPr>
                <w:color w:val="000000"/>
                <w:sz w:val="22"/>
                <w:szCs w:val="22"/>
              </w:rPr>
              <w:t xml:space="preserve"> </w:t>
            </w:r>
            <w:r>
              <w:rPr>
                <w:color w:val="000000" w:themeColor="text1"/>
                <w:sz w:val="22"/>
                <w:szCs w:val="22"/>
              </w:rPr>
              <w:t xml:space="preserve">Tháng 01/2026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F845DB">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510369">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C640FC">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C26FEA">
            <w:pPr>
              <w:pBdr/>
              <w:shd w:val="nil" w:color="000000"/>
              <w:spacing/>
              <w:ind/>
              <w:jc w:val="center"/>
              <w:rPr>
                <w:highlight w:val="white"/>
                <w14:ligatures w14:val="none"/>
              </w:rPr>
            </w:pPr>
            <w:r>
              <w:rPr>
                <w:highlight w:val="white"/>
              </w:rPr>
              <w:t xml:space="preserve">Tài sản tại: Phường Hội Hợp, Thành phố Vĩnh Yên, Tỉnh Vĩnh Phúc</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BFB776">
            <w:pPr>
              <w:pBdr/>
              <w:shd w:val="nil" w:color="000000"/>
              <w:spacing/>
              <w:ind/>
              <w:jc w:val="center"/>
              <w:rPr>
                <w:highlight w:val="white"/>
                <w14:ligatures w14:val="none"/>
              </w:rPr>
            </w:pPr>
            <w:r>
              <w:rPr>
                <w:highlight w:val="white"/>
              </w:rPr>
              <w:t xml:space="preserve">Tài sản tại: Đường Lê Anh Tuấn, Phường Đồng Tâm, Thành phố Vĩnh Yên, Tỉnh Vĩnh Phúc, độ rộng đường trước mặt tài sản 11m, cách viện 109 tầm 800m, nhà văn hoá 100m</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EDA594">
            <w:pPr>
              <w:pBdr/>
              <w:shd w:val="nil" w:color="000000"/>
              <w:spacing/>
              <w:ind/>
              <w:jc w:val="center"/>
              <w:rPr>
                <w:highlight w:val="white"/>
                <w14:ligatures w14:val="none"/>
              </w:rPr>
            </w:pPr>
            <w:r>
              <w:rPr>
                <w:highlight w:val="white"/>
              </w:rPr>
              <w:t xml:space="preserve">Tài sản tại: Đường Lê Tần, Phường Đồng Tâm, Thành phố Vĩnh Yên, Tỉnh Vĩnh Phúc, đường Lê Tần, độ rộng đường trước mặt tài sản 16.5m, mặt tiền 6m, Gần trường c1,c2,c3, trường cao đẳng kte, chợ đồng tầm, quốc lộ 2A, công viên nhà văn hoá, gần bệnh viện 109</w:t>
            </w:r>
            <w:r>
              <w:rPr>
                <w:highlight w:val="white"/>
                <w14:ligatures w14:val="none"/>
              </w:rPr>
            </w:r>
            <w:r>
              <w:rPr>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FA2C61">
            <w:pPr>
              <w:pBdr/>
              <w:shd w:val="nil" w:color="000000"/>
              <w:spacing/>
              <w:ind/>
              <w:jc w:val="center"/>
              <w:rPr>
                <w:highlight w:val="white"/>
                <w14:ligatures w14:val="none"/>
              </w:rPr>
            </w:pPr>
            <w:r>
              <w:rPr>
                <w:highlight w:val="white"/>
              </w:rPr>
              <w:t xml:space="preserve">Tài sản tại: Phường Hội Hợp, Thành phố Vĩnh Yên, Tỉnh Vĩnh Phúc, khoảng cách ra đường chính cách QL2C khoảng 350m</w:t>
            </w:r>
            <w:r>
              <w:rPr>
                <w:highlight w:val="white"/>
                <w14:ligatures w14:val="none"/>
              </w:rPr>
            </w:r>
            <w:r>
              <w:rPr>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13.5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16.5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13.5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công viên, vườn hoa, quảng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r>
            <w:commentRangeStart w:id="0"/>
            <w:r>
              <w:rPr>
                <w:color w:val="000000"/>
                <w:sz w:val="22"/>
                <w:szCs w:val="22"/>
              </w:rPr>
              <w:t xml:space="preserve">18</w:t>
            </w:r>
            <w:commentRangeEnd w:id="0"/>
            <w:r>
              <w:commentReference w:id="0"/>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3.145.000.000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2.772.000.000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2.508.000.000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3.145.000.000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2.772.000.000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2.508.000.000</w:t>
            </w:r>
            <w:r>
              <w:rPr>
                <w:color w:val="000000"/>
                <w:sz w:val="22"/>
                <w:szCs w:val="22"/>
              </w:rPr>
            </w:r>
            <w:r>
              <w:rPr>
                <w:color w:val="000000"/>
                <w:sz w:val="22"/>
                <w:szCs w:val="22"/>
              </w:rPr>
            </w:r>
          </w:p>
        </w:tc>
      </w:tr>
      <w:tr>
        <w:trPr>
          <w:trHeight w:val="6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31.450.000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30.800.000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25.591.837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hd w:val="nil"/>
              <w:spacing/>
              <w:ind/>
              <w:rPr>
                <w:b/>
                <w:bCs/>
                <w:highlight w:val="white"/>
                <w14:ligatures w14:val="none"/>
              </w:rPr>
            </w:pPr>
            <w:r>
              <w:rPr>
                <w:b/>
                <w:bCs/>
                <w:highlight w:val="white"/>
              </w:rPr>
            </w:r>
            <w:r>
              <w:rPr>
                <w:b/>
                <w:bCs/>
                <w:highlight w:val="white"/>
              </w:rPr>
              <w:t xml:space="preserve">C</w:t>
            </w:r>
            <w:r>
              <w:rPr>
                <w:b/>
                <w:bCs/>
                <w:highlight w:val="white"/>
              </w:rPr>
            </w:r>
            <w:r>
              <w:rPr>
                <w:b/>
                <w:bCs/>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hd w:val="nil"/>
              <w:spacing/>
              <w:ind/>
              <w:rPr>
                <w:b/>
                <w:bCs/>
                <w:highlight w:val="white"/>
                <w14:ligatures w14:val="none"/>
              </w:rPr>
            </w:pPr>
            <w:r>
              <w:rPr>
                <w:b/>
                <w:bCs/>
                <w:highlight w:val="white"/>
              </w:rPr>
              <w:t xml:space="preserve">NHẬN XÉT</w:t>
            </w:r>
            <w:r>
              <w:rPr>
                <w:b/>
                <w:bCs/>
                <w:highlight w:val="white"/>
              </w:rPr>
            </w:r>
            <w:r>
              <w:rPr>
                <w:b/>
                <w:bCs/>
                <w:highlight w:val="white"/>
              </w:rPr>
            </w:r>
            <w:r>
              <w:rPr>
                <w:b/>
                <w:bCs/>
                <w:highlight w:val="white"/>
              </w:rPr>
              <w:tab/>
            </w:r>
            <w:r>
              <w:rPr>
                <w:b/>
                <w:bCs/>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3.145.000.000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2.772.000.000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2.508.000.000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31.450.000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30.800.000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25.591.837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B3EB10">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52736732">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5229D401">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32.190.000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26.173.469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32.190.000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26.173.469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32.190.000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26.173.469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588ED8">
            <w:pPr>
              <w:pBdr/>
              <w:shd w:val="nil"/>
              <w:spacing/>
              <w:ind/>
              <w:jc w:val="center"/>
              <w:rPr>
                <w:highlight w:val="white"/>
                <w14:ligatures w14:val="none"/>
              </w:rPr>
            </w:pPr>
            <w:r>
              <w:rPr>
                <w:highlight w:val="white"/>
              </w:rPr>
              <w:t xml:space="preserve">Tài sản tại: Phường Hội Hợp, Thành phố Vĩnh Yên, Tỉnh Vĩnh Phúc</w:t>
            </w:r>
            <w:r>
              <w:rPr>
                <w:highlight w:val="white"/>
              </w:rPr>
            </w:r>
          </w:p>
        </w:tc>
        <w:tc>
          <w:tcPr>
            <w:shd w:val="clear" w:color="000000" w:fill="ffffff"/>
            <w:tcBorders/>
            <w:tcW w:w="1522" w:type="dxa"/>
            <w:vAlign w:val="center"/>
            <w:textDirection w:val="lrTb"/>
            <w:noWrap w:val="false"/>
          </w:tcPr>
          <w:p w14:paraId="37D23CB6">
            <w:pPr>
              <w:pBdr/>
              <w:shd w:val="nil"/>
              <w:spacing/>
              <w:ind/>
              <w:jc w:val="center"/>
              <w:rPr>
                <w:highlight w:val="white"/>
                <w14:ligatures w14:val="none"/>
              </w:rPr>
            </w:pPr>
            <w:r>
              <w:rPr>
                <w:highlight w:val="white"/>
              </w:rPr>
              <w:t xml:space="preserve">Tài sản tại: Đường Lê Anh Tuấn, Phường Đồng Tâm, Thành phố Vĩnh Yên, Tỉnh Vĩnh Phúc, độ rộng đường trước mặt tài sản 11m, cách viện 109 tầm 800m, nhà văn hoá 100m</w:t>
            </w:r>
            <w:r>
              <w:rPr>
                <w:highlight w:val="white"/>
              </w:rPr>
            </w:r>
          </w:p>
        </w:tc>
        <w:tc>
          <w:tcPr>
            <w:shd w:val="clear" w:color="000000" w:fill="ffffff"/>
            <w:tcBorders/>
            <w:tcW w:w="1522" w:type="dxa"/>
            <w:vAlign w:val="center"/>
            <w:textDirection w:val="lrTb"/>
            <w:noWrap w:val="false"/>
          </w:tcPr>
          <w:p w14:paraId="6C61EC08">
            <w:pPr>
              <w:pBdr/>
              <w:shd w:val="nil"/>
              <w:spacing/>
              <w:ind/>
              <w:jc w:val="center"/>
              <w:rPr>
                <w:highlight w:val="white"/>
                <w14:ligatures w14:val="none"/>
              </w:rPr>
            </w:pPr>
            <w:r>
              <w:rPr>
                <w:highlight w:val="white"/>
              </w:rPr>
              <w:t xml:space="preserve">Tài sản tại: Đường Lê Tần, Phường Đồng Tâm, Thành phố Vĩnh Yên, Tỉnh Vĩnh Phúc, đường Lê Tần, độ rộng đường trước mặt tài sản 16.5m, mặt tiền 6m, Gần trường c1,c2,c3, trường cao đẳng kte, chợ đồng tầm, quốc lộ 2A, công viên nhà văn hoá, gần bệnh viện 109</w:t>
            </w:r>
            <w:r>
              <w:rPr>
                <w:highlight w:val="white"/>
              </w:rPr>
            </w:r>
            <w:r>
              <w:rPr>
                <w:highlight w:val="white"/>
              </w:rPr>
            </w:r>
          </w:p>
        </w:tc>
        <w:tc>
          <w:tcPr>
            <w:shd w:val="clear" w:color="000000" w:fill="ffffff"/>
            <w:tcBorders/>
            <w:tcW w:w="1522" w:type="dxa"/>
            <w:vAlign w:val="center"/>
            <w:textDirection w:val="lrTb"/>
            <w:noWrap w:val="false"/>
          </w:tcPr>
          <w:p w14:paraId="2DDF3DD6">
            <w:pPr>
              <w:pBdr/>
              <w:shd w:val="nil"/>
              <w:spacing/>
              <w:ind/>
              <w:jc w:val="center"/>
              <w:rPr>
                <w:highlight w:val="white"/>
                <w14:ligatures w14:val="none"/>
              </w:rPr>
            </w:pPr>
            <w:r>
              <w:rPr>
                <w:highlight w:val="white"/>
              </w:rPr>
              <w:t xml:space="preserve">Tài sản tại: Phường Hội Hợp, Thành phố Vĩnh Yên, Tỉnh Vĩnh Phúc, khoảng cách ra đường chính cách QL2C khoảng 350m</w:t>
            </w:r>
            <w:r>
              <w:rPr>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-3.219.000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28.971.000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26.173.469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2.617.347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28.971.000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28.790.816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13.5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11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16.5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13.5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-1.575.000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28.971.000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29.925.000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28.790.816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-1.522.500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28.971.000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27.352.500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28.790.816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-1.575.000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-2.617.347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28.971.000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25.777.500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26.173.469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-1.575.000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-1.308.673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28.971.000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25.252.500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24.864.796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28.971.000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25.252.500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24.864.796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28.971.000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25.252.500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24.864.796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công viên, vườn hoa, quảng trường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629.000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616.000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511.837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28.860.000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25.168.500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24.795.001</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highlight w:val="white"/>
              </w:rPr>
            </w:pPr>
            <w:r>
              <w:rPr>
                <w:b/>
                <w:bCs/>
                <w:color w:val="000000"/>
                <w:sz w:val="22"/>
                <w:szCs w:val="22"/>
                <w:highlight w:val="white"/>
              </w:rPr>
              <w:t xml:space="preserve">Mức</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chỉ</w:t>
            </w:r>
            <w:r>
              <w:rPr>
                <w:b/>
                <w:bCs/>
                <w:color w:val="000000"/>
                <w:sz w:val="22"/>
                <w:szCs w:val="22"/>
                <w:highlight w:val="white"/>
              </w:rPr>
              <w:t xml:space="preserve"> </w:t>
            </w:r>
            <w:r>
              <w:rPr>
                <w:b/>
                <w:bCs/>
                <w:color w:val="000000"/>
                <w:sz w:val="22"/>
                <w:szCs w:val="22"/>
                <w:highlight w:val="white"/>
              </w:rPr>
              <w:t xml:space="preserve">dẫn</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highlight w:val="white"/>
              </w:rPr>
            </w:pPr>
            <w:r>
              <w:rPr>
                <w:b/>
                <w:bCs/>
                <w:color w:val="000000" w:themeColor="text1"/>
                <w:sz w:val="22"/>
                <w:szCs w:val="22"/>
                <w:highlight w:val="white"/>
              </w:rPr>
              <w:t xml:space="preserve">28.860.000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highlight w:val="white"/>
              </w:rPr>
            </w:pPr>
            <w:r>
              <w:rPr>
                <w:b/>
                <w:bCs/>
                <w:color w:val="000000" w:themeColor="text1"/>
                <w:sz w:val="22"/>
                <w:szCs w:val="22"/>
                <w:highlight w:val="white"/>
              </w:rPr>
              <w:t xml:space="preserve">25.168.500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highlight w:val="white"/>
              </w:rPr>
            </w:pPr>
            <w:r>
              <w:rPr>
                <w:b/>
                <w:bCs/>
                <w:color w:val="000000" w:themeColor="text1"/>
                <w:sz w:val="22"/>
                <w:szCs w:val="22"/>
                <w:highlight w:val="white"/>
              </w:rPr>
              <w:t xml:space="preserve">24.795.001</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trung</w:t>
            </w:r>
            <w:r>
              <w:rPr>
                <w:color w:val="000000"/>
                <w:sz w:val="22"/>
                <w:szCs w:val="22"/>
                <w:highlight w:val="white"/>
              </w:rPr>
              <w:t xml:space="preserve"> </w:t>
            </w:r>
            <w:r>
              <w:rPr>
                <w:color w:val="000000"/>
                <w:sz w:val="22"/>
                <w:szCs w:val="22"/>
                <w:highlight w:val="white"/>
              </w:rPr>
              <w:t xml:space="preserve">bình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highlight w:val="white"/>
              </w:rPr>
            </w:pPr>
            <w:r>
              <w:rPr>
                <w:b/>
                <w:bCs/>
                <w:color w:val="000000" w:themeColor="text1"/>
                <w:sz w:val="22"/>
                <w:szCs w:val="22"/>
                <w:highlight w:val="white"/>
              </w:rPr>
              <w:t xml:space="preserve">26.274.500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chênh</w:t>
            </w:r>
            <w:r>
              <w:rPr>
                <w:color w:val="000000"/>
                <w:sz w:val="22"/>
                <w:szCs w:val="22"/>
                <w:highlight w:val="white"/>
              </w:rPr>
              <w:t xml:space="preserve"> </w:t>
            </w:r>
            <w:r>
              <w:rPr>
                <w:color w:val="000000"/>
                <w:sz w:val="22"/>
                <w:szCs w:val="22"/>
                <w:highlight w:val="white"/>
              </w:rPr>
              <w:t xml:space="preserve">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highlight w:val="white"/>
              </w:rPr>
            </w:pPr>
            <w:r>
              <w:rPr>
                <w:color w:val="000000" w:themeColor="text1"/>
                <w:sz w:val="22"/>
                <w:szCs w:val="22"/>
                <w:highlight w:val="white"/>
              </w:rPr>
              <w:t xml:space="preserve">9,84%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highlight w:val="white"/>
              </w:rPr>
            </w:pPr>
            <w:r>
              <w:rPr>
                <w:color w:val="000000" w:themeColor="text1"/>
                <w:sz w:val="22"/>
                <w:szCs w:val="22"/>
                <w:highlight w:val="white"/>
              </w:rPr>
              <w:t xml:space="preserve">-4,21%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highlight w:val="white"/>
              </w:rPr>
            </w:pPr>
            <w:r>
              <w:rPr>
                <w:color w:val="000000" w:themeColor="text1"/>
                <w:sz w:val="22"/>
                <w:szCs w:val="22"/>
                <w:highlight w:val="white"/>
              </w:rPr>
              <w:t xml:space="preserve">-5,63%</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highlight w:val="white"/>
              </w:rPr>
            </w:pPr>
            <w:r>
              <w:rPr>
                <w:b/>
                <w:bCs/>
                <w:color w:val="000000"/>
                <w:sz w:val="22"/>
                <w:szCs w:val="22"/>
                <w:highlight w:val="white"/>
              </w:rPr>
              <w:t xml:space="preserve">Tổng</w:t>
            </w:r>
            <w:r>
              <w:rPr>
                <w:b/>
                <w:bCs/>
                <w:color w:val="000000"/>
                <w:sz w:val="22"/>
                <w:szCs w:val="22"/>
                <w:highlight w:val="white"/>
              </w:rPr>
              <w:t xml:space="preserve"> </w:t>
            </w:r>
            <w:r>
              <w:rPr>
                <w:b/>
                <w:bCs/>
                <w:color w:val="000000"/>
                <w:sz w:val="22"/>
                <w:szCs w:val="22"/>
                <w:highlight w:val="white"/>
              </w:rPr>
              <w:t xml:space="preserve">hợp</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số</w:t>
            </w:r>
            <w:r>
              <w:rPr>
                <w:b/>
                <w:bCs/>
                <w:color w:val="000000"/>
                <w:sz w:val="22"/>
                <w:szCs w:val="22"/>
                <w:highlight w:val="white"/>
              </w:rPr>
              <w:t xml:space="preserve"> </w:t>
            </w:r>
            <w:r>
              <w:rPr>
                <w:b/>
                <w:bCs/>
                <w:color w:val="000000"/>
                <w:sz w:val="22"/>
                <w:szCs w:val="22"/>
                <w:highlight w:val="white"/>
              </w:rPr>
              <w:t xml:space="preserve">liệu</w:t>
            </w:r>
            <w:r>
              <w:rPr>
                <w:b/>
                <w:bCs/>
                <w:color w:val="000000"/>
                <w:sz w:val="22"/>
                <w:szCs w:val="22"/>
                <w:highlight w:val="white"/>
              </w:rPr>
              <w:t xml:space="preserve"> </w:t>
            </w: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tại</w:t>
            </w:r>
            <w:r>
              <w:rPr>
                <w:b/>
                <w:bCs/>
                <w:color w:val="000000"/>
                <w:sz w:val="22"/>
                <w:szCs w:val="22"/>
                <w:highlight w:val="white"/>
              </w:rPr>
              <w:t xml:space="preserve"> </w:t>
            </w:r>
            <w:r>
              <w:rPr>
                <w:b/>
                <w:bCs/>
                <w:color w:val="000000"/>
                <w:sz w:val="22"/>
                <w:szCs w:val="22"/>
                <w:highlight w:val="white"/>
              </w:rPr>
              <w:t xml:space="preserve">mục</w:t>
            </w:r>
            <w:r>
              <w:rPr>
                <w:b/>
                <w:bCs/>
                <w:color w:val="000000"/>
                <w:sz w:val="22"/>
                <w:szCs w:val="22"/>
                <w:highlight w:val="white"/>
              </w:rPr>
              <w:t xml:space="preserve">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14:paraId="1719875D" w14:textId="77777777">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496AAC16" w14:textId="77777777">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highlight w:val="white"/>
              </w:rPr>
            </w:pPr>
            <w:r>
              <w:rPr>
                <w:color w:val="000000" w:themeColor="text1"/>
                <w:sz w:val="22"/>
                <w:szCs w:val="22"/>
                <w:highlight w:val="white"/>
              </w:rPr>
              <w:t xml:space="preserve">3.848.000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highlight w:val="white"/>
              </w:rPr>
            </w:pPr>
            <w:r>
              <w:rPr>
                <w:color w:val="000000" w:themeColor="text1"/>
                <w:sz w:val="22"/>
                <w:szCs w:val="22"/>
                <w:highlight w:val="white"/>
              </w:rPr>
              <w:t xml:space="preserve">6.863.500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highlight w:val="white"/>
              </w:rPr>
            </w:pPr>
            <w:r>
              <w:rPr>
                <w:color w:val="000000" w:themeColor="text1"/>
                <w:sz w:val="22"/>
                <w:szCs w:val="22"/>
                <w:highlight w:val="white"/>
              </w:rPr>
              <w:t xml:space="preserve">7.055.204</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lần</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7D51D8B7" w14:textId="55439F0B">
            <w:pPr>
              <w:pBdr/>
              <w:spacing/>
              <w:ind/>
              <w:jc w:val="center"/>
              <w:rPr>
                <w:sz w:val="22"/>
                <w:szCs w:val="22"/>
                <w:highlight w:val="white"/>
              </w:rPr>
            </w:pPr>
            <w:r>
              <w:rPr>
                <w:color w:val="000000" w:themeColor="text1"/>
                <w:sz w:val="22"/>
                <w:szCs w:val="22"/>
                <w:highlight w:val="white"/>
              </w:rPr>
              <w:t xml:space="preserve">2</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47F3E79B" w14:textId="17C86644">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7308FA59" w14:textId="1640CE14">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highlight w:val="white"/>
              </w:rPr>
            </w:pPr>
            <w:r>
              <w:rPr>
                <w:color w:val="000000"/>
                <w:sz w:val="22"/>
                <w:szCs w:val="22"/>
                <w:highlight w:val="white"/>
              </w:rPr>
              <w:t xml:space="preserve">Biên</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5D277CF" w14:textId="486BA53F">
            <w:pPr>
              <w:pBdr/>
              <w:spacing/>
              <w:ind/>
              <w:jc w:val="center"/>
              <w:rPr>
                <w:sz w:val="22"/>
                <w:szCs w:val="22"/>
                <w:highlight w:val="white"/>
              </w:rPr>
            </w:pPr>
            <w:r>
              <w:rPr>
                <w:color w:val="000000" w:themeColor="text1"/>
                <w:sz w:val="22"/>
                <w:szCs w:val="22"/>
                <w:highlight w:val="white"/>
              </w:rPr>
              <w:t xml:space="preserve">0% - 10</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64B2056" w14:textId="3084EC66">
            <w:pPr>
              <w:pBdr/>
              <w:spacing/>
              <w:ind/>
              <w:jc w:val="center"/>
              <w:rPr>
                <w:sz w:val="22"/>
                <w:szCs w:val="22"/>
                <w:highlight w:val="white"/>
              </w:rPr>
            </w:pPr>
            <w:r>
              <w:rPr>
                <w:color w:val="000000" w:themeColor="text1"/>
                <w:sz w:val="22"/>
                <w:szCs w:val="22"/>
                <w:highlight w:val="white"/>
              </w:rPr>
              <w:t xml:space="preserve">0% - 5</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B243872" w14:textId="708B432C">
            <w:pPr>
              <w:pBdr/>
              <w:spacing/>
              <w:ind/>
              <w:jc w:val="center"/>
              <w:rPr>
                <w:sz w:val="22"/>
                <w:szCs w:val="22"/>
                <w:highlight w:val="white"/>
              </w:rPr>
            </w:pPr>
            <w:r>
              <w:rPr>
                <w:color w:val="000000" w:themeColor="text1"/>
                <w:sz w:val="22"/>
                <w:szCs w:val="22"/>
                <w:highlight w:val="white"/>
              </w:rPr>
              <w:t xml:space="preserve">0% - 10</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thuần</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B4723C4" w14:textId="005806D1">
            <w:pPr>
              <w:pBdr/>
              <w:spacing/>
              <w:ind/>
              <w:jc w:val="center"/>
              <w:rPr>
                <w:sz w:val="22"/>
                <w:szCs w:val="22"/>
                <w:highlight w:val="white"/>
              </w:rPr>
            </w:pPr>
            <w:r>
              <w:rPr>
                <w:color w:val="000000" w:themeColor="text1"/>
                <w:sz w:val="22"/>
                <w:szCs w:val="22"/>
                <w:highlight w:val="white"/>
              </w:rPr>
              <w:t xml:space="preserve">2.590.000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333FBBC" w14:textId="3BDC0531">
            <w:pPr>
              <w:pBdr/>
              <w:spacing/>
              <w:ind/>
              <w:jc w:val="center"/>
              <w:rPr>
                <w:sz w:val="22"/>
                <w:szCs w:val="22"/>
                <w:highlight w:val="white"/>
              </w:rPr>
            </w:pPr>
            <w:r>
              <w:rPr>
                <w:color w:val="000000" w:themeColor="text1"/>
                <w:sz w:val="22"/>
                <w:szCs w:val="22"/>
                <w:highlight w:val="white"/>
              </w:rPr>
              <w:t xml:space="preserve">5.631.500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7C4D137D" w14:textId="18831E29">
            <w:pPr>
              <w:pBdr/>
              <w:spacing/>
              <w:ind/>
              <w:jc w:val="center"/>
              <w:rPr>
                <w:sz w:val="22"/>
                <w:szCs w:val="22"/>
                <w:highlight w:val="white"/>
              </w:rPr>
            </w:pPr>
            <w:r>
              <w:rPr>
                <w:color w:val="000000" w:themeColor="text1"/>
                <w:sz w:val="22"/>
                <w:szCs w:val="22"/>
                <w:highlight w:val="white"/>
              </w:rPr>
              <w:t xml:space="preserve">796.836</w:t>
            </w:r>
            <w:r>
              <w:rPr>
                <w:sz w:val="22"/>
                <w:szCs w:val="22"/>
                <w:highlight w:val="white"/>
              </w:rPr>
            </w:r>
            <w:r>
              <w:rPr>
                <w:sz w:val="22"/>
                <w:szCs w:val="22"/>
                <w:highlight w:val="white"/>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highlight w:val="white"/>
          <w:u w:val="single"/>
        </w:rPr>
      </w:pPr>
      <w:r>
        <w:rPr>
          <w:highlight w:val="white"/>
        </w:rPr>
        <w:t xml:space="preserve">Theo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w:t>
      </w:r>
      <w:r>
        <w:rPr>
          <w:highlight w:val="white"/>
        </w:rPr>
        <w:t xml:space="preserve">D</w:t>
      </w:r>
      <w:r>
        <w:rPr>
          <w:highlight w:val="white"/>
        </w:rPr>
        <w:t xml:space="preserve">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 </w:t>
      </w:r>
      <w:r>
        <w:rPr>
          <w:highlight w:val="white"/>
        </w:rPr>
        <w:t xml:space="preserve">-5,63</w:t>
      </w:r>
      <w:r>
        <w:rPr>
          <w:highlight w:val="white"/>
        </w:rPr>
        <w:t xml:space="preserve">% </w:t>
      </w:r>
      <w:r>
        <w:rPr>
          <w:highlight w:val="white"/>
        </w:rPr>
        <w:t xml:space="preserve">đến</w:t>
      </w:r>
      <w:r>
        <w:rPr>
          <w:highlight w:val="white"/>
        </w:rPr>
        <w:t xml:space="preserve"> </w:t>
      </w:r>
      <w:r>
        <w:rPr>
          <w:highlight w:val="white"/>
        </w:rPr>
        <w:t xml:space="preserve"> </w:t>
      </w:r>
      <w:r>
        <w:rPr>
          <w:highlight w:val="white"/>
        </w:rPr>
        <w:t xml:space="preserve">9,84</w:t>
      </w:r>
      <w:r>
        <w:rPr>
          <w:highlight w:val="white"/>
        </w:rPr>
        <w:t xml:space="preserve">%</w:t>
      </w:r>
      <w:r>
        <w:rPr>
          <w:highlight w:val="white"/>
        </w:rPr>
        <w:t xml:space="preserve">, </w:t>
      </w:r>
      <w:r>
        <w:rPr>
          <w:highlight w:val="white"/>
        </w:rPr>
        <w:t xml:space="preserve">đảm</w:t>
      </w:r>
      <w:r>
        <w:rPr>
          <w:highlight w:val="white"/>
        </w:rPr>
        <w:t xml:space="preserve"> </w:t>
      </w:r>
      <w:r>
        <w:rPr>
          <w:highlight w:val="white"/>
        </w:rPr>
        <w:t xml:space="preserve">bảo</w:t>
      </w:r>
      <w:r>
        <w:rPr>
          <w:highlight w:val="white"/>
        </w:rPr>
        <w:t xml:space="preserve"> </w:t>
      </w:r>
      <w:r>
        <w:rPr>
          <w:highlight w:val="white"/>
        </w:rPr>
        <w:t xml:space="preserve">không</w:t>
      </w:r>
      <w:r>
        <w:rPr>
          <w:highlight w:val="white"/>
        </w:rPr>
        <w:t xml:space="preserve"> </w:t>
      </w:r>
      <w:r>
        <w:rPr>
          <w:highlight w:val="white"/>
        </w:rPr>
        <w:t xml:space="preserve">quá</w:t>
      </w:r>
      <w:r>
        <w:rPr>
          <w:highlight w:val="white"/>
        </w:rPr>
        <w:t xml:space="preserve"> 15% (</w:t>
      </w:r>
      <w:r>
        <w:rPr>
          <w:highlight w:val="white"/>
        </w:rPr>
        <w:t xml:space="preserve">theo</w:t>
      </w:r>
      <w:r>
        <w:rPr>
          <w:highlight w:val="white"/>
        </w:rPr>
        <w:t xml:space="preserve"> </w:t>
      </w:r>
      <w:r>
        <w:rPr>
          <w:highlight w:val="white"/>
        </w:rPr>
        <w:t xml:space="preserve">Thông</w:t>
      </w:r>
      <w:r>
        <w:rPr>
          <w:highlight w:val="white"/>
        </w:rPr>
        <w:t xml:space="preserve"> </w:t>
      </w:r>
      <w:r>
        <w:rPr>
          <w:highlight w:val="white"/>
        </w:rPr>
        <w:t xml:space="preserve">tư</w:t>
      </w:r>
      <w:r>
        <w:rPr>
          <w:highlight w:val="white"/>
        </w:rPr>
        <w:t xml:space="preserve"> </w:t>
      </w:r>
      <w:r>
        <w:rPr>
          <w:highlight w:val="white"/>
        </w:rPr>
        <w:t xml:space="preserve">số</w:t>
      </w:r>
      <w:r>
        <w:rPr>
          <w:highlight w:val="white"/>
        </w:rPr>
        <w:t xml:space="preserve"> 32/2024</w:t>
      </w:r>
      <w:r>
        <w:rPr>
          <w:highlight w:val="white"/>
        </w:rPr>
        <w:t xml:space="preserve">/TT-BTC</w:t>
      </w:r>
      <w:r>
        <w:rPr>
          <w:highlight w:val="white"/>
        </w:rPr>
        <w:t xml:space="preserve"> </w:t>
      </w:r>
      <w:r>
        <w:rPr>
          <w:highlight w:val="white"/>
        </w:rPr>
        <w:t xml:space="preserve">ngày</w:t>
      </w:r>
      <w:r>
        <w:rPr>
          <w:highlight w:val="white"/>
        </w:rPr>
        <w:t xml:space="preserve"> 16/5/2024 </w:t>
      </w:r>
      <w:r>
        <w:rPr>
          <w:highlight w:val="white"/>
        </w:rPr>
        <w:t xml:space="preserve">của</w:t>
      </w:r>
      <w:r>
        <w:rPr>
          <w:highlight w:val="white"/>
        </w:rPr>
        <w:t xml:space="preserve"> </w:t>
      </w:r>
      <w:r>
        <w:rPr>
          <w:highlight w:val="white"/>
        </w:rPr>
        <w:t xml:space="preserve">Bộ</w:t>
      </w:r>
      <w:r>
        <w:rPr>
          <w:highlight w:val="white"/>
        </w:rPr>
        <w:t xml:space="preserve"> </w:t>
      </w:r>
      <w:r>
        <w:rPr>
          <w:highlight w:val="white"/>
        </w:rPr>
        <w:t xml:space="preserve">Tài</w:t>
      </w:r>
      <w:r>
        <w:rPr>
          <w:highlight w:val="white"/>
        </w:rPr>
        <w:t xml:space="preserve"> </w:t>
      </w:r>
      <w:r>
        <w:rPr>
          <w:highlight w:val="white"/>
        </w:rPr>
        <w:t xml:space="preserve">c</w:t>
      </w:r>
      <w:r>
        <w:rPr>
          <w:highlight w:val="white"/>
        </w:rPr>
        <w:t xml:space="preserve">hính</w:t>
      </w:r>
      <w:r>
        <w:rPr>
          <w:highlight w:val="white"/>
        </w:rPr>
        <w:t xml:space="preserve">)</w:t>
      </w:r>
      <w:r>
        <w:rPr>
          <w:highlight w:val="white"/>
        </w:rPr>
        <w:t xml:space="preserve">.</w:t>
      </w:r>
      <w:r>
        <w:rPr>
          <w:b/>
          <w:bCs/>
          <w:highlight w:val="white"/>
          <w:u w:val="single"/>
        </w:rPr>
      </w:r>
      <w:r>
        <w:rPr>
          <w:b/>
          <w:bCs/>
          <w:highlight w:val="white"/>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28.860.000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9.621.924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25.168.500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8.388.661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24.795.001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8.264.174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26.274.759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26.000.000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26.000.000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tabs>
                <w:tab w:val="center" w:leader="none" w:pos="3194"/>
              </w:tabs>
              <w:spacing w:after="40" w:before="40" w:line="288" w:lineRule="auto"/>
              <w:ind/>
              <w:jc w:val="both"/>
              <w:rPr>
                <w:b/>
                <w:bCs/>
              </w:rPr>
            </w:pPr>
            <w:r>
              <w:rPr>
                <w:b/>
                <w:bCs/>
                <w:color w:val="000000"/>
              </w:rPr>
              <w:t xml:space="preserve">Quyền sử dụng đất tại thửa đất số: 190, tờ bản đồ số: 7 có địa chỉ: KĐC Tự xây Sau Núi, Phường Nội Hợp, Thành phố Vĩnh Yên, Vĩnh Phúc (nay là</w:t>
            </w:r>
            <w:r>
              <w:rPr>
                <w:b/>
                <w:bCs/>
                <w:color w:val="000000"/>
              </w:rPr>
              <w:t xml:space="preserve"> ph</w:t>
            </w:r>
            <w:r>
              <w:rPr>
                <w:b/>
                <w:bCs/>
                <w:color w:val="000000"/>
              </w:rPr>
              <w:t xml:space="preserve">ường Vĩnh Yên, tỉnh Phú Thọ) theo Giấy chứng nhận quyền sử dụng đất, quyền sở hữu nhà ở và tài sản khác gắn liền với đất  số: CB 548899, số vào sổ cấp GCN: CS 04093 do Sở Tài nguyên và Môi trường - Tỉnh Vĩnh Phúc cấp ngày  03/11/2016 cho Bà Nguyễn Thị Dung</w:t>
            </w:r>
            <w:r>
              <w:rPr>
                <w:b/>
                <w:bCs/>
              </w:rPr>
              <w:t xml:space="preserve">.</w:t>
            </w:r>
            <w:r>
              <w:rPr>
                <w:b/>
                <w:bCs/>
              </w:rPr>
              <w:tab/>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26.000.000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2.600.000.000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2.600.000.000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sáu trăm triệu đồng chẵn</w:t>
            </w:r>
            <w:r>
              <w:rPr>
                <w:b/>
                <w:bCs/>
                <w:i/>
                <w:iCs/>
                <w:color w:val="000000"/>
              </w:rPr>
              <w:t xml:space="preserve">./.)</w:t>
            </w:r>
            <w:r>
              <w:rPr>
                <w:b/>
                <w:bCs/>
                <w:i/>
                <w:iCs/>
                <w:color w:val="000000"/>
              </w:rPr>
            </w:r>
            <w:r>
              <w:rPr>
                <w:b/>
                <w:bCs/>
                <w:i/>
                <w:iCs/>
                <w:color w:val="000000"/>
              </w:rPr>
            </w:r>
          </w:p>
        </w:tc>
      </w:tr>
    </w:tbl>
    <w:p w14:paraId="187E2E91" w14:textId="56B58432">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10D1D08F">
      <w:pPr>
        <w:numPr>
          <w:ilvl w:val="0"/>
          <w:numId w:val="40"/>
        </w:numPr>
        <w:pBdr>
          <w:top w:val="none" w:color="000000" w:sz="4" w:space="0"/>
          <w:left w:val="none" w:color="000000" w:sz="4" w:space="0"/>
          <w:bottom w:val="none" w:color="000000" w:sz="4" w:space="0"/>
          <w:right w:val="none" w:color="000000" w:sz="4" w:space="0"/>
        </w:pBdr>
        <w:spacing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Tại thời điểm thẩm định giá, trên đất có công trình xây dựng là: </w:t>
      </w:r>
      <w:r>
        <w:rPr>
          <w:rFonts w:ascii="Times New Roman" w:hAnsi="Times New Roman" w:eastAsia="Times New Roman" w:cs="Times New Roman"/>
          <w:color w:val="000000"/>
          <w:sz w:val="24"/>
        </w:rPr>
        <w:t xml:space="preserve">01 Nhà 2 tầng. Hoàn thiện năm 2008, diện tích khoảng 90m2/ sàn. Tổng diện tích xây dựng là 180m2. Hiện tại công trình chưa được chứng nhận trên GCN số CB 548899</w:t>
      </w:r>
      <w:r>
        <w:rPr>
          <w:rFonts w:ascii="Times New Roman" w:hAnsi="Times New Roman" w:eastAsia="Times New Roman" w:cs="Times New Roman"/>
          <w:color w:val="000000"/>
          <w:sz w:val="24"/>
        </w:rPr>
        <w:t xml:space="preserve">. Do vậy, theo đề nghị của Ngân hàng/Khách hàng, Tổ thẩm định không xác định giá trị của công trình xây </w:t>
      </w:r>
      <w:r>
        <w:rPr>
          <w:rFonts w:ascii="Times New Roman" w:hAnsi="Times New Roman" w:eastAsia="Times New Roman" w:cs="Times New Roman"/>
          <w:color w:val="000000"/>
          <w:sz w:val="24"/>
        </w:rPr>
        <w:t xml:space="preserve">dựng vào tổng giá trị, nhưng vẫn coi đó là phần không thể tách rời của tài sản thẩm định. Kính đề nghị đơn vị sử dụng kết quả lưu ý. </w:t>
      </w:r>
      <w:r>
        <w:rPr>
          <w:rFonts w:ascii="Times New Roman" w:hAnsi="Times New Roman" w:eastAsia="Times New Roman" w:cs="Times New Roman"/>
          <w:sz w:val="24"/>
        </w:rPr>
      </w:r>
      <w:r>
        <w:rPr>
          <w:rFonts w:ascii="Times New Roman" w:hAnsi="Times New Roman" w:eastAsia="Times New Roman" w:cs="Times New Roman"/>
          <w:sz w:val="24"/>
        </w:rPr>
      </w:r>
    </w:p>
    <w:p w14:paraId="66FC14F5" w14:textId="77777777">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9"/>
        <w:pBdr/>
        <w:tabs>
          <w:tab w:val="left" w:leader="none" w:pos="993"/>
        </w:tabs>
        <w:spacing w:after="120" w:before="120" w:line="288" w:lineRule="auto"/>
        <w:ind w:left="0"/>
        <w:jc w:val="both"/>
        <w:rPr>
          <w:highlight w:val="none"/>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highlight w:val="none"/>
          <w:lang w:val="pt-BR"/>
        </w:rPr>
      </w:r>
      <w:r>
        <w:rPr>
          <w:highlight w:val="none"/>
          <w:lang w:val="pt-BR"/>
        </w:rPr>
      </w:r>
    </w:p>
    <w:p w14:paraId="5543FE0A">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p w14:paraId="4DB0D295">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p w14:paraId="0EFD4A2C">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p w14:paraId="219E5DC5">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p w14:paraId="40CC19DF">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p w14:paraId="680EEA12">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p w14:paraId="1B7A9067">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p w14:paraId="030F02E0">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p w14:paraId="5258C748">
      <w:pPr>
        <w:pStyle w:val="1029"/>
        <w:pBdr/>
        <w:tabs>
          <w:tab w:val="left" w:leader="none" w:pos="993"/>
        </w:tabs>
        <w:spacing w:after="120" w:before="120" w:line="288" w:lineRule="auto"/>
        <w:ind w:left="0"/>
        <w:jc w:val="both"/>
        <w:rPr>
          <w:lang w:val="pt-BR"/>
        </w:rPr>
      </w:pPr>
      <w:r>
        <w:rPr>
          <w:bCs/>
          <w:highlight w:val="none"/>
          <w:lang w:val="pt-BR" w:bidi="pt-BR"/>
        </w:rPr>
      </w:r>
      <w:r>
        <w:rPr>
          <w:lang w:val="pt-BR"/>
        </w:rPr>
      </w:r>
      <w:r>
        <w:rPr>
          <w:lang w:val="pt-BR"/>
        </w:rPr>
      </w:r>
    </w:p>
    <w:p w14:paraId="7B47CC14" w14:textId="77777777">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275/2026/0019/VFI-CT.63.A</w:t>
      </w:r>
      <w:r>
        <w:rPr>
          <w:color w:val="ff0000"/>
          <w:lang w:val="vi-VN"/>
        </w:rPr>
        <w:t xml:space="preserve"> </w:t>
      </w:r>
      <w:r>
        <w:rPr>
          <w:color w:val="000000" w:themeColor="text1"/>
        </w:rPr>
        <w:t xml:space="preserve">ngày 7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275/2026/0019/VFI-B</w:t>
      </w:r>
      <w:r>
        <w:rPr>
          <w:i/>
          <w:highlight w:val="white"/>
        </w:rPr>
        <w:t xml:space="preserve">C.6</w:t>
      </w:r>
      <w:r>
        <w:rPr>
          <w:i/>
          <w:highlight w:val="white"/>
        </w:rPr>
        <w:t xml:space="preserve">3.A</w:t>
      </w:r>
      <w:r>
        <w:rPr>
          <w:i/>
          <w:highlight w:val="white"/>
          <w:lang w:val="pt-BR"/>
        </w:rPr>
        <w:t xml:space="preserve"> </w:t>
      </w:r>
      <w:r>
        <w:rPr>
          <w:i/>
          <w:highlight w:val="white"/>
          <w:lang w:val="pt-BR"/>
        </w:rPr>
        <w:t xml:space="preserve"> ngày 7 tháng 1</w:t>
      </w:r>
      <w:r>
        <w:rPr>
          <w:i/>
          <w:lang w:val="pt-BR"/>
        </w:rPr>
        <w:t xml:space="preserve">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581640645" name="" descr=""/>
                              <pic:cNvPicPr/>
                              <pic:nvPr/>
                            </pic:nvPicPr>
                            <pic:blipFill rotWithShape="1">
                              <a:blip r:embed="rId18"/>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1003" cy="209564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85106" name=""/>
                              <pic:cNvPicPr>
                                <a:picLocks noChangeAspect="1"/>
                              </pic:cNvPicPr>
                              <pic:nvPr/>
                            </pic:nvPicPr>
                            <pic:blipFill rotWithShape="1">
                              <a:blip r:embed="rId20"/>
                              <a:stretch/>
                            </pic:blipFill>
                            <pic:spPr bwMode="auto">
                              <a:xfrm flipH="0" flipV="0">
                                <a:off x="0" y="0"/>
                                <a:ext cx="2621002" cy="20956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6.38pt;height:165.0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5471" cy="217160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35638" name=""/>
                              <pic:cNvPicPr>
                                <a:picLocks noChangeAspect="1"/>
                              </pic:cNvPicPr>
                              <pic:nvPr/>
                            </pic:nvPicPr>
                            <pic:blipFill rotWithShape="1">
                              <a:blip r:embed="rId21"/>
                              <a:stretch/>
                            </pic:blipFill>
                            <pic:spPr bwMode="auto">
                              <a:xfrm flipH="0" flipV="0">
                                <a:off x="0" y="0"/>
                                <a:ext cx="2895471" cy="21716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99pt;height:170.9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97479" cy="217310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59070" name=""/>
                              <pic:cNvPicPr>
                                <a:picLocks noChangeAspect="1"/>
                              </pic:cNvPicPr>
                              <pic:nvPr/>
                            </pic:nvPicPr>
                            <pic:blipFill rotWithShape="1">
                              <a:blip r:embed="rId23"/>
                              <a:stretch/>
                            </pic:blipFill>
                            <pic:spPr bwMode="auto">
                              <a:xfrm flipH="0" flipV="0">
                                <a:off x="0" y="0"/>
                                <a:ext cx="2897478" cy="2173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15pt;height:171.1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w:t>
      </w:r>
      <w:commentRangeStart w:id="1"/>
      <w:r>
        <w:rPr>
          <w:b/>
          <w:lang w:val="vi-VN"/>
        </w:rPr>
        <w:t xml:space="preserve">N THU THẬP THỊ T</w:t>
      </w:r>
      <w:commentRangeEnd w:id="1"/>
      <w:r>
        <w:commentReference w:id="1"/>
      </w:r>
      <w:r>
        <w:rPr>
          <w:b/>
          <w:lang w:val="vi-VN"/>
        </w:rPr>
        <w:t xml:space="preserve">RƯỜN</w:t>
      </w:r>
      <w:r>
        <w:rPr>
          <w:b/>
        </w:rPr>
        <w:t xml:space="preserve">G</w:t>
      </w:r>
      <w:r>
        <w:rPr>
          <w:i/>
          <w:lang w:val="pt-BR"/>
        </w:rPr>
      </w:r>
      <w:r>
        <w:rPr>
          <w:i/>
          <w:lang w:val="pt-BR"/>
        </w:rPr>
      </w:r>
    </w:p>
    <w:p w14:paraId="6F4CB34C" w14:textId="63A58DB4">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275/2026/0019/VFI-BC.</w:t>
      </w:r>
      <w:r>
        <w:rPr>
          <w:i/>
          <w:highlight w:val="white"/>
        </w:rPr>
        <w:t xml:space="preserve">63.A ngày</w:t>
      </w:r>
      <w:r>
        <w:rPr>
          <w:i/>
          <w:highlight w:val="white"/>
          <w:lang w:val="pt-BR"/>
        </w:rPr>
        <w:t xml:space="preserve"> </w:t>
      </w:r>
      <w:r>
        <w:rPr>
          <w:i/>
          <w:highlight w:val="white"/>
          <w:lang w:val="pt-BR"/>
        </w:rPr>
        <w:t xml:space="preserve">7 tháng 1 </w:t>
      </w:r>
      <w:r>
        <w:rPr>
          <w:i/>
          <w:highlight w:val="white"/>
          <w:lang w:val="pt-BR"/>
        </w:rPr>
        <w:t xml:space="preserve">năm 2026</w:t>
      </w:r>
      <w:r>
        <w:rPr>
          <w:i/>
          <w:highlight w:val="white"/>
          <w:lang w:val="pt-BR"/>
        </w:rPr>
        <w:t xml:space="preserve"> </w:t>
      </w:r>
      <w:r>
        <w:rPr>
          <w:i/>
          <w:highlight w:val="white"/>
          <w:lang w:val="pt-BR"/>
        </w:rPr>
        <w:t xml:space="preserve">của</w:t>
      </w:r>
      <w:r>
        <w:rPr>
          <w:i/>
          <w:highlight w:val="white"/>
          <w:lang w:val="pt-BR"/>
        </w:rPr>
        <w:t xml:space="preserve"> </w:t>
      </w:r>
      <w:r>
        <w:rPr>
          <w:i/>
          <w:highlight w:val="white"/>
        </w:rPr>
      </w:r>
      <w:r>
        <w:rPr>
          <w:i/>
          <w:highlight w:val="white"/>
        </w:rPr>
      </w:r>
    </w:p>
    <w:p w14:paraId="3751A12B" w14:textId="3801AB2C">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rPr>
      </w:r>
      <w:r>
        <w:rPr>
          <w:i/>
          <w:highlight w:val="white"/>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https://www.facebook.com/share/p/1BpC9zB3EC/?mibextid=wwXIfr</w:t>
            </w:r>
            <w:r>
              <w:rPr>
                <w:color w:val="000000" w:themeColor="text1"/>
                <w:sz w:val="22"/>
                <w:szCs w:val="22"/>
              </w:rPr>
              <w:br/>
              <w:t xml:space="preserve">0985806313</w:t>
            </w:r>
            <w:r>
              <w:rPr>
                <w:sz w:val="22"/>
                <w:szCs w:val="22"/>
              </w:rPr>
              <w:t xml:space="preserve"> </w:t>
            </w:r>
            <w:r>
              <w:rPr>
                <w:sz w:val="22"/>
                <w:szCs w:val="22"/>
              </w:rPr>
              <w:br/>
              <w:t xml:space="preserve">(Thu 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3.145.000.000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Đường Lê Anh Tuấn, Phường Đồng Tâm, Thành phố Vĩnh Yên, Tỉnh Vĩnh Phúc, độ rộng đường trước mặt tài sản 11m, cách viện 109 tầm 800m, nhà văn hoá 100m, 21.29548274449686, 105.57778701376624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4169"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5241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7.4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1098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8109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7.5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https://alonhadat.com.vn/ban-dat-dep-dau-tu-duong-le-tan-dong-tam-vinh-yen--17149256.html</w:t>
            </w:r>
            <w:r>
              <w:rPr>
                <w:color w:val="000000" w:themeColor="text1"/>
                <w:sz w:val="22"/>
                <w:szCs w:val="22"/>
              </w:rPr>
              <w:br/>
              <w:t xml:space="preserve">0964199332</w:t>
            </w:r>
            <w:r>
              <w:rPr>
                <w:sz w:val="22"/>
                <w:szCs w:val="22"/>
              </w:rPr>
              <w:t xml:space="preserve"> </w:t>
            </w:r>
            <w:r>
              <w:rPr>
                <w:sz w:val="22"/>
                <w:szCs w:val="22"/>
              </w:rPr>
              <w:br/>
              <w:t xml:space="preserve">(Nam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2.772.000.000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Đường Lê Tần, Phường Đồ</w:t>
            </w:r>
            <w:r>
              <w:rPr>
                <w:color w:val="000000" w:themeColor="text1"/>
                <w:sz w:val="22"/>
                <w:szCs w:val="22"/>
              </w:rPr>
              <w:t xml:space="preserve">ng Tâm, Thành phố Vĩnh Yên, Tỉnh Vĩnh Phúc, đường Lê Tần, độ rộng đường trước mặt tài sản 16.5m, mặt tiền 6m, Gần trường c1,c2,c3, trường cao đẳng kte, chợ đồng tầm, quốc lộ 2A, công viên nhà văn hoá, gần bệnh viện 109, 21.30307194968914, 105.5678997774972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941CAC">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2052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2205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1.0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72722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7272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29.7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25F06F7B">
      <w:pPr>
        <w:pBdr/>
        <w:spacing w:after="200" w:line="276" w:lineRule="auto"/>
        <w:ind/>
        <w:rPr>
          <w:lang w:val="pt-BR"/>
        </w:rPr>
      </w:pPr>
      <w:r>
        <w:rPr>
          <w:iCs/>
          <w:lang w:val="pt-BR"/>
        </w:rPr>
      </w:r>
      <w:r>
        <w:rPr>
          <w:lang w:val="pt-BR"/>
        </w:rPr>
      </w:r>
      <w:r>
        <w:rPr>
          <w:lang w:val="pt-BR"/>
        </w:rPr>
      </w:r>
    </w:p>
    <w:p w14:paraId="67B3B082">
      <w:pPr>
        <w:pBdr/>
        <w:spacing w:after="200" w:line="276" w:lineRule="auto"/>
        <w:ind/>
        <w:rPr>
          <w:lang w:val="pt-BR"/>
        </w:rPr>
      </w:pPr>
      <w:r>
        <w:rPr>
          <w:iCs/>
          <w:lang w:val="pt-BR"/>
        </w:rPr>
      </w:r>
      <w:r>
        <w:rPr>
          <w:lang w:val="pt-BR"/>
        </w:rPr>
      </w:r>
      <w:r>
        <w:rPr>
          <w:lang w:val="pt-BR"/>
        </w:rPr>
      </w:r>
    </w:p>
    <w:p w14:paraId="4A178710">
      <w:pPr>
        <w:pBdr/>
        <w:spacing w:after="200" w:line="276" w:lineRule="auto"/>
        <w:ind/>
        <w:rPr>
          <w:lang w:val="pt-BR"/>
        </w:rPr>
      </w:pPr>
      <w:r>
        <w:rPr>
          <w:iCs/>
          <w:lang w:val="pt-BR"/>
        </w:rPr>
      </w:r>
      <w:r>
        <w:rPr>
          <w:lang w:val="pt-BR"/>
        </w:rPr>
      </w:r>
      <w:r>
        <w:rPr>
          <w:lang w:val="pt-BR"/>
        </w:rPr>
      </w:r>
    </w:p>
    <w:p w14:paraId="6E3F7287">
      <w:pPr>
        <w:pBdr/>
        <w:spacing w:after="200" w:line="276" w:lineRule="auto"/>
        <w:ind/>
        <w:rPr>
          <w:lang w:val="pt-BR"/>
        </w:rPr>
      </w:pPr>
      <w:r>
        <w:rPr>
          <w:iCs/>
          <w:lang w:val="pt-BR"/>
        </w:rPr>
      </w:r>
      <w:r>
        <w:rPr>
          <w:lang w:val="pt-BR"/>
        </w:rPr>
      </w:r>
      <w:r>
        <w:rPr>
          <w:lang w:val="pt-BR"/>
        </w:rPr>
      </w:r>
    </w:p>
    <w:p w14:paraId="4E7F85D4">
      <w:pPr>
        <w:pBdr/>
        <w:spacing w:after="200" w:line="276" w:lineRule="auto"/>
        <w:ind/>
        <w:rPr>
          <w:lang w:val="pt-BR"/>
        </w:rPr>
      </w:pPr>
      <w:r>
        <w:rPr>
          <w:iCs/>
          <w:lang w:val="pt-BR"/>
        </w:rPr>
      </w:r>
      <w:r>
        <w:rPr>
          <w:lang w:val="pt-BR"/>
        </w:rPr>
      </w:r>
      <w:r>
        <w:rPr>
          <w:lang w:val="pt-BR"/>
        </w:rPr>
      </w:r>
    </w:p>
    <w:p w14:paraId="1B0B3676">
      <w:pPr>
        <w:pBdr/>
        <w:spacing w:after="200" w:line="276" w:lineRule="auto"/>
        <w:ind/>
        <w:rPr>
          <w:lang w:val="pt-BR"/>
        </w:rPr>
      </w:pPr>
      <w:r>
        <w:rPr>
          <w:iCs/>
          <w:lang w:val="pt-BR"/>
        </w:rPr>
      </w:r>
      <w:r>
        <w:rPr>
          <w:lang w:val="pt-BR"/>
        </w:rPr>
      </w:r>
      <w:r>
        <w:rPr>
          <w:lang w:val="pt-BR"/>
        </w:rPr>
      </w:r>
    </w:p>
    <w:p w14:paraId="46B70327">
      <w:pPr>
        <w:pBdr/>
        <w:spacing w:after="200" w:line="276" w:lineRule="auto"/>
        <w:ind/>
        <w:rPr>
          <w:lang w:val="pt-BR"/>
        </w:rPr>
      </w:pPr>
      <w:r>
        <w:rPr>
          <w:iCs/>
          <w:lang w:val="pt-BR"/>
        </w:rPr>
      </w:r>
      <w:r>
        <w:rPr>
          <w:lang w:val="pt-BR"/>
        </w:rPr>
      </w:r>
      <w:r>
        <w:rPr>
          <w:lang w:val="pt-BR"/>
        </w:rPr>
      </w:r>
    </w:p>
    <w:p w14:paraId="71649F59">
      <w:pPr>
        <w:pBdr/>
        <w:spacing w:after="200" w:line="276" w:lineRule="auto"/>
        <w:ind/>
        <w:rPr>
          <w:lang w:val="pt-BR"/>
        </w:rPr>
      </w:pPr>
      <w:r>
        <w:rPr>
          <w:iCs/>
          <w:lang w:val="pt-BR"/>
        </w:rPr>
      </w:r>
      <w:r>
        <w:rPr>
          <w:lang w:val="pt-BR"/>
        </w:rPr>
      </w:r>
      <w:r>
        <w:rPr>
          <w:lang w:val="pt-BR"/>
        </w:rPr>
      </w:r>
    </w:p>
    <w:p w14:paraId="1D1FE055">
      <w:pPr>
        <w:pBdr/>
        <w:spacing w:after="200" w:line="276" w:lineRule="auto"/>
        <w:ind/>
        <w:rPr>
          <w:lang w:val="pt-BR"/>
        </w:rPr>
      </w:pPr>
      <w:r>
        <w:rPr>
          <w:iCs/>
          <w:lang w:val="pt-BR"/>
        </w:rPr>
      </w:r>
      <w:r>
        <w:rPr>
          <w:lang w:val="pt-BR"/>
        </w:rPr>
      </w:r>
      <w:r>
        <w:rPr>
          <w:lang w:val="pt-BR"/>
        </w:rPr>
      </w:r>
    </w:p>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0963.242.696</w:t>
            </w:r>
            <w:r>
              <w:rPr>
                <w:sz w:val="22"/>
                <w:szCs w:val="22"/>
              </w:rPr>
              <w:t xml:space="preserve"> </w:t>
            </w:r>
            <w:r>
              <w:rPr>
                <w:sz w:val="22"/>
                <w:szCs w:val="22"/>
              </w:rPr>
              <w:br/>
              <w:t xml:space="preserve">(Thọ</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2.508.000.000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(98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Hội Hợp, Thành phố Vĩnh Yên, Tỉnh Vĩnh Phúc, khoảng cách ra đường chính cách QL2C khoảng 350m, độ rộng đường trước mặt tài sản 13.5m, mặt tiền 7m, 21.302202501860524, 105.56648030992585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941CAC">
            <w:pPr>
              <w:pBdr/>
              <w:spacing w:line="276" w:lineRule="auto"/>
              <w:ind/>
              <w:jc w:val="center"/>
              <w:rPr>
                <w:sz w:val="22"/>
                <w:szCs w:val="22"/>
              </w:rPr>
            </w:pPr>
            <w:r>
              <w:rPr>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21379" cy="18960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421377" cy="18960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0.66pt;height:149.2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413ABA39">
            <w:pPr>
              <w:pBdr/>
              <w:spacing/>
              <w:ind/>
              <w:jc w:val="center"/>
              <w:rPr/>
            </w:pPr>
            <w:r>
              <w:rPr>
                <w:highlight w:val="none"/>
              </w:rPr>
            </w:r>
            <w:r>
              <w:rPr>
                <w:highlight w:val="none"/>
              </w:rPr>
            </w:r>
            <w:r/>
          </w:p>
          <w:p w14:paraId="5947C132">
            <w:pPr>
              <w:pBdr/>
              <w:spacing/>
              <w:ind/>
              <w:jc w:val="center"/>
              <w:rPr>
                <w:highlight w:val="none"/>
              </w:rPr>
            </w:pPr>
            <w:r>
              <w:rPr>
                <w:highlight w:val="none"/>
              </w:rPr>
            </w:r>
            <w:r>
              <w:rPr>
                <w:highlight w:val="none"/>
              </w:rPr>
            </w:r>
            <w:r>
              <w:rPr>
                <w:highlight w:val="none"/>
              </w:rPr>
            </w:r>
          </w:p>
          <w:p w14:paraId="3014E250">
            <w:pPr>
              <w:pBdr/>
              <w:spacing/>
              <w:ind/>
              <w:jc w:val="center"/>
              <w:rPr>
                <w:highlight w:val="none"/>
              </w:rPr>
            </w:pPr>
            <w:r>
              <w:rPr>
                <w:highlight w:val="none"/>
              </w:rPr>
            </w:r>
            <w:r>
              <w:rPr>
                <w:highlight w:val="none"/>
              </w:rPr>
            </w:r>
            <w:r>
              <w:rPr>
                <w:highlight w:val="none"/>
              </w:rPr>
            </w:r>
          </w:p>
          <w:p w14:paraId="6FE81D0D">
            <w:pPr>
              <w:pBdr/>
              <w:spacing/>
              <w:ind/>
              <w:jc w:val="center"/>
              <w:rPr>
                <w:highlight w:val="none"/>
              </w:rPr>
            </w:pPr>
            <w:r>
              <w:rPr>
                <w:highlight w:val="none"/>
              </w:rPr>
            </w:r>
            <w:r>
              <w:rPr>
                <w:highlight w:val="none"/>
              </w:rPr>
            </w:r>
            <w:r>
              <w:rPr>
                <w:highlight w:val="none"/>
              </w:rPr>
            </w:r>
          </w:p>
          <w:p w14:paraId="4CBFB3A1">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Trần Thị Thanh Tâm</w:t>
            </w:r>
            <w:r>
              <w:rPr>
                <w:highlight w:val="none"/>
              </w:rPr>
            </w:r>
            <w:r>
              <w:rPr>
                <w:highlight w:val="none"/>
              </w:rP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jc w:val="center"/>
        <w:rPr>
          <w:b/>
          <w:bCs/>
          <w:iCs/>
          <w:highlight w:val="none"/>
          <w:lang w:val="pt-BR"/>
        </w:rPr>
      </w:pPr>
      <w:r>
        <w:rPr>
          <w:b/>
          <w:bCs/>
          <w:iCs/>
          <w:lang w:val="pt-BR"/>
        </w:rPr>
      </w:r>
      <w:r>
        <w:rPr>
          <w:b/>
          <w:bCs/>
          <w:iCs/>
          <w:lang w:val="pt-BR"/>
        </w:rPr>
        <w:t xml:space="preserve">HỒ SƠ PHÁP LÝ</w:t>
      </w:r>
      <w:r>
        <w:rPr>
          <w:b/>
          <w:bCs/>
          <w:iCs/>
          <w:highlight w:val="none"/>
          <w:lang w:val="pt-BR"/>
        </w:rPr>
      </w:r>
      <w:r>
        <w:rPr>
          <w:b/>
          <w:bCs/>
          <w:iCs/>
          <w:highlight w:val="none"/>
          <w:lang w:val="pt-BR"/>
        </w:rPr>
      </w:r>
    </w:p>
    <w:p w14:paraId="5B2EEBE1">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860391" cy="560882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92146" name=""/>
                        <pic:cNvPicPr>
                          <a:picLocks noChangeAspect="1"/>
                        </pic:cNvPicPr>
                        <pic:nvPr/>
                      </pic:nvPicPr>
                      <pic:blipFill rotWithShape="1">
                        <a:blip r:embed="rId31"/>
                        <a:stretch/>
                      </pic:blipFill>
                      <pic:spPr bwMode="auto">
                        <a:xfrm rot="5399976" flipH="0" flipV="0">
                          <a:off x="0" y="0"/>
                          <a:ext cx="8860390" cy="56088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97.67pt;height:441.64pt;mso-wrap-distance-left:0.00pt;mso-wrap-distance-top:0.00pt;mso-wrap-distance-right:0.00pt;mso-wrap-distance-bottom:0.00pt;rotation:89;z-index:1;" stroked="false">
                <v:imagedata r:id="rId31" o:title=""/>
                <o:lock v:ext="edit" rotation="t"/>
              </v:shape>
            </w:pict>
          </mc:Fallback>
        </mc:AlternateContent>
      </w:r>
      <w:r>
        <w:rPr>
          <w:b/>
          <w:bCs/>
          <w:highlight w:val="none"/>
          <w:lang w:val="pt-BR"/>
        </w:rPr>
      </w:r>
      <w:r>
        <w:rPr>
          <w:b/>
          <w:bCs/>
          <w:highlight w:val="none"/>
          <w:lang w:val="pt-BR"/>
        </w:rPr>
      </w:r>
    </w:p>
    <w:p w14:paraId="2D66D4C2">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9222129" cy="616017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04350" name=""/>
                        <pic:cNvPicPr>
                          <a:picLocks noChangeAspect="1"/>
                        </pic:cNvPicPr>
                        <pic:nvPr/>
                      </pic:nvPicPr>
                      <pic:blipFill rotWithShape="1">
                        <a:blip r:embed="rId32"/>
                        <a:stretch/>
                      </pic:blipFill>
                      <pic:spPr bwMode="auto">
                        <a:xfrm rot="5399976" flipH="0" flipV="0">
                          <a:off x="0" y="0"/>
                          <a:ext cx="9222129" cy="61601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726.15pt;height:485.05pt;mso-wrap-distance-left:0.00pt;mso-wrap-distance-top:0.00pt;mso-wrap-distance-right:0.00pt;mso-wrap-distance-bottom:0.00pt;rotation:89;z-index:1;" stroked="false">
                <v:imagedata r:id="rId32" o:title=""/>
                <o:lock v:ext="edit" rotation="t"/>
              </v:shape>
            </w:pict>
          </mc:Fallback>
        </mc:AlternateContent>
      </w:r>
      <w:r>
        <w:rPr>
          <w:b/>
          <w:bCs/>
          <w:highlight w:val="none"/>
          <w:lang w:val="pt-BR"/>
        </w:rPr>
      </w:r>
      <w:r>
        <w:rPr>
          <w:b/>
          <w:bCs/>
          <w:highlight w:val="none"/>
          <w:lang w:val="pt-BR"/>
        </w:rPr>
      </w:r>
    </w:p>
    <w:p w14:paraId="4821427B">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14:paraId="5F3B99E3">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446890" cy="859585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19508" name=""/>
                        <pic:cNvPicPr>
                          <a:picLocks noChangeAspect="1"/>
                        </pic:cNvPicPr>
                        <pic:nvPr/>
                      </pic:nvPicPr>
                      <pic:blipFill rotWithShape="1">
                        <a:blip r:embed="rId33"/>
                        <a:stretch/>
                      </pic:blipFill>
                      <pic:spPr bwMode="auto">
                        <a:xfrm flipH="0" flipV="0">
                          <a:off x="0" y="0"/>
                          <a:ext cx="6446889" cy="8595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507.63pt;height:676.84pt;mso-wrap-distance-left:0.00pt;mso-wrap-distance-top:0.00pt;mso-wrap-distance-right:0.00pt;mso-wrap-distance-bottom:0.00pt;z-index:1;" stroked="false">
                <v:imagedata r:id="rId3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1-13T15:57:22Z" w:initials="NTTD">
    <w:p w14:paraId="00000001" w14:textId="00000001">
      <w:pPr>
        <w:spacing w:line="240" w:after="0" w:lineRule="auto" w:before="0"/>
        <w:ind w:firstLine="0" w:left="0" w:right="0"/>
        <w:jc w:val="left"/>
      </w:pPr>
      <w:r>
        <w:rPr>
          <w:rFonts w:eastAsia="Arial" w:ascii="Arial" w:hAnsi="Arial" w:cs="Arial"/>
          <w:sz w:val="22"/>
        </w:rPr>
        <w:t xml:space="preserve">Bổ sung các thông tin thiếu, thừa</w:t>
      </w:r>
    </w:p>
  </w:comment>
  <w:comment w:id="0" w:author="Nguyễn Thị Thùy Dương" w:date="2026-01-13T15:53:22Z" w:initials="NTTD">
    <w:p w14:paraId="00000002" w14:textId="00000002">
      <w:pPr>
        <w:spacing w:line="240" w:after="0" w:lineRule="auto" w:before="0"/>
        <w:ind w:firstLine="0" w:left="0" w:right="0"/>
        <w:jc w:val="left"/>
      </w:pPr>
      <w:r>
        <w:rPr>
          <w:rFonts w:eastAsia="Arial" w:ascii="Arial" w:hAnsi="Arial" w:cs="Arial"/>
          <w:sz w:val="22"/>
        </w:rPr>
        <w:t xml:space="preserve">Thiếu mô tả tài sản trên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5C91E7F" w16cex:dateUtc="2026-01-13T08:57:22Z"/>
  <w16cex:commentExtensible w16cex:durableId="46AE387A" w16cex:dateUtc="2026-01-13T08:53:2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5C91E7F"/>
  <w16cid:commentId w16cid:paraId="00000002" w16cid:durableId="46AE38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6E02B8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6E02B8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282</cp:revision>
  <dcterms:created xsi:type="dcterms:W3CDTF">2025-09-15T09:58:00Z</dcterms:created>
  <dcterms:modified xsi:type="dcterms:W3CDTF">2026-01-14T01:27:53Z</dcterms:modified>
</cp:coreProperties>
</file>