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275/2026/0036/VFI-CT.65.A</w:t>
                            </w:r>
                            <w:r>
                              <w:rPr>
                                <w:b/>
                                <w:color w:val="000000" w:themeColor="text1"/>
                              </w:rPr>
                            </w:r>
                            <w:r>
                              <w:rPr>
                                <w:b/>
                                <w:color w:val="000000" w:themeColor="text1"/>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BÙI THỊ KHÁNH HIỀN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sở hữu căn hộ chung cư số 201 tòa B, Tòa nhà chung cư cao tầng Sông Nhuệ, phường Kiến Hưng, quận Hà Đông, thành phố Hà Nội (nay là phường Kiến Hưng, thành phố Hà Nội) theo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rPr>
                                <w:rFonts w:ascii="Times New Roman" w:hAnsi="Times New Roman" w:eastAsia="Times New Roman" w:cs="Times New Roman"/>
                                <w:color w:val="000000"/>
                                <w:sz w:val="24"/>
                              </w:rPr>
                              <w:t xml:space="preserve"> số: D</w:t>
                            </w:r>
                            <w:r>
                              <w:rPr>
                                <w:rFonts w:ascii="Times New Roman" w:hAnsi="Times New Roman" w:eastAsia="Times New Roman" w:cs="Times New Roman"/>
                                <w:color w:val="000000"/>
                                <w:sz w:val="24"/>
                              </w:rPr>
                              <w:t xml:space="preserve">Đ 398571, số vào sổ cấp GCN: CS 64215 do Sở tài nguyên và môi trường thành phố Hà Nội cấp ngày 10/11/2021; Chủ tài sản là Ông Nguyễn Quốc Duy và Bà Bùi Thị Khánh Hiền.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275/2026/0036/VFI-CT.65.A</w:t>
                      </w:r>
                      <w:r>
                        <w:rPr>
                          <w:b/>
                          <w:color w:val="000000" w:themeColor="text1"/>
                        </w:rPr>
                      </w:r>
                      <w:r>
                        <w:rPr>
                          <w:b/>
                          <w:color w:val="000000" w:themeColor="text1"/>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BÙI THỊ KHÁNH HIỀN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sở hữu căn hộ chung cư số 201 tòa B, Tòa nhà chung cư cao tầng Sông Nhuệ, phường Kiến Hưng, quận Hà Đông, thành phố Hà Nội (nay là phường Kiến Hưng, thành phố Hà Nội) theo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rPr>
                          <w:rFonts w:ascii="Times New Roman" w:hAnsi="Times New Roman" w:eastAsia="Times New Roman" w:cs="Times New Roman"/>
                          <w:color w:val="000000"/>
                          <w:sz w:val="24"/>
                        </w:rPr>
                        <w:t xml:space="preserve"> số: D</w:t>
                      </w:r>
                      <w:r>
                        <w:rPr>
                          <w:rFonts w:ascii="Times New Roman" w:hAnsi="Times New Roman" w:eastAsia="Times New Roman" w:cs="Times New Roman"/>
                          <w:color w:val="000000"/>
                          <w:sz w:val="24"/>
                        </w:rPr>
                        <w:t xml:space="preserve">Đ 398571, số vào sổ cấp GCN: CS 64215 do Sở tài nguyên và môi trường thành phố Hà Nội cấp ngày 10/11/2021; Chủ tài sản là Ông Nguyễn Quốc Duy và Bà Bùi Thị Khánh Hiền.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4-16</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17</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18-21</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446"/>
        <w:gridCol w:w="8362"/>
      </w:tblGrid>
      <w:tr>
        <w:trPr>
          <w:trHeight w:val="1420"/>
        </w:trPr>
        <w:tc>
          <w:tcPr>
            <w:tcBorders/>
            <w:tcW w:w="1446"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62"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Ind w:w="-284" w:type="dxa"/>
        <w:tblW w:w="9808" w:type="dxa"/>
        <w:tblBorders/>
        <w:tblLayout w:type="fixed"/>
        <w:tblLook w:val="04A0" w:firstRow="1" w:lastRow="0" w:firstColumn="1" w:lastColumn="0" w:noHBand="0" w:noVBand="1"/>
      </w:tblPr>
      <w:tblGrid>
        <w:gridCol w:w="4553"/>
        <w:gridCol w:w="5255"/>
      </w:tblGrid>
      <w:tr>
        <w:trPr>
          <w:trHeight w:val="430"/>
        </w:trPr>
        <w:tc>
          <w:tcPr>
            <w:shd w:val="clear" w:color="ffffff" w:fill="ffffff"/>
            <w:tcBorders/>
            <w:tcMar>
              <w:left w:w="108" w:type="dxa"/>
              <w:top w:w="0" w:type="dxa"/>
              <w:right w:w="108" w:type="dxa"/>
              <w:bottom w:w="0" w:type="dxa"/>
            </w:tcMar>
            <w:tcW w:w="4553" w:type="dxa"/>
            <w:textDirection w:val="lrTb"/>
            <w:noWrap w:val="false"/>
          </w:tcPr>
          <w:p w14:paraId="040B996D">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275/2026/0036/VFI-CT.65.A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255" w:type="dxa"/>
            <w:textDirection w:val="lrTb"/>
            <w:noWrap w:val="false"/>
          </w:tcPr>
          <w:p w14:paraId="7BD571D5">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highlight w:val="none"/>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highlight w:val="none"/>
          <w:lang w:val="vi-VN"/>
        </w:rPr>
      </w:r>
      <w:r>
        <w:rPr>
          <w:rStyle w:val="1023"/>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w:t>
      </w:r>
      <w:r>
        <w:rPr>
          <w:b/>
          <w:color w:val="000000" w:themeColor="text1"/>
          <w:u w:val="single"/>
          <w:lang w:val="pt-BR"/>
        </w:rPr>
        <w:t xml:space="preserve"> </w:t>
      </w:r>
      <w:r>
        <w:rPr>
          <w:b/>
          <w:color w:val="000000" w:themeColor="text1"/>
          <w:u w:val="single"/>
          <w:lang w:val="pt-BR"/>
        </w:rPr>
        <w:t xml:space="preserve">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BÀ BÙI THỊ KHÁNH HIỀN</w:t>
      </w:r>
      <w:r>
        <w:rPr>
          <w:rFonts w:ascii="Times New Roman Bold" w:hAnsi="Times New Roman Bold"/>
          <w:b/>
          <w:color w:val="000000" w:themeColor="text1"/>
        </w:rPr>
      </w:r>
      <w:r>
        <w:rPr>
          <w:rFonts w:ascii="Times New Roman Bold" w:hAnsi="Times New Roman Bold"/>
          <w:b/>
          <w:color w:val="000000" w:themeColor="text1"/>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275/2026/0036/VFI-HĐTĐ.65.A</w:t>
      </w:r>
      <w:r>
        <w:rPr>
          <w:spacing w:val="-4"/>
          <w:lang w:val="vi-VN"/>
        </w:rPr>
        <w:t xml:space="preserve"> ký ngày </w:t>
      </w:r>
      <w:r>
        <w:rPr>
          <w:color w:val="000000" w:themeColor="text1"/>
          <w:spacing w:val="-4"/>
        </w:rPr>
        <w:t xml:space="preserve">7 tháng 1 năm 2026</w:t>
      </w:r>
      <w:r>
        <w:rPr>
          <w:spacing w:val="-4"/>
          <w:lang w:val="vi-VN"/>
        </w:rPr>
        <w:t xml:space="preserve"> </w:t>
      </w:r>
      <w:r>
        <w:rPr>
          <w:spacing w:val="-4"/>
          <w:lang w:val="vi-VN"/>
        </w:rPr>
        <w:t xml:space="preserve">giữa </w:t>
      </w:r>
      <w:r>
        <w:rPr>
          <w:color w:val="000000" w:themeColor="text1"/>
          <w:spacing w:val="-4"/>
        </w:rPr>
        <w:t xml:space="preserve">Bà Bùi Thị Khánh Hiền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275/2026/0036/VFI-BC.65.A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03B96C3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3DFC4187">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13CFACD5">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b/>
                <w:color w:val="000000"/>
                <w:sz w:val="24"/>
              </w:rPr>
            </w:r>
            <w:r>
              <w:rPr>
                <w:rFonts w:ascii="Times New Roman Bold" w:hAnsi="Times New Roman Bold"/>
                <w:b/>
                <w:lang w:val="pt-BR"/>
              </w:rPr>
              <w:t xml:space="preserve">BÀ BÙI THỊ KHÁNH HIỀN</w:t>
            </w:r>
            <w:r>
              <w:rPr>
                <w:rFonts w:ascii="Times New Roman" w:hAnsi="Times New Roman" w:eastAsia="Times New Roman" w:cs="Times New Roman"/>
                <w:b/>
                <w:color w:val="000000"/>
                <w:sz w:val="24"/>
              </w:rPr>
            </w:r>
            <w:r/>
          </w:p>
        </w:tc>
      </w:tr>
      <w:tr>
        <w:trPr>
          <w:trHeight w:val="20"/>
        </w:trPr>
        <w:tc>
          <w:tcPr>
            <w:shd w:val="clear" w:color="auto" w:fill="auto"/>
            <w:tcBorders/>
            <w:tcW w:w="1109" w:type="pct"/>
            <w:vAlign w:val="center"/>
            <w:textDirection w:val="lrTb"/>
            <w:noWrap w:val="false"/>
          </w:tcPr>
          <w:p w14:paraId="0879E8EA">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CMND số</w:t>
            </w:r>
            <w:r/>
          </w:p>
        </w:tc>
        <w:tc>
          <w:tcPr>
            <w:shd w:val="clear" w:color="auto" w:fill="auto"/>
            <w:tcBorders/>
            <w:tcW w:w="248" w:type="pct"/>
            <w:vAlign w:val="center"/>
            <w:textDirection w:val="lrTb"/>
            <w:noWrap w:val="false"/>
          </w:tcPr>
          <w:p w14:paraId="4107AEF4">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683FF64F">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031192020867</w:t>
            </w:r>
            <w:r/>
          </w:p>
        </w:tc>
      </w:tr>
      <w:tr>
        <w:trPr>
          <w:trHeight w:val="20"/>
        </w:trPr>
        <w:tc>
          <w:tcPr>
            <w:shd w:val="clear" w:color="auto" w:fill="auto"/>
            <w:tcBorders/>
            <w:tcW w:w="1109" w:type="pct"/>
            <w:vAlign w:val="center"/>
            <w:textDirection w:val="lrTb"/>
            <w:noWrap w:val="false"/>
          </w:tcPr>
          <w:p w14:paraId="01038636">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Sinh năm</w:t>
            </w:r>
            <w:r/>
          </w:p>
        </w:tc>
        <w:tc>
          <w:tcPr>
            <w:shd w:val="clear" w:color="auto" w:fill="auto"/>
            <w:tcBorders/>
            <w:tcW w:w="248" w:type="pct"/>
            <w:vAlign w:val="center"/>
            <w:textDirection w:val="lrTb"/>
            <w:noWrap w:val="false"/>
          </w:tcPr>
          <w:p w14:paraId="1E84A278">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5DB8640E">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1992</w:t>
            </w:r>
            <w:r/>
          </w:p>
        </w:tc>
      </w:tr>
      <w:tr>
        <w:trPr>
          <w:trHeight w:val="20"/>
        </w:trPr>
        <w:tc>
          <w:tcPr>
            <w:shd w:val="clear" w:color="auto" w:fill="auto"/>
            <w:tcBorders/>
            <w:tcW w:w="1109" w:type="pct"/>
            <w:vAlign w:val="center"/>
            <w:textDirection w:val="lrTb"/>
            <w:noWrap w:val="false"/>
          </w:tcPr>
          <w:p w14:paraId="7796927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1FA0CA4C">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7EC7D9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210 Tòa B, CCCT Sông Nhuệ, Kiến Hưng, Hà Đông, Hà Nội (nay là phường Kiến Hưng,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37213F46">
      <w:pPr>
        <w:pBdr>
          <w:top w:val="none" w:color="000000" w:sz="4" w:space="0"/>
          <w:left w:val="none" w:color="000000" w:sz="4" w:space="0"/>
          <w:bottom w:val="none" w:color="000000" w:sz="4" w:space="0"/>
          <w:right w:val="none" w:color="000000" w:sz="4" w:space="0"/>
        </w:pBdr>
        <w:spacing/>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sở hữu căn hộ chung cư số 201 tòa B, Tòa nhà chung cư cao tầng Sông Nhuệ, phường Kiến Hưng, quận Hà Đông, thành phố Hà Nội (nay là phường Kiến Hưng, thành phố Hà Nội) theo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w:t>
      </w:r>
      <w:r>
        <w:rPr>
          <w:rFonts w:ascii="Times New Roman" w:hAnsi="Times New Roman" w:eastAsia="Times New Roman" w:cs="Times New Roman"/>
          <w:color w:val="000000"/>
          <w:sz w:val="24"/>
          <w:highlight w:val="white"/>
        </w:rPr>
        <w:t xml:space="preserve">t</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s</w:t>
      </w:r>
      <w:r>
        <w:rPr>
          <w:rFonts w:ascii="Times New Roman" w:hAnsi="Times New Roman" w:eastAsia="Times New Roman" w:cs="Times New Roman"/>
          <w:color w:val="000000"/>
          <w:sz w:val="24"/>
          <w:highlight w:val="white"/>
        </w:rPr>
        <w:t xml:space="preserve">ố:</w:t>
      </w:r>
      <w:r>
        <w:rPr>
          <w:rFonts w:ascii="Times New Roman" w:hAnsi="Times New Roman" w:eastAsia="Times New Roman" w:cs="Times New Roman"/>
          <w:color w:val="000000"/>
          <w:sz w:val="24"/>
        </w:rPr>
        <w:t xml:space="preserve"> D</w:t>
      </w:r>
      <w:r>
        <w:rPr>
          <w:rFonts w:ascii="Times New Roman" w:hAnsi="Times New Roman" w:eastAsia="Times New Roman" w:cs="Times New Roman"/>
          <w:color w:val="000000"/>
          <w:sz w:val="24"/>
        </w:rPr>
        <w:t xml:space="preserve">Đ 398571, số vào sổ cấp GCN: CS 64215 do Sở tài nguyên và môi trường thành phố Hà Nội cấp ngày 10/11/2021; Chủ tài sản là Ông Nguyễn Quốc Duy và Bà Bùi Thị Khánh Hiền.</w:t>
      </w:r>
      <w:r>
        <w:rPr>
          <w:rFonts w:ascii="Times New Roman" w:hAnsi="Times New Roman" w:eastAsia="Times New Roman" w:cs="Times New Roman"/>
          <w:sz w:val="24"/>
        </w:rPr>
      </w: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376D498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sở hữu căn hộ chung cư số 201 tòa B, Tòa nhà chung cư cao tầng Sông Nhuệ, phường Kiến Hưng, quận Hà Đông, thành phố Hà Nội (nay là phường Kiến Hưng, thành phố Hà Nội) theo Giấy chứng nhận Quyền sử dụng đất, quyền sở hữu tài sản gắn liền với đất số: D</w:t>
            </w:r>
            <w:r>
              <w:rPr>
                <w:rFonts w:ascii="Times New Roman" w:hAnsi="Times New Roman" w:eastAsia="Times New Roman" w:cs="Times New Roman"/>
                <w:color w:val="000000"/>
                <w:sz w:val="24"/>
              </w:rPr>
              <w:t xml:space="preserve">Đ 398571, số vào sổ cấp GCN: CS 64215 do Sở tài nguyên và môi trường thành phố Hà Nội cấp ngày 10/11/2021; Chủ tài sản là Ông Nguyễn Quốc Duy và Bà Bùi Thị Khánh Hiền.</w:t>
            </w:r>
            <w:r>
              <w:rPr>
                <w:rFonts w:ascii="Times New Roman" w:hAnsi="Times New Roman" w:eastAsia="Times New Roman" w:cs="Times New Roman"/>
                <w:sz w:val="24"/>
              </w:rPr>
            </w: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color w:val="000000" w:themeColor="text1"/>
                <w:highlight w:val="white"/>
              </w:rPr>
            </w:pPr>
            <w:r>
              <w:rPr>
                <w:b w:val="0"/>
                <w:bCs w:val="0"/>
                <w:color w:val="000000" w:themeColor="text1"/>
                <w:highlight w:val="white"/>
              </w:rPr>
            </w:r>
            <w:r>
              <w:rPr>
                <w:b w:val="0"/>
                <w:bCs w:val="0"/>
                <w:color w:val="000000" w:themeColor="text1"/>
                <w:highlight w:val="white"/>
              </w:rPr>
              <w:t xml:space="preserve">1</w:t>
            </w:r>
            <w:r>
              <w:rPr>
                <w:b w:val="0"/>
                <w:bCs w:val="0"/>
                <w:color w:val="000000" w:themeColor="text1"/>
                <w:highlight w:val="white"/>
              </w:rPr>
            </w:r>
            <w:r>
              <w:rPr>
                <w:b w:val="0"/>
                <w:bCs w:val="0"/>
                <w:color w:val="000000" w:themeColor="text1"/>
                <w:highlight w:val="white"/>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color w:val="000000" w:themeColor="text1"/>
                <w:highlight w:val="white"/>
              </w:rPr>
            </w:pPr>
            <w:r>
              <w:rPr>
                <w:b w:val="0"/>
                <w:bCs w:val="0"/>
                <w:color w:val="000000" w:themeColor="text1"/>
                <w:highlight w:val="white"/>
              </w:rPr>
              <w:t xml:space="preserve">Quyền sở hữu căn hộ chung cư</w:t>
            </w:r>
            <w:r>
              <w:rPr>
                <w:b w:val="0"/>
                <w:bCs w:val="0"/>
                <w:color w:val="000000" w:themeColor="text1"/>
                <w:highlight w:val="white"/>
              </w:rPr>
            </w:r>
            <w:r>
              <w:rPr>
                <w:b w:val="0"/>
                <w:bCs w:val="0"/>
                <w:color w:val="000000" w:themeColor="text1"/>
                <w:highlight w:val="white"/>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48,8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highlight w:val="white"/>
              </w:rPr>
            </w:pPr>
            <w:r>
              <w:rPr>
                <w:color w:val="000000" w:themeColor="text1"/>
                <w:highlight w:val="white"/>
              </w:rPr>
              <w:t xml:space="preserve">59.000</w:t>
            </w:r>
            <w:r>
              <w:rPr>
                <w:color w:val="000000" w:themeColor="text1"/>
                <w:highlight w:val="white"/>
              </w:rPr>
              <w:t xml:space="preserve">.</w:t>
            </w:r>
            <w:r>
              <w:rPr>
                <w:color w:val="000000" w:themeColor="text1"/>
                <w:highlight w:val="white"/>
              </w:rPr>
              <w:t xml:space="preserve">000</w:t>
            </w:r>
            <w:r>
              <w:rPr>
                <w:highlight w:val="white"/>
              </w:rPr>
            </w:r>
            <w:r>
              <w:rPr>
                <w:highlight w:val="white"/>
              </w:rP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highlight w:val="white"/>
              </w:rPr>
            </w:pPr>
            <w:r>
              <w:rPr>
                <w:color w:val="000000" w:themeColor="text1"/>
                <w:highlight w:val="white"/>
              </w:rPr>
              <w:t xml:space="preserve">2.879.200.000</w:t>
            </w:r>
            <w:r>
              <w:rPr>
                <w:highlight w:val="white"/>
              </w:rPr>
            </w:r>
            <w:r>
              <w:rPr>
                <w:highlight w:val="white"/>
              </w:rP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36" w:type="pct"/>
            <w:vAlign w:val="center"/>
            <w:textDirection w:val="lrTb"/>
            <w:noWrap/>
          </w:tcPr>
          <w:p w14:paraId="7A87A4E8" w14:textId="3B02AB71">
            <w:pPr>
              <w:pBdr/>
              <w:spacing w:after="40" w:before="40" w:line="288" w:lineRule="auto"/>
              <w:ind/>
              <w:jc w:val="center"/>
              <w:rPr>
                <w:b/>
                <w:bCs/>
                <w:color w:val="000000"/>
                <w:highlight w:val="white"/>
              </w:rPr>
            </w:pPr>
            <w:r>
              <w:rPr>
                <w:highlight w:val="white"/>
              </w:rPr>
              <w:t xml:space="preserve">2.879.200.000</w:t>
            </w:r>
            <w:r>
              <w:rPr>
                <w:b/>
                <w:bCs/>
                <w:color w:val="000000"/>
                <w:highlight w:val="white"/>
              </w:rPr>
            </w:r>
            <w:r>
              <w:rPr>
                <w:b/>
                <w:bCs/>
                <w:color w:val="000000"/>
                <w:highlight w:val="white"/>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36" w:type="pct"/>
            <w:vAlign w:val="center"/>
            <w:textDirection w:val="lrTb"/>
            <w:noWrap/>
          </w:tcPr>
          <w:p w14:paraId="2DA0FB80" w14:textId="5AB79773">
            <w:pPr>
              <w:pBdr/>
              <w:spacing w:after="40" w:before="40" w:line="288" w:lineRule="auto"/>
              <w:ind/>
              <w:jc w:val="center"/>
              <w:rPr>
                <w:b/>
                <w:bCs/>
                <w:color w:val="000000"/>
                <w:highlight w:val="white"/>
              </w:rPr>
            </w:pPr>
            <w:r>
              <w:rPr>
                <w:b/>
                <w:bCs/>
                <w:color w:val="000000"/>
                <w:highlight w:val="white"/>
              </w:rPr>
              <w:t xml:space="preserve">2</w:t>
            </w:r>
            <w:r>
              <w:rPr>
                <w:b/>
                <w:bCs/>
                <w:color w:val="000000"/>
                <w:highlight w:val="white"/>
              </w:rPr>
              <w:t xml:space="preserve">.879</w:t>
            </w:r>
            <w:r>
              <w:rPr>
                <w:b/>
                <w:bCs/>
                <w:color w:val="000000"/>
                <w:highlight w:val="white"/>
              </w:rPr>
              <w:t xml:space="preserve">.</w:t>
            </w:r>
            <w:r>
              <w:rPr>
                <w:b/>
                <w:bCs/>
                <w:color w:val="000000"/>
                <w:highlight w:val="white"/>
              </w:rPr>
              <w:t xml:space="preserve">200.000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tám trăm bảy mươi chín triệu hai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808" w:type="dxa"/>
        <w:tblBorders/>
        <w:tblLayout w:type="fixed"/>
        <w:tblLook w:val="04A0" w:firstRow="1" w:lastRow="0" w:firstColumn="1" w:lastColumn="0" w:noHBand="0" w:noVBand="1"/>
      </w:tblPr>
      <w:tblGrid>
        <w:gridCol w:w="1446"/>
        <w:gridCol w:w="8362"/>
      </w:tblGrid>
      <w:tr>
        <w:trPr>
          <w:trHeight w:val="1420"/>
        </w:trPr>
        <w:tc>
          <w:tcPr>
            <w:tcBorders/>
            <w:tcW w:w="1446" w:type="dxa"/>
            <w:textDirection w:val="lrTb"/>
            <w:noWrap w:val="false"/>
          </w:tcPr>
          <w:p w14:paraId="5A76D596">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93192"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62" w:type="dxa"/>
            <w:textDirection w:val="lrTb"/>
            <w:noWrap w:val="false"/>
          </w:tcPr>
          <w:p w14:paraId="15607BA5">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4EEC383">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3DD290F8">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FBB87CD">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Ind w:w="-284" w:type="dxa"/>
        <w:tblW w:w="9808" w:type="dxa"/>
        <w:tblBorders/>
        <w:tblLayout w:type="fixed"/>
        <w:tblLook w:val="04A0" w:firstRow="1" w:lastRow="0" w:firstColumn="1" w:lastColumn="0" w:noHBand="0" w:noVBand="1"/>
      </w:tblPr>
      <w:tblGrid>
        <w:gridCol w:w="4553"/>
        <w:gridCol w:w="5255"/>
      </w:tblGrid>
      <w:tr>
        <w:trPr>
          <w:trHeight w:val="430"/>
        </w:trPr>
        <w:tc>
          <w:tcPr>
            <w:shd w:val="clear" w:color="ffffff" w:fill="ffffff"/>
            <w:tcBorders/>
            <w:tcMar>
              <w:left w:w="108" w:type="dxa"/>
              <w:top w:w="0" w:type="dxa"/>
              <w:right w:w="108" w:type="dxa"/>
              <w:bottom w:w="0" w:type="dxa"/>
            </w:tcMar>
            <w:tcW w:w="4553" w:type="dxa"/>
            <w:textDirection w:val="lrTb"/>
            <w:noWrap w:val="false"/>
          </w:tcPr>
          <w:p w14:paraId="00695334">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275/2026/0036/VFI-CT.65.A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255" w:type="dxa"/>
            <w:textDirection w:val="lrTb"/>
            <w:noWrap w:val="false"/>
          </w:tcPr>
          <w:p w14:paraId="3333EF05">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275/2026/0036/VFI-CT.65.A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4B657F2B">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14:paraId="764B248E">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7FF9BB0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b/>
                <w:color w:val="000000"/>
                <w:sz w:val="24"/>
              </w:rPr>
              <w:t xml:space="preserve">Bà Bùi Thị Khánh Hiền</w:t>
            </w:r>
            <w:r/>
          </w:p>
        </w:tc>
      </w:tr>
      <w:tr>
        <w:trPr>
          <w:trHeight w:val="20"/>
        </w:trPr>
        <w:tc>
          <w:tcPr>
            <w:tcBorders/>
            <w:tcW w:w="2518" w:type="dxa"/>
            <w:vAlign w:val="center"/>
            <w:textDirection w:val="lrTb"/>
            <w:noWrap w:val="false"/>
          </w:tcPr>
          <w:p w14:paraId="403A12B2">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CMND số</w:t>
            </w:r>
            <w:r/>
          </w:p>
        </w:tc>
        <w:tc>
          <w:tcPr>
            <w:tcBorders/>
            <w:tcW w:w="284" w:type="dxa"/>
            <w:vAlign w:val="center"/>
            <w:textDirection w:val="lrTb"/>
            <w:noWrap w:val="false"/>
          </w:tcPr>
          <w:p w14:paraId="7BA77676">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71FFF25D">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031192020867</w:t>
            </w:r>
            <w:r/>
          </w:p>
        </w:tc>
      </w:tr>
      <w:tr>
        <w:trPr>
          <w:trHeight w:val="20"/>
        </w:trPr>
        <w:tc>
          <w:tcPr>
            <w:tcBorders/>
            <w:tcW w:w="2518" w:type="dxa"/>
            <w:vAlign w:val="center"/>
            <w:textDirection w:val="lrTb"/>
            <w:noWrap w:val="false"/>
          </w:tcPr>
          <w:p w14:paraId="63D85E62">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Sinh năm</w:t>
            </w:r>
            <w:r/>
          </w:p>
        </w:tc>
        <w:tc>
          <w:tcPr>
            <w:tcBorders/>
            <w:tcW w:w="284" w:type="dxa"/>
            <w:vAlign w:val="center"/>
            <w:textDirection w:val="lrTb"/>
            <w:noWrap w:val="false"/>
          </w:tcPr>
          <w:p w14:paraId="682D8679">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7B4447D2">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1992</w:t>
            </w:r>
            <w:r/>
          </w:p>
        </w:tc>
      </w:tr>
      <w:tr>
        <w:trPr>
          <w:trHeight w:val="20"/>
        </w:trPr>
        <w:tc>
          <w:tcPr>
            <w:tcBorders/>
            <w:tcW w:w="2518" w:type="dxa"/>
            <w:vAlign w:val="center"/>
            <w:textDirection w:val="lrTb"/>
            <w:noWrap w:val="false"/>
          </w:tcPr>
          <w:p w14:paraId="4ABCA66B">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14:paraId="462BFE3F">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059089EE">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210 Tòa B, CCCT Sông Nhuệ, Kiến Hưng, Hà Đông, Hà Nội (nay là phường Kiến Hưng, thành phố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050F6E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sở hữu căn hộ chung cư số 201 tòa B, Tòa nhà chung cư cao tầng Sông Nhuệ, phường Kiến Hưng, quận Hà Đông, thành phố Hà Nội (nay là phường Kiến Hưng, thành phố Hà Nội) theo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số: D</w:t>
            </w:r>
            <w:r>
              <w:rPr>
                <w:rFonts w:ascii="Times New Roman" w:hAnsi="Times New Roman" w:eastAsia="Times New Roman" w:cs="Times New Roman"/>
                <w:color w:val="000000"/>
                <w:sz w:val="24"/>
              </w:rPr>
              <w:t xml:space="preserve">Đ 398571, số vào sổ cấp GC</w:t>
            </w:r>
            <w:r>
              <w:rPr>
                <w:rFonts w:ascii="Times New Roman" w:hAnsi="Times New Roman" w:eastAsia="Times New Roman" w:cs="Times New Roman"/>
                <w:color w:val="000000"/>
                <w:sz w:val="24"/>
              </w:rPr>
              <w:t xml:space="preserve">N: CS 64215 do Sở tài nguyên và môi trường thành phố Hà Nội cấp ngày 10/11/2021; Chủ tài sản là Ông Nguyễn Quốc Duy và Bà Bùi Thị Khán</w:t>
            </w:r>
            <w:r>
              <w:rPr>
                <w:rFonts w:ascii="Times New Roman" w:hAnsi="Times New Roman" w:eastAsia="Times New Roman" w:cs="Times New Roman"/>
                <w:color w:val="000000"/>
                <w:sz w:val="24"/>
              </w:rPr>
              <w:t xml:space="preserve">h Hiền.</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Tòa nhà chung cư cao tầng sông nhuệ, phường Kiến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20.959137, 105.798412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DĐ 398571, số vào sổ cấp GCN: CS 64215 do Sở tài nguyên và môi trường thành phố Hà Nội cấp ngày 10/11/2021; Chủ tài sản là Ông Nguyễn Quốc Duy và Bà Bùi Thị Khánh Hiền.</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275/2026/0036/VFI-HĐTĐ.65.A ngày 07/01/2026 giữa bà Bùi Thị Khánh Hiền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b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iCs/>
        </w:rPr>
      </w:r>
      <w:r>
        <w:rPr>
          <w:iCs/>
        </w:rPr>
      </w:r>
    </w:p>
    <w:p w14:paraId="2E2EF154">
      <w:pPr>
        <w:pBdr/>
        <w:tabs>
          <w:tab w:val="left" w:leader="none" w:pos="426"/>
        </w:tabs>
        <w:spacing w:after="120" w:before="120" w:line="276" w:lineRule="auto"/>
        <w:ind/>
        <w:jc w:val="both"/>
        <w:rPr>
          <w:highlight w:val="none"/>
        </w:rPr>
      </w:pPr>
      <w:r>
        <w:rPr>
          <w:shd w:val="clear" w:color="auto" w:fill="ffffff"/>
        </w:rPr>
      </w: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highlight w:val="none"/>
        </w:rPr>
      </w:r>
      <w:r>
        <w:rPr>
          <w:highlight w:val="none"/>
        </w:rPr>
      </w:r>
    </w:p>
    <w:p w14:paraId="5177FE55">
      <w:pPr>
        <w:pBdr/>
        <w:tabs>
          <w:tab w:val="left" w:leader="none" w:pos="426"/>
        </w:tabs>
        <w:spacing w:after="120" w:before="120" w:line="276" w:lineRule="auto"/>
        <w:ind/>
        <w:jc w:val="both"/>
        <w:rPr/>
      </w:pPr>
      <w:r>
        <w:rPr>
          <w:shd w:val="clear" w:color="auto" w:fill="ffffff"/>
        </w:rPr>
      </w: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iCs/>
        </w:rPr>
      </w:r>
      <w:r/>
    </w:p>
    <w:p w14:paraId="35DA89E8">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highlight w:val="none"/>
        </w:rPr>
      </w:r>
      <w:r/>
    </w:p>
    <w:p w14:paraId="22A42DB8">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shd w:val="clear" w:color="auto" w:fill="ffffff"/>
        </w:rPr>
      </w:r>
      <w:r/>
    </w:p>
    <w:p w14:paraId="2CDE336A">
      <w:pPr>
        <w:pBdr/>
        <w:tabs>
          <w:tab w:val="left" w:leader="none" w:pos="426"/>
        </w:tabs>
        <w:spacing w:after="120" w:before="120" w:line="276" w:lineRule="auto"/>
        <w:ind/>
        <w:jc w:val="center"/>
        <w:rPr/>
      </w:pPr>
      <w:r>
        <w:rPr>
          <w:shd w:val="clear" w:color="auto" w:fill="ffffff"/>
        </w:rPr>
        <w:t xml:space="preserve">(https://thoibaotaichinhvietnam.vn/phac-hoa-quy-dao-bat-dong-san-ha-noi-2026-188581.html)</w:t>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129"/>
        <w:gridCol w:w="1701"/>
        <w:gridCol w:w="1984"/>
        <w:gridCol w:w="296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color w:val="000000"/>
                <w:sz w:val="24"/>
              </w:rPr>
              <w:t xml:space="preserve">Quyền sở hữu căn hộ chung cư số 201 tòa B, Tòa nhà chung cư cao tầng Sông Nhuệ, phường Kiến Hưng, quận Hà Đông, thành phố Hà Nội (nay là phường Kiến Hưng, thành phố Hà Nội) theo Giấy chứng nhận Quyền sử dụng đất, quyền sở hữu tài sản gắn liền với đất số: D</w:t>
            </w:r>
            <w:r>
              <w:rPr>
                <w:rFonts w:ascii="Times New Roman" w:hAnsi="Times New Roman" w:eastAsia="Times New Roman" w:cs="Times New Roman"/>
                <w:color w:val="000000"/>
                <w:sz w:val="24"/>
              </w:rPr>
              <w:t xml:space="preserve">Đ 398571, số vào sổ cấp GCN: CS 64215 do Sở tài nguyên và môi trường thành phố Hà Nội cấp ngày 10/11/2021; Chủ tài sản là Ông Nguyễn Quốc Duy và Bà Bùi Thị Khánh Hiền.</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1701" w:type="dxa"/>
            <w:vAlign w:val="center"/>
            <w:textDirection w:val="lrTb"/>
            <w:noWrap w:val="false"/>
          </w:tcPr>
          <w:p w14:paraId="5B848F9F" w14:textId="5A84DF19">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w:t>
            </w:r>
            <w:r>
              <w:rPr>
                <w:color w:val="000000"/>
              </w:rPr>
            </w:r>
            <w:r>
              <w:rPr>
                <w:color w:val="000000"/>
              </w:rPr>
            </w:r>
          </w:p>
        </w:tc>
        <w:tc>
          <w:tcPr>
            <w:tcBorders/>
            <w:tcW w:w="1984"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967" w:type="dxa"/>
            <w:vAlign w:val="center"/>
            <w:textDirection w:val="lrTb"/>
            <w:noWrap w:val="false"/>
          </w:tcPr>
          <w:p w14:paraId="570D749A" w14:textId="090EF8B0">
            <w:pPr>
              <w:pBdr/>
              <w:spacing/>
              <w:ind/>
              <w:jc w:val="center"/>
              <w:rPr>
                <w:color w:val="ee0000"/>
              </w:rPr>
            </w:pPr>
            <w:r>
              <w:rPr>
                <w:color w:val="000000" w:themeColor="text1"/>
              </w:rPr>
            </w:r>
            <w:r>
              <w:rPr>
                <w:rFonts w:ascii="Times New Roman" w:hAnsi="Times New Roman" w:eastAsia="Times New Roman" w:cs="Times New Roman"/>
                <w:color w:val="000000"/>
                <w:sz w:val="24"/>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652" w:type="dxa"/>
            <w:vAlign w:val="center"/>
            <w:textDirection w:val="lrTb"/>
            <w:noWrap w:val="false"/>
          </w:tcPr>
          <w:p w14:paraId="2500C91E" w14:textId="05641D6E">
            <w:pPr>
              <w:pBdr/>
              <w:spacing/>
              <w:ind/>
              <w:jc w:val="both"/>
              <w:rPr>
                <w:color w:val="000000"/>
              </w:rPr>
            </w:pPr>
            <w:r>
              <w:rPr>
                <w:color w:val="000000"/>
              </w:rPr>
              <w:t xml:space="preserve">Tòa nhà chung cư cao tầng Sông Nhuệ, phường Kiến Hưng, Thành Phố Hà Nội </w:t>
            </w:r>
            <w:r>
              <w:rPr>
                <w:rFonts w:ascii="Times New Roman" w:hAnsi="Times New Roman" w:eastAsia="Times New Roman" w:cs="Times New Roman"/>
                <w:color w:val="000000"/>
                <w:sz w:val="24"/>
              </w:rPr>
              <w:t xml:space="preserve">(nay là phường Kiến Hưng,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1701" w:type="dxa"/>
            <w:vAlign w:val="center"/>
            <w:textDirection w:val="lrTb"/>
            <w:noWrap w:val="false"/>
          </w:tcPr>
          <w:p w14:paraId="0E0C1BAF">
            <w:pPr>
              <w:pBdr/>
              <w:spacing w:after="0" w:before="0" w:line="240" w:lineRule="auto"/>
              <w:ind/>
              <w:jc w:val="center"/>
              <w:rPr/>
            </w:pPr>
            <w:r>
              <w:rPr>
                <w:rFonts w:ascii="Times New Roman" w:hAnsi="Times New Roman" w:eastAsia="Times New Roman" w:cs="Times New Roman"/>
                <w:color w:val="000000"/>
                <w:sz w:val="24"/>
              </w:rPr>
              <w:t xml:space="preserve">3561,7</w:t>
            </w:r>
            <w:r/>
          </w:p>
        </w:tc>
        <w:tc>
          <w:tcPr>
            <w:tcBorders/>
            <w:tcW w:w="1984"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967" w:type="dxa"/>
            <w:vAlign w:val="center"/>
            <w:textDirection w:val="lrTb"/>
            <w:noWrap w:val="false"/>
          </w:tcPr>
          <w:p w14:paraId="2CEBFADB" w14:textId="04C82582">
            <w:pPr>
              <w:pBdr/>
              <w:spacing/>
              <w:ind/>
              <w:jc w:val="center"/>
              <w:rPr>
                <w:color w:val="000000"/>
              </w:rPr>
            </w:pPr>
            <w:r>
              <w:rPr>
                <w:color w:val="000000"/>
              </w:rPr>
            </w:r>
            <w:r>
              <w:rPr>
                <w:rFonts w:ascii="Times New Roman" w:hAnsi="Times New Roman" w:eastAsia="Times New Roman" w:cs="Times New Roman"/>
                <w:color w:val="000000"/>
                <w:sz w:val="24"/>
              </w:rPr>
              <w:t xml:space="preserve">Sử dụng chung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701"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1984"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96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bottom w:val="single" w:color="000000" w:sz="4" w:space="0"/>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652"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69"/>
        </w:trPr>
        <w:tc>
          <w:tcPr>
            <w:tcBorders>
              <w:top w:val="single" w:color="000000" w:sz="4" w:space="0"/>
              <w:left w:val="single" w:color="000000" w:sz="4" w:space="0"/>
              <w:bottom w:val="single" w:color="000000" w:sz="4" w:space="0"/>
              <w:right w:val="single" w:color="000000" w:sz="4" w:space="0"/>
            </w:tcBorders>
            <w:tcW w:w="734" w:type="dxa"/>
            <w:vAlign w:val="center"/>
            <w:textDirection w:val="lrTb"/>
            <w:noWrap w:val="false"/>
          </w:tcPr>
          <w:p w14:paraId="5F18E9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4" w:space="0"/>
            </w:tcBorders>
            <w:tcW w:w="2129" w:type="dxa"/>
            <w:vAlign w:val="center"/>
            <w:textDirection w:val="lrTb"/>
            <w:noWrap w:val="false"/>
          </w:tcPr>
          <w:p w14:paraId="1F34F9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tcW w:w="6652" w:type="dxa"/>
            <w:vAlign w:val="center"/>
            <w:textDirection w:val="lrTb"/>
            <w:noWrap w:val="false"/>
          </w:tcPr>
          <w:p w14:paraId="2A05C6E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-Số tờ, số thửa và sơ đồ sẽ điều chỉnh khi có bản đồ địa chính chính quy./.</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5769ED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 -Giấy chúng nhận này được cấp lại từ  Giấy chứng nhận quyền sử dụng đất, quyền sở hữu nhà ở và tài sản khác gắn liền với đất số CA 262777 do sở Tài Nguyên và Môi Trường Hà Nội cấp ngày 07/09/2015 do nhận chuyển nhượng.</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20.959137</w:t>
            </w:r>
            <w:r>
              <w:rPr>
                <w:color w:val="000000"/>
              </w:rPr>
              <w:t xml:space="preserve">, </w:t>
            </w:r>
            <w:r>
              <w:rPr>
                <w:color w:val="000000"/>
              </w:rPr>
              <w:t xml:space="preserve">105.798412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Thông tin về căn hộ</w:t>
            </w:r>
            <w:r>
              <w:rPr>
                <w:b/>
                <w:bCs/>
                <w:color w:val="000000"/>
              </w:rPr>
            </w:r>
            <w:r>
              <w:rPr>
                <w:b/>
                <w:bCs/>
                <w:color w:val="000000"/>
              </w:rPr>
            </w:r>
          </w:p>
        </w:tc>
      </w:tr>
      <w:tr>
        <w:trPr>
          <w:trHeight w:val="20"/>
        </w:trPr>
        <w:tc>
          <w:tcPr>
            <w:tcBorders/>
            <w:tcW w:w="734" w:type="dxa"/>
            <w:vAlign w:val="center"/>
            <w:textDirection w:val="lrTb"/>
            <w:noWrap w:val="false"/>
          </w:tcPr>
          <w:p w14:paraId="2AD08CB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129" w:type="dxa"/>
            <w:vAlign w:val="center"/>
            <w:textDirection w:val="lrTb"/>
            <w:noWrap w:val="false"/>
          </w:tcPr>
          <w:p w14:paraId="2C18741E">
            <w:pPr>
              <w:pBdr/>
              <w:spacing w:after="0" w:before="0" w:line="240" w:lineRule="auto"/>
              <w:ind/>
              <w:rPr/>
            </w:pPr>
            <w:r>
              <w:rPr>
                <w:rFonts w:ascii="Times New Roman" w:hAnsi="Times New Roman" w:eastAsia="Times New Roman" w:cs="Times New Roman"/>
                <w:color w:val="000000"/>
                <w:sz w:val="24"/>
              </w:rPr>
              <w:t xml:space="preserve">Diện tích sàn (m²):</w:t>
            </w:r>
            <w:r/>
          </w:p>
        </w:tc>
        <w:tc>
          <w:tcPr>
            <w:tcBorders/>
            <w:tcW w:w="1701" w:type="dxa"/>
            <w:vAlign w:val="center"/>
            <w:textDirection w:val="lrTb"/>
            <w:noWrap w:val="false"/>
          </w:tcPr>
          <w:p w14:paraId="757AC503">
            <w:pPr>
              <w:pBdr/>
              <w:spacing w:after="0" w:before="0" w:line="240" w:lineRule="auto"/>
              <w:ind/>
              <w:jc w:val="center"/>
              <w:rPr/>
            </w:pPr>
            <w:r>
              <w:rPr>
                <w:rFonts w:ascii="Times New Roman" w:hAnsi="Times New Roman" w:eastAsia="Times New Roman" w:cs="Times New Roman"/>
                <w:color w:val="000000"/>
                <w:sz w:val="24"/>
              </w:rPr>
              <w:t xml:space="preserve">48,8</w:t>
            </w:r>
            <w:r/>
          </w:p>
        </w:tc>
        <w:tc>
          <w:tcPr>
            <w:tcBorders/>
            <w:tcW w:w="1984" w:type="dxa"/>
            <w:vAlign w:val="center"/>
            <w:textDirection w:val="lrTb"/>
            <w:noWrap w:val="false"/>
          </w:tcPr>
          <w:p w14:paraId="1E5B1FCE">
            <w:pPr>
              <w:pBdr/>
              <w:spacing w:after="0" w:before="0" w:line="240" w:lineRule="auto"/>
              <w:ind/>
              <w:rPr/>
            </w:pPr>
            <w:r>
              <w:rPr>
                <w:rFonts w:ascii="Times New Roman" w:hAnsi="Times New Roman" w:eastAsia="Times New Roman" w:cs="Times New Roman"/>
                <w:color w:val="000000"/>
                <w:sz w:val="24"/>
              </w:rPr>
              <w:t xml:space="preserve">Thời hạn sở hữu:</w:t>
            </w:r>
            <w:r/>
          </w:p>
        </w:tc>
        <w:tc>
          <w:tcPr>
            <w:tcBorders/>
            <w:tcW w:w="2967" w:type="dxa"/>
            <w:vAlign w:val="center"/>
            <w:textDirection w:val="lrTb"/>
            <w:noWrap w:val="false"/>
          </w:tcPr>
          <w:p w14:paraId="3F579858">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vMerge w:val="restart"/>
            <w:textDirection w:val="lrTb"/>
            <w:noWrap w:val="false"/>
          </w:tcPr>
          <w:p w14:paraId="5BDF6E3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129" w:type="dxa"/>
            <w:vAlign w:val="center"/>
            <w:vMerge w:val="restart"/>
            <w:textDirection w:val="lrTb"/>
            <w:noWrap w:val="false"/>
          </w:tcPr>
          <w:p w14:paraId="787B1B6A">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tcW w:w="1701" w:type="dxa"/>
            <w:vAlign w:val="center"/>
            <w:vMerge w:val="restart"/>
            <w:textDirection w:val="lrTb"/>
            <w:noWrap w:val="false"/>
          </w:tcPr>
          <w:p w14:paraId="67C3A8F9">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tcW w:w="1984" w:type="dxa"/>
            <w:vAlign w:val="center"/>
            <w:vMerge w:val="restart"/>
            <w:textDirection w:val="lrTb"/>
            <w:noWrap w:val="false"/>
          </w:tcPr>
          <w:p w14:paraId="775931A3">
            <w:pPr>
              <w:pBdr/>
              <w:spacing w:after="0" w:before="0" w:line="240" w:lineRule="auto"/>
              <w:ind/>
              <w:rPr/>
            </w:pPr>
            <w:r>
              <w:rPr>
                <w:rFonts w:ascii="Times New Roman" w:hAnsi="Times New Roman" w:eastAsia="Times New Roman" w:cs="Times New Roman"/>
                <w:color w:val="000000"/>
                <w:sz w:val="24"/>
              </w:rPr>
              <w:t xml:space="preserve">Tòa nhà:</w:t>
            </w:r>
            <w:r/>
          </w:p>
        </w:tc>
        <w:tc>
          <w:tcPr>
            <w:tcBorders/>
            <w:tcW w:w="2967" w:type="dxa"/>
            <w:vAlign w:val="center"/>
            <w:vMerge w:val="restart"/>
            <w:textDirection w:val="lrTb"/>
            <w:noWrap w:val="false"/>
          </w:tcPr>
          <w:p w14:paraId="6AADE58F">
            <w:pPr>
              <w:pBdr/>
              <w:spacing w:after="0" w:before="0" w:line="240" w:lineRule="auto"/>
              <w:ind/>
              <w:jc w:val="center"/>
              <w:rPr/>
            </w:pPr>
            <w:r>
              <w:rPr>
                <w:rFonts w:ascii="Times New Roman" w:hAnsi="Times New Roman" w:eastAsia="Times New Roman" w:cs="Times New Roman"/>
                <w:color w:val="000000"/>
                <w:sz w:val="24"/>
              </w:rPr>
              <w:t xml:space="preserve">Tòa B</w:t>
            </w:r>
            <w:r/>
          </w:p>
        </w:tc>
      </w:tr>
      <w:tr>
        <w:trPr>
          <w:trHeight w:val="20"/>
        </w:trPr>
        <w:tc>
          <w:tcPr>
            <w:tcBorders/>
            <w:tcW w:w="734" w:type="dxa"/>
            <w:vAlign w:val="center"/>
            <w:vMerge w:val="restart"/>
            <w:textDirection w:val="lrTb"/>
            <w:noWrap w:val="false"/>
          </w:tcPr>
          <w:p w14:paraId="0ACAE2F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129" w:type="dxa"/>
            <w:vAlign w:val="center"/>
            <w:vMerge w:val="restart"/>
            <w:textDirection w:val="lrTb"/>
            <w:noWrap w:val="false"/>
          </w:tcPr>
          <w:p w14:paraId="68515CB3">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tcW w:w="1701" w:type="dxa"/>
            <w:vAlign w:val="center"/>
            <w:vMerge w:val="restart"/>
            <w:textDirection w:val="lrTb"/>
            <w:noWrap w:val="false"/>
          </w:tcPr>
          <w:p w14:paraId="0B1CC8EC">
            <w:pPr>
              <w:pBdr/>
              <w:spacing w:after="0" w:before="0" w:line="240" w:lineRule="auto"/>
              <w:ind/>
              <w:jc w:val="center"/>
              <w:rPr/>
            </w:pPr>
            <w:r>
              <w:rPr>
                <w:rFonts w:ascii="Times New Roman" w:hAnsi="Times New Roman" w:eastAsia="Times New Roman" w:cs="Times New Roman"/>
                <w:color w:val="000000"/>
                <w:sz w:val="24"/>
              </w:rPr>
              <w:t xml:space="preserve">Tầng 2/29</w:t>
            </w:r>
            <w:r/>
          </w:p>
        </w:tc>
        <w:tc>
          <w:tcPr>
            <w:tcBorders/>
            <w:tcW w:w="1984" w:type="dxa"/>
            <w:vAlign w:val="center"/>
            <w:vMerge w:val="restart"/>
            <w:textDirection w:val="lrTb"/>
            <w:noWrap w:val="false"/>
          </w:tcPr>
          <w:p w14:paraId="28244E5A">
            <w:pPr>
              <w:pBdr/>
              <w:spacing w:after="0" w:before="0" w:line="240" w:lineRule="auto"/>
              <w:ind/>
              <w:rPr/>
            </w:pPr>
            <w:r>
              <w:rPr>
                <w:rFonts w:ascii="Times New Roman" w:hAnsi="Times New Roman" w:eastAsia="Times New Roman" w:cs="Times New Roman"/>
                <w:color w:val="000000"/>
                <w:sz w:val="24"/>
              </w:rPr>
              <w:t xml:space="preserve">Vị trí căn hộ:</w:t>
            </w:r>
            <w:r/>
          </w:p>
        </w:tc>
        <w:tc>
          <w:tcPr>
            <w:tcBorders/>
            <w:tcW w:w="2967" w:type="dxa"/>
            <w:vAlign w:val="center"/>
            <w:vMerge w:val="restart"/>
            <w:textDirection w:val="lrTb"/>
            <w:noWrap w:val="false"/>
          </w:tcPr>
          <w:p w14:paraId="7B6C1F7F">
            <w:pPr>
              <w:pBdr/>
              <w:spacing w:after="0" w:before="0" w:line="240" w:lineRule="auto"/>
              <w:ind/>
              <w:jc w:val="center"/>
              <w:rPr/>
            </w:pPr>
            <w:r>
              <w:rPr>
                <w:rFonts w:ascii="Times New Roman" w:hAnsi="Times New Roman" w:eastAsia="Times New Roman" w:cs="Times New Roman"/>
                <w:color w:val="000000"/>
                <w:sz w:val="24"/>
              </w:rPr>
              <w:t xml:space="preserve">Tài sản là căn hộ 210 tòa B, Tòa nhà chung cư cao tầng Sông Nhuệ</w:t>
            </w:r>
            <w:r/>
          </w:p>
        </w:tc>
      </w:tr>
      <w:tr>
        <w:trPr>
          <w:trHeight w:val="20"/>
        </w:trPr>
        <w:tc>
          <w:tcPr>
            <w:tcBorders/>
            <w:tcW w:w="734" w:type="dxa"/>
            <w:vAlign w:val="center"/>
            <w:textDirection w:val="lrTb"/>
            <w:noWrap w:val="false"/>
          </w:tcPr>
          <w:p w14:paraId="4D3ED3C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129" w:type="dxa"/>
            <w:vAlign w:val="center"/>
            <w:textDirection w:val="lrTb"/>
            <w:noWrap w:val="false"/>
          </w:tcPr>
          <w:p w14:paraId="7B5BB52D">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tcW w:w="1701" w:type="dxa"/>
            <w:vAlign w:val="center"/>
            <w:textDirection w:val="lrTb"/>
            <w:noWrap w:val="false"/>
          </w:tcPr>
          <w:p w14:paraId="4F838C64">
            <w:pPr>
              <w:pBdr/>
              <w:spacing w:after="0" w:before="0" w:line="240" w:lineRule="auto"/>
              <w:ind/>
              <w:jc w:val="center"/>
              <w:rPr/>
            </w:pPr>
            <w:r>
              <w:rPr>
                <w:rFonts w:ascii="Times New Roman" w:hAnsi="Times New Roman" w:eastAsia="Times New Roman" w:cs="Times New Roman"/>
                <w:color w:val="000000"/>
                <w:sz w:val="24"/>
              </w:rPr>
              <w:t xml:space="preserve">Đông</w:t>
            </w:r>
            <w:r/>
          </w:p>
        </w:tc>
        <w:tc>
          <w:tcPr>
            <w:tcBorders/>
            <w:tcW w:w="1984" w:type="dxa"/>
            <w:vAlign w:val="center"/>
            <w:textDirection w:val="lrTb"/>
            <w:noWrap w:val="false"/>
          </w:tcPr>
          <w:p w14:paraId="0BB86A86">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tcW w:w="2967" w:type="dxa"/>
            <w:vAlign w:val="center"/>
            <w:textDirection w:val="lrTb"/>
            <w:noWrap w:val="false"/>
          </w:tcPr>
          <w:p w14:paraId="410E689C">
            <w:pPr>
              <w:pBdr/>
              <w:spacing w:after="0" w:before="0" w:line="240" w:lineRule="auto"/>
              <w:ind/>
              <w:jc w:val="center"/>
              <w:rPr/>
            </w:pPr>
            <w:r>
              <w:rPr>
                <w:rFonts w:ascii="Times New Roman" w:hAnsi="Times New Roman" w:eastAsia="Times New Roman" w:cs="Times New Roman"/>
                <w:color w:val="000000"/>
                <w:sz w:val="24"/>
              </w:rPr>
              <w:t xml:space="preserve">Tây </w:t>
            </w:r>
            <w:r/>
          </w:p>
        </w:tc>
      </w:tr>
      <w:tr>
        <w:trPr>
          <w:trHeight w:val="20"/>
        </w:trPr>
        <w:tc>
          <w:tcPr>
            <w:tcBorders/>
            <w:tcW w:w="734" w:type="dxa"/>
            <w:vAlign w:val="center"/>
            <w:textDirection w:val="lrTb"/>
            <w:noWrap w:val="false"/>
          </w:tcPr>
          <w:p w14:paraId="0052FEA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129" w:type="dxa"/>
            <w:vAlign w:val="center"/>
            <w:textDirection w:val="lrTb"/>
            <w:noWrap w:val="false"/>
          </w:tcPr>
          <w:p w14:paraId="4A2BB57E">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tcW w:w="1701" w:type="dxa"/>
            <w:vAlign w:val="center"/>
            <w:textDirection w:val="lrTb"/>
            <w:noWrap w:val="false"/>
          </w:tcPr>
          <w:p w14:paraId="6F346EA9">
            <w:pPr>
              <w:pBdr/>
              <w:spacing w:after="0" w:before="0" w:line="240" w:lineRule="auto"/>
              <w:ind/>
              <w:jc w:val="center"/>
              <w:rPr/>
            </w:pPr>
            <w:r>
              <w:rPr>
                <w:rFonts w:ascii="Times New Roman" w:hAnsi="Times New Roman" w:eastAsia="Times New Roman" w:cs="Times New Roman"/>
                <w:color w:val="000000"/>
                <w:sz w:val="24"/>
              </w:rPr>
              <w:t xml:space="preserve">2 Phòng Ngủ, 1 WC, 1 Bếp, 1 Khách</w:t>
            </w:r>
            <w:r/>
          </w:p>
        </w:tc>
        <w:tc>
          <w:tcPr>
            <w:tcBorders/>
            <w:tcW w:w="1984" w:type="dxa"/>
            <w:vAlign w:val="center"/>
            <w:textDirection w:val="lrTb"/>
            <w:noWrap w:val="false"/>
          </w:tcPr>
          <w:p w14:paraId="65392352">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tcW w:w="2967" w:type="dxa"/>
            <w:vAlign w:val="center"/>
            <w:textDirection w:val="lrTb"/>
            <w:noWrap w:val="false"/>
          </w:tcPr>
          <w:p w14:paraId="33BCC6C8">
            <w:pPr>
              <w:pBdr/>
              <w:spacing w:after="0" w:before="0" w:line="240" w:lineRule="auto"/>
              <w:ind/>
              <w:jc w:val="center"/>
              <w:rPr/>
            </w:pPr>
            <w:r>
              <w:rPr>
                <w:rFonts w:ascii="Times New Roman" w:hAnsi="Times New Roman" w:eastAsia="Times New Roman" w:cs="Times New Roman"/>
                <w:color w:val="000000"/>
                <w:sz w:val="24"/>
              </w:rPr>
              <w:t xml:space="preserve">Nội thất cơ bản</w:t>
            </w:r>
            <w:r/>
          </w:p>
        </w:tc>
      </w:tr>
      <w:tr>
        <w:trPr>
          <w:trHeight w:val="398"/>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652" w:type="dxa"/>
            <w:vAlign w:val="center"/>
            <w:textDirection w:val="lrTb"/>
            <w:noWrap w:val="false"/>
          </w:tcPr>
          <w:p w14:paraId="3B811F72" w14:textId="653D8563">
            <w:pPr>
              <w:pBdr/>
              <w:spacing/>
              <w:ind/>
              <w:rPr>
                <w:color w:val="000000"/>
              </w:rPr>
            </w:pPr>
            <w:r>
              <w:rPr>
                <w:color w:val="000000"/>
              </w:rPr>
            </w:r>
            <w:r>
              <w:rPr>
                <w:rFonts w:ascii="Times New Roman" w:hAnsi="Times New Roman" w:eastAsia="Times New Roman" w:cs="Times New Roman"/>
                <w:color w:val="000000"/>
                <w:sz w:val="24"/>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652"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701"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1984"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967" w:type="dxa"/>
            <w:vAlign w:val="center"/>
            <w:textDirection w:val="lrTb"/>
            <w:noWrap w:val="false"/>
          </w:tcPr>
          <w:p w14:paraId="7A2ABDA9" w14:textId="7203BE4D">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1701"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1984"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96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bl>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291A422F">
      <w:pPr>
        <w:pBdr/>
        <w:spacing w:after="120" w:before="120" w:line="276" w:lineRule="auto"/>
        <w:ind/>
        <w:jc w:val="both"/>
        <w:rPr>
          <w:lang w:val="pt-BR"/>
        </w:rPr>
      </w:pPr>
      <w:r>
        <w:rPr>
          <w:b/>
          <w:bCs/>
          <w:highlight w:val="none"/>
          <w:lang w:val="pt-BR"/>
        </w:rPr>
      </w:r>
      <w:r>
        <w:rPr>
          <w:lang w:val="pt-BR"/>
        </w:rPr>
      </w:r>
      <w:r>
        <w:rPr>
          <w:lang w:val="pt-BR"/>
        </w:rPr>
      </w:r>
    </w:p>
    <w:p w14:paraId="0E9A2341" w14:textId="0DECDFBD">
      <w:pPr>
        <w:pBdr/>
        <w:spacing w:after="120" w:before="120" w:line="276" w:lineRule="auto"/>
        <w:ind/>
        <w:jc w:val="both"/>
        <w:rPr>
          <w:b/>
          <w:bCs/>
          <w:highlight w:val="none"/>
          <w:lang w:val="pt-BR"/>
        </w:rPr>
      </w:pPr>
      <w:r>
        <w:rPr>
          <w:b/>
          <w:bCs/>
          <w:lang w:val="pt-BR"/>
        </w:rPr>
        <w:t xml:space="preserve">VII. CÁCH TIẾP CẬN, PHƯƠNG PHÁP THẨM ĐỊNH GIÁ</w:t>
      </w:r>
      <w:r>
        <w:rPr>
          <w:b/>
          <w:bCs/>
          <w:highlight w:val="none"/>
          <w:lang w:val="pt-BR"/>
        </w:rPr>
      </w:r>
      <w:r>
        <w:rPr>
          <w:b/>
          <w:bCs/>
          <w:highlight w:val="none"/>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left"/>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jc w:val="left"/>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4CE6A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02E2993">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Địa chỉ</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239360">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Tòa nhà chung cư cao tầng Sông Nhuệ, Phường Kiến Hưng, Quận Hà Đông, Thành phố Hà Nội </w:t>
            </w:r>
            <w:r>
              <w:rPr>
                <w:rFonts w:ascii="Times New Roman" w:hAnsi="Times New Roman" w:eastAsia="Times New Roman" w:cs="Times New Roman"/>
                <w:color w:val="000000"/>
                <w:sz w:val="22"/>
                <w:szCs w:val="22"/>
              </w:rPr>
              <w:t xml:space="preserve">(nay là phường Kiến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2D1B38">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Tòa nhà chung cư cao tầng Sông Nhuệ, Phường Kiến Hưng, Quận Hà Đông, Thành phố Hà Nội </w:t>
            </w:r>
            <w:r>
              <w:rPr>
                <w:rFonts w:ascii="Times New Roman" w:hAnsi="Times New Roman" w:eastAsia="Times New Roman" w:cs="Times New Roman"/>
                <w:color w:val="000000"/>
                <w:sz w:val="22"/>
                <w:szCs w:val="22"/>
              </w:rPr>
              <w:t xml:space="preserve">(nay là phường Kiến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2BE8BA">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Tòa nhà chung cư cao tầng Sông Nhuệ, Phường Kiến Hưng, Quận Hà Đông, Thành phố Hà Nội </w:t>
            </w:r>
            <w:r>
              <w:rPr>
                <w:rFonts w:ascii="Times New Roman" w:hAnsi="Times New Roman" w:eastAsia="Times New Roman" w:cs="Times New Roman"/>
                <w:color w:val="000000"/>
                <w:sz w:val="22"/>
                <w:szCs w:val="22"/>
              </w:rPr>
              <w:t xml:space="preserve">(nay là phường Kiến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5C9B15">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Tòa nhà chung cư cao tầng Sông Nhuệ, Phường Kiến Hưng, Quận Hà Đông, Thành phố Hà Nội </w:t>
            </w:r>
            <w:r>
              <w:rPr>
                <w:rFonts w:ascii="Times New Roman" w:hAnsi="Times New Roman" w:eastAsia="Times New Roman" w:cs="Times New Roman"/>
                <w:color w:val="000000"/>
                <w:sz w:val="22"/>
                <w:szCs w:val="22"/>
              </w:rPr>
              <w:t xml:space="preserve">(nay là phường Kiến Hưng, thành phố Hà Nội)</w:t>
            </w:r>
            <w:r>
              <w:rPr>
                <w:sz w:val="22"/>
                <w:szCs w:val="22"/>
              </w:rPr>
            </w:r>
            <w:r>
              <w:rPr>
                <w:sz w:val="22"/>
                <w:szCs w:val="22"/>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jc w:val="left"/>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jc w:val="left"/>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0985 763 084</w:t>
            </w:r>
            <w:r>
              <w:rPr>
                <w:sz w:val="22"/>
                <w:szCs w:val="22"/>
              </w:rPr>
              <w:t xml:space="preserve"> </w:t>
            </w:r>
            <w:r>
              <w:rPr>
                <w:sz w:val="22"/>
                <w:szCs w:val="22"/>
              </w:rPr>
              <w:br/>
              <w:t xml:space="preserve">(</w:t>
            </w:r>
            <w:r>
              <w:rPr>
                <w:sz w:val="22"/>
                <w:szCs w:val="22"/>
              </w:rPr>
              <w:t xml:space="preserve">anh Nguyên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0985 763 084</w:t>
            </w:r>
            <w:r>
              <w:rPr>
                <w:sz w:val="22"/>
                <w:szCs w:val="22"/>
              </w:rPr>
              <w:br/>
            </w:r>
            <w:r>
              <w:rPr>
                <w:sz w:val="22"/>
                <w:szCs w:val="22"/>
              </w:rPr>
              <w:t xml:space="preserve">(</w:t>
            </w:r>
            <w:r>
              <w:rPr>
                <w:sz w:val="22"/>
                <w:szCs w:val="22"/>
              </w:rPr>
              <w:t xml:space="preserve">anh Nguyên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0373668882</w:t>
            </w:r>
            <w:r>
              <w:rPr>
                <w:sz w:val="22"/>
                <w:szCs w:val="22"/>
              </w:rPr>
              <w:br/>
            </w:r>
            <w:r>
              <w:rPr>
                <w:sz w:val="22"/>
                <w:szCs w:val="22"/>
              </w:rPr>
              <w:t xml:space="preserve">(</w:t>
            </w:r>
            <w:r>
              <w:rPr>
                <w:sz w:val="22"/>
                <w:szCs w:val="22"/>
              </w:rPr>
              <w:t xml:space="preserve">anh Quang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jc w:val="left"/>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BF3E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75B9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670B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jc w:val="left"/>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A04BBA2">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94851E0">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Tính chất giao dịch</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D0CA9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8944F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56C98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6560B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jc w:val="left"/>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2F4D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7CFC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DDD3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F3705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E2570B">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Loại hình tài sản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0CD3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0719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1026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697F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99D30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FCE75E8">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2C0C4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số 210 tòa B, Tòa nhà chung cư cao tầng Sông Nhuệ</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110B2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tại tòa B, Tòa nhà chung cư cao tầng Sông Nhuệ</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5E288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tại tòa B, Tòa nhà chung cư cao tầng Sông Nhuệ</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58A51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tại tòa B, Tòa nhà chung cư cao tầng Sông Nhuệ</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1A69C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7B10E84">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B797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5A45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1896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98CC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DE695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3E55155">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3473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430E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A63B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4B56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CD407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91CE611">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367F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2/29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98AC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10-20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542C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10-20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315D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14-16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36F44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1441E3B">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Hướng ban công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DBFB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56BA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9F4F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AA2B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E2A4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501C9A0">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2AC3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1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75EA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1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0F44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1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8820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D4E03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6A52EBF">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Nội thất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F9F0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3824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B4D9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C32D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0DB38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B613D37">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EF5E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2B30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A2AE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53CC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173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E450250">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246E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0329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DCD1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A9F5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B7BC8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DE2684C">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Giá rao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D930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8804A0">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3.300.000.000</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9E45A5">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3.250.000.000</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ECA922">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3.250.000.000</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74A4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B1F1BFB">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Giá thương lượng/bán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3F06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D1828C">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2.970.000.000</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841E0C">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2.925.000.000</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477F53">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2.925.000.000</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73441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4540B97">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Đơn giá QSD căn hộ (đồng/m2)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DEB074">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11260E">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64.565.217</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71AB64">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63.586.957</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72A144">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65.000.000</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66F9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70F3366">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b/>
                <w:color w:val="000000"/>
                <w:sz w:val="22"/>
              </w:rPr>
              <w:t xml:space="preserve">NHẬN XÉT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EEEDB0">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27EF8A">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193376">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9D0708">
            <w:pPr>
              <w:pBdr/>
              <w:spacing w:after="0" w:before="0" w:line="240" w:lineRule="auto"/>
              <w:ind/>
              <w:rPr/>
            </w:p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03928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A07E104">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55C8B">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2A534D">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249DDE">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6DCBF8">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0894E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DF7C62A">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A8F94C">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C039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5EB6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D3B2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4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18D477E">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6BF2FCD">
            <w:pPr>
              <w:pBdr>
                <w:top w:val="none" w:color="000000" w:sz="4" w:space="0"/>
                <w:left w:val="none" w:color="000000" w:sz="4" w:space="0"/>
                <w:bottom w:val="none" w:color="000000" w:sz="4" w:space="0"/>
                <w:right w:val="none" w:color="000000" w:sz="4" w:space="0"/>
              </w:pBdr>
              <w:spacing w:line="240" w:lineRule="auto"/>
              <w:ind w:right="0" w:firstLine="0" w:left="0"/>
              <w:jc w:val="left"/>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Tính chất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C3AA8A">
            <w:pPr>
              <w:pBdr/>
              <w:spacing w:after="0" w:before="0" w:line="240" w:lineRule="auto"/>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866064">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3B5CD3F">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4684F61">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55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1AEA58D">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1801A4D">
            <w:pPr>
              <w:pBdr>
                <w:top w:val="none" w:color="000000" w:sz="4" w:space="0"/>
                <w:left w:val="none" w:color="000000" w:sz="4" w:space="0"/>
                <w:bottom w:val="none" w:color="000000" w:sz="4" w:space="0"/>
                <w:right w:val="none" w:color="000000" w:sz="4" w:space="0"/>
              </w:pBdr>
              <w:spacing w:line="240" w:lineRule="auto"/>
              <w:ind w:right="0" w:firstLine="0" w:left="0"/>
              <w:jc w:val="left"/>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0C93356">
            <w:pPr>
              <w:pBdr/>
              <w:spacing w:after="0" w:before="0" w:line="240" w:lineRule="auto"/>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2E1F2C6">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9881E3">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37403A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743D1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F17703C">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8BB0A">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AA6811">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BA73F4">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5B46AB">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23B70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23A1D3C">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E32B5A">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A009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FF1C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7CF4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1CE6E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03D438">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Hướng ban công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3FB51E">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7403A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37E0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7403A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2D2C00">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2.970.000.000</w:t>
            </w:r>
            <w:r>
              <w:rPr>
                <w:highlight w:val="white"/>
              </w:rPr>
            </w:r>
            <w:r>
              <w:rPr>
                <w:highlight w:val="white"/>
              </w:rPr>
            </w:r>
          </w:p>
        </w:tc>
        <w:tc>
          <w:tcPr>
            <w:shd w:val="clear" w:color="000000" w:fill="ffffff"/>
            <w:tcBorders/>
            <w:tcW w:w="1522" w:type="dxa"/>
            <w:vAlign w:val="center"/>
            <w:textDirection w:val="lrTb"/>
            <w:noWrap w:val="false"/>
          </w:tcPr>
          <w:p w14:paraId="16AC5672">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2.925.000.000</w:t>
            </w:r>
            <w:r>
              <w:rPr>
                <w:highlight w:val="white"/>
              </w:rPr>
            </w:r>
            <w:r>
              <w:rPr>
                <w:highlight w:val="white"/>
              </w:rPr>
            </w:r>
          </w:p>
        </w:tc>
        <w:tc>
          <w:tcPr>
            <w:shd w:val="clear" w:color="000000" w:fill="ffffff"/>
            <w:tcBorders/>
            <w:tcW w:w="1522" w:type="dxa"/>
            <w:vAlign w:val="center"/>
            <w:textDirection w:val="lrTb"/>
            <w:noWrap w:val="false"/>
          </w:tcPr>
          <w:p w14:paraId="3B0592EF">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2.925.000.000</w:t>
            </w:r>
            <w:r>
              <w:rPr>
                <w:highlight w:val="white"/>
              </w:rPr>
            </w:r>
            <w:r>
              <w:rPr>
                <w:highlight w:val="white"/>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52003D">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64.565.217</w:t>
            </w:r>
            <w:r>
              <w:rPr>
                <w:highlight w:val="white"/>
              </w:rPr>
            </w:r>
            <w:r>
              <w:rPr>
                <w:highlight w:val="white"/>
              </w:rPr>
            </w:r>
          </w:p>
        </w:tc>
        <w:tc>
          <w:tcPr>
            <w:shd w:val="clear" w:color="000000" w:fill="ffffff"/>
            <w:tcBorders/>
            <w:tcW w:w="1522" w:type="dxa"/>
            <w:vAlign w:val="center"/>
            <w:textDirection w:val="lrTb"/>
            <w:noWrap w:val="false"/>
          </w:tcPr>
          <w:p w14:paraId="722CC92D">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63.586.957</w:t>
            </w:r>
            <w:r>
              <w:rPr>
                <w:highlight w:val="white"/>
              </w:rPr>
            </w:r>
            <w:r>
              <w:rPr>
                <w:highlight w:val="white"/>
              </w:rPr>
            </w:r>
          </w:p>
        </w:tc>
        <w:tc>
          <w:tcPr>
            <w:shd w:val="clear" w:color="000000" w:fill="ffffff"/>
            <w:tcBorders/>
            <w:tcW w:w="1522" w:type="dxa"/>
            <w:vAlign w:val="center"/>
            <w:textDirection w:val="lrTb"/>
            <w:noWrap w:val="false"/>
          </w:tcPr>
          <w:p w14:paraId="764AAC27">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65.000.000</w:t>
            </w:r>
            <w:r>
              <w:rPr>
                <w:highlight w:val="white"/>
              </w:rPr>
            </w:r>
            <w:r>
              <w:rPr>
                <w:highlight w:val="white"/>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14:paraId="406C1B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0E77FDE2">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14:paraId="5503C655">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14:paraId="5C96ABF7">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auto"/>
                <w:sz w:val="22"/>
                <w:szCs w:val="22"/>
              </w:rPr>
            </w:pPr>
            <w:r>
              <w:rPr>
                <w:color w:val="auto"/>
                <w:sz w:val="22"/>
                <w:szCs w:val="22"/>
              </w:rPr>
              <w:t xml:space="preserve">Đồng</w:t>
            </w:r>
            <w:r>
              <w:rPr>
                <w:color w:val="auto"/>
                <w:sz w:val="22"/>
                <w:szCs w:val="22"/>
              </w:rPr>
              <w:t xml:space="preserve">/m²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14:paraId="57B098E9" w14:textId="1526C2E6">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auto"/>
                <w:sz w:val="22"/>
                <w:szCs w:val="22"/>
              </w:rPr>
            </w:pPr>
            <w:r>
              <w:rPr>
                <w:color w:val="auto"/>
                <w:sz w:val="22"/>
                <w:szCs w:val="22"/>
              </w:rPr>
              <w:t xml:space="preserve">Đồng</w:t>
            </w:r>
            <w:r>
              <w:rPr>
                <w:color w:val="auto"/>
                <w:sz w:val="22"/>
                <w:szCs w:val="22"/>
              </w:rPr>
              <w:t xml:space="preserve">/m²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14:paraId="1E2EB0E9">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64.565.217</w:t>
            </w:r>
            <w:r>
              <w:rPr>
                <w:highlight w:val="white"/>
              </w:rPr>
            </w:r>
            <w:r>
              <w:rPr>
                <w:highlight w:val="white"/>
              </w:rPr>
            </w:r>
          </w:p>
        </w:tc>
        <w:tc>
          <w:tcPr>
            <w:shd w:val="clear" w:color="000000" w:fill="ffffff"/>
            <w:tcBorders/>
            <w:tcW w:w="1522" w:type="dxa"/>
            <w:vAlign w:val="center"/>
            <w:textDirection w:val="lrTb"/>
            <w:noWrap/>
          </w:tcPr>
          <w:p w14:paraId="1F046046">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63.586.957</w:t>
            </w:r>
            <w:r>
              <w:rPr>
                <w:highlight w:val="white"/>
              </w:rPr>
            </w:r>
            <w:r>
              <w:rPr>
                <w:highlight w:val="white"/>
              </w:rPr>
            </w:r>
          </w:p>
        </w:tc>
        <w:tc>
          <w:tcPr>
            <w:shd w:val="clear" w:color="000000" w:fill="ffffff"/>
            <w:tcBorders/>
            <w:tcW w:w="1522" w:type="dxa"/>
            <w:vAlign w:val="center"/>
            <w:textDirection w:val="lrTb"/>
            <w:noWrap/>
          </w:tcPr>
          <w:p w14:paraId="31EB1642">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65.000.000</w:t>
            </w:r>
            <w:r>
              <w:rPr>
                <w:highlight w:val="white"/>
              </w:rPr>
            </w:r>
            <w:r>
              <w:rPr>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left"/>
              <w:rPr>
                <w:color w:val="000000"/>
                <w:sz w:val="22"/>
                <w:szCs w:val="22"/>
              </w:rPr>
            </w:pPr>
            <w:r>
              <w:rPr>
                <w:color w:val="000000"/>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14:paraId="4931AD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số 210 tòa B, Tòa nhà chung cư cao tầng Sông Nhuệ</w:t>
            </w:r>
            <w:r/>
          </w:p>
        </w:tc>
        <w:tc>
          <w:tcPr>
            <w:shd w:val="clear" w:color="000000" w:fill="ffffff"/>
            <w:tcBorders/>
            <w:tcW w:w="1522" w:type="dxa"/>
            <w:vAlign w:val="center"/>
            <w:textDirection w:val="lrTb"/>
            <w:noWrap w:val="false"/>
          </w:tcPr>
          <w:p w14:paraId="42E9D119">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là căn hộ chung tại tòa B, Tòa nhà chung cư cao tầng Sông Nhuệ</w:t>
            </w:r>
            <w:r>
              <w:rPr>
                <w:highlight w:val="white"/>
              </w:rPr>
            </w:r>
            <w:r>
              <w:rPr>
                <w:highlight w:val="white"/>
              </w:rPr>
            </w:r>
          </w:p>
        </w:tc>
        <w:tc>
          <w:tcPr>
            <w:shd w:val="clear" w:color="000000" w:fill="ffffff"/>
            <w:tcBorders/>
            <w:tcW w:w="1522" w:type="dxa"/>
            <w:vAlign w:val="center"/>
            <w:textDirection w:val="lrTb"/>
            <w:noWrap w:val="false"/>
          </w:tcPr>
          <w:p w14:paraId="30CDA20F">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là căn hộ chung tại tòa B, Tòa nhà chung cư cao tầng Sông Nhuệ</w:t>
            </w:r>
            <w:r>
              <w:rPr>
                <w:highlight w:val="white"/>
              </w:rPr>
            </w:r>
            <w:r>
              <w:rPr>
                <w:highlight w:val="white"/>
              </w:rPr>
            </w:r>
          </w:p>
        </w:tc>
        <w:tc>
          <w:tcPr>
            <w:shd w:val="clear" w:color="000000" w:fill="ffffff"/>
            <w:tcBorders/>
            <w:tcW w:w="1522" w:type="dxa"/>
            <w:vAlign w:val="center"/>
            <w:textDirection w:val="lrTb"/>
            <w:noWrap w:val="false"/>
          </w:tcPr>
          <w:p w14:paraId="7FAF68F0">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là căn hộ chung tại tòa B, Tòa nhà chung cư cao tầng Sông Nhuệ</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auto"/>
                <w:sz w:val="22"/>
                <w:szCs w:val="22"/>
              </w:rPr>
            </w:pPr>
            <w:r>
              <w:rPr>
                <w:color w:val="auto"/>
                <w:sz w:val="22"/>
                <w:szCs w:val="22"/>
              </w:rPr>
              <w:t xml:space="preserve">Đồng</w:t>
            </w:r>
            <w:r>
              <w:rPr>
                <w:color w:val="auto"/>
                <w:sz w:val="22"/>
                <w:szCs w:val="22"/>
              </w:rPr>
              <w:t xml:space="preserve">/m²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14:paraId="57B098E9" w14:textId="1526C2E6">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auto"/>
                <w:sz w:val="22"/>
                <w:szCs w:val="22"/>
              </w:rPr>
            </w:pPr>
            <w:r>
              <w:rPr>
                <w:color w:val="auto"/>
                <w:sz w:val="22"/>
                <w:szCs w:val="22"/>
              </w:rPr>
              <w:t xml:space="preserve">Đồng</w:t>
            </w:r>
            <w:r>
              <w:rPr>
                <w:color w:val="auto"/>
                <w:sz w:val="22"/>
                <w:szCs w:val="22"/>
              </w:rPr>
              <w:t xml:space="preserve">/m²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14:paraId="1E2EB0E9">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64.565.217</w:t>
            </w:r>
            <w:r>
              <w:rPr>
                <w:highlight w:val="white"/>
              </w:rPr>
            </w:r>
            <w:r>
              <w:rPr>
                <w:highlight w:val="white"/>
              </w:rPr>
            </w:r>
          </w:p>
        </w:tc>
        <w:tc>
          <w:tcPr>
            <w:shd w:val="clear" w:color="000000" w:fill="ffffff"/>
            <w:tcBorders/>
            <w:tcW w:w="1522" w:type="dxa"/>
            <w:vAlign w:val="center"/>
            <w:textDirection w:val="lrTb"/>
            <w:noWrap/>
          </w:tcPr>
          <w:p w14:paraId="1F046046">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63.586.957</w:t>
            </w:r>
            <w:r>
              <w:rPr>
                <w:highlight w:val="white"/>
              </w:rPr>
            </w:r>
            <w:r>
              <w:rPr>
                <w:highlight w:val="white"/>
              </w:rPr>
            </w:r>
          </w:p>
        </w:tc>
        <w:tc>
          <w:tcPr>
            <w:shd w:val="clear" w:color="000000" w:fill="ffffff"/>
            <w:tcBorders/>
            <w:tcW w:w="1522" w:type="dxa"/>
            <w:vAlign w:val="center"/>
            <w:textDirection w:val="lrTb"/>
            <w:noWrap/>
          </w:tcPr>
          <w:p w14:paraId="31EB1642">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65.000.000</w:t>
            </w:r>
            <w:r>
              <w:rPr>
                <w:highlight w:val="white"/>
              </w:rPr>
            </w:r>
            <w:r>
              <w:rPr>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left"/>
              <w:rPr>
                <w:color w:val="000000"/>
                <w:sz w:val="22"/>
                <w:szCs w:val="22"/>
              </w:rPr>
            </w:pPr>
            <w:r>
              <w:rPr>
                <w:color w:val="000000"/>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Tính chất giao dịch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auto"/>
                <w:sz w:val="22"/>
                <w:szCs w:val="22"/>
              </w:rPr>
            </w:pPr>
            <w:r>
              <w:rPr>
                <w:b/>
                <w:bCs/>
                <w:color w:val="auto"/>
                <w:sz w:val="22"/>
                <w:szCs w:val="22"/>
              </w:rPr>
              <w:t xml:space="preserve"> </w:t>
            </w:r>
            <w:r>
              <w:rPr>
                <w:b/>
                <w:bCs/>
                <w:color w:val="auto"/>
                <w:sz w:val="22"/>
                <w:szCs w:val="22"/>
              </w:rPr>
              <w:t xml:space="preserve"> </w:t>
            </w:r>
            <w:r>
              <w:rPr>
                <w:b/>
                <w:bCs/>
                <w:color w:val="auto"/>
                <w:sz w:val="22"/>
                <w:szCs w:val="22"/>
              </w:rPr>
            </w:r>
            <w:r>
              <w:rPr>
                <w:b/>
                <w:bCs/>
                <w:color w:val="auto"/>
                <w:sz w:val="22"/>
                <w:szCs w:val="22"/>
              </w:rPr>
            </w:r>
          </w:p>
        </w:tc>
        <w:tc>
          <w:tcPr>
            <w:shd w:val="clear" w:color="000000" w:fill="ffffff"/>
            <w:tcBorders/>
            <w:tcW w:w="1522" w:type="dxa"/>
            <w:vAlign w:val="center"/>
            <w:textDirection w:val="lrTb"/>
            <w:noWrap w:val="false"/>
          </w:tcPr>
          <w:p w14:paraId="240379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000000" w:fill="ffffff"/>
            <w:tcBorders/>
            <w:tcW w:w="1522" w:type="dxa"/>
            <w:vAlign w:val="center"/>
            <w:textDirection w:val="lrTb"/>
            <w:noWrap w:val="false"/>
          </w:tcPr>
          <w:p w14:paraId="58DA5448">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Giao dịch bình thường trên thị trường</w:t>
            </w:r>
            <w:r>
              <w:rPr>
                <w:highlight w:val="white"/>
              </w:rPr>
            </w:r>
            <w:r>
              <w:rPr>
                <w:highlight w:val="white"/>
              </w:rPr>
            </w:r>
          </w:p>
        </w:tc>
        <w:tc>
          <w:tcPr>
            <w:shd w:val="clear" w:color="000000" w:fill="ffffff"/>
            <w:tcBorders/>
            <w:tcW w:w="1522" w:type="dxa"/>
            <w:vAlign w:val="center"/>
            <w:textDirection w:val="lrTb"/>
            <w:noWrap w:val="false"/>
          </w:tcPr>
          <w:p w14:paraId="46EE4DE5">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Giao dịch bình thường trên thị trường</w:t>
            </w:r>
            <w:r>
              <w:rPr>
                <w:highlight w:val="white"/>
              </w:rPr>
            </w:r>
            <w:r>
              <w:rPr>
                <w:highlight w:val="white"/>
              </w:rPr>
            </w:r>
          </w:p>
        </w:tc>
        <w:tc>
          <w:tcPr>
            <w:shd w:val="clear" w:color="000000" w:fill="ffffff"/>
            <w:tcBorders/>
            <w:tcW w:w="1522" w:type="dxa"/>
            <w:vAlign w:val="center"/>
            <w:textDirection w:val="lrTb"/>
            <w:noWrap w:val="false"/>
          </w:tcPr>
          <w:p w14:paraId="4A181BF9">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Giao dịch bình thường trên thị trường</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auto"/>
                <w:sz w:val="22"/>
                <w:szCs w:val="22"/>
              </w:rPr>
            </w:pPr>
            <w:r>
              <w:rPr>
                <w:color w:val="auto"/>
                <w:sz w:val="22"/>
                <w:szCs w:val="22"/>
              </w:rPr>
              <w:t xml:space="preserve">%</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auto"/>
                <w:sz w:val="22"/>
                <w:szCs w:val="22"/>
              </w:rPr>
            </w:pPr>
            <w:r>
              <w:rPr>
                <w:color w:val="auto"/>
                <w:sz w:val="22"/>
                <w:szCs w:val="22"/>
              </w:rPr>
              <w:t xml:space="preserve">Đồng</w:t>
            </w:r>
            <w:r>
              <w:rPr>
                <w:color w:val="auto"/>
                <w:sz w:val="22"/>
                <w:szCs w:val="22"/>
              </w:rPr>
              <w:t xml:space="preserve">/m²</w:t>
            </w:r>
            <w:r>
              <w:rPr>
                <w:color w:val="auto"/>
                <w:sz w:val="22"/>
                <w:szCs w:val="22"/>
              </w:rPr>
            </w:r>
            <w:r>
              <w:rPr>
                <w:color w:val="auto"/>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auto"/>
                <w:sz w:val="22"/>
                <w:szCs w:val="22"/>
              </w:rPr>
            </w:pPr>
            <w:r>
              <w:rPr>
                <w:color w:val="auto"/>
                <w:sz w:val="22"/>
                <w:szCs w:val="22"/>
              </w:rPr>
              <w:t xml:space="preserve"> </w:t>
            </w:r>
            <w:r>
              <w:rPr>
                <w:color w:val="auto"/>
                <w:sz w:val="22"/>
                <w:szCs w:val="22"/>
              </w:rPr>
            </w:r>
            <w:r>
              <w:rPr>
                <w:color w:val="auto"/>
                <w:sz w:val="22"/>
                <w:szCs w:val="22"/>
              </w:rPr>
            </w:r>
          </w:p>
        </w:tc>
        <w:tc>
          <w:tcPr>
            <w:shd w:val="clear" w:color="000000" w:fill="ffffff"/>
            <w:tcBorders/>
            <w:tcW w:w="1522" w:type="dxa"/>
            <w:vAlign w:val="center"/>
            <w:textDirection w:val="lrTb"/>
            <w:noWrap/>
          </w:tcPr>
          <w:p w14:paraId="57B098E9" w14:textId="1526C2E6">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auto"/>
                <w:sz w:val="22"/>
                <w:szCs w:val="22"/>
                <w:highlight w:val="white"/>
              </w:rPr>
            </w:pPr>
            <w:r>
              <w:rPr>
                <w:color w:val="auto"/>
                <w:sz w:val="22"/>
                <w:szCs w:val="22"/>
                <w:highlight w:val="white"/>
              </w:rPr>
              <w:t xml:space="preserve">0</w:t>
            </w:r>
            <w:r>
              <w:rPr>
                <w:color w:val="auto"/>
                <w:sz w:val="22"/>
                <w:szCs w:val="22"/>
                <w:highlight w:val="white"/>
              </w:rPr>
            </w:r>
            <w:r>
              <w:rPr>
                <w:color w:val="auto"/>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2EB0E9">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64.565.217</w:t>
            </w:r>
            <w:r>
              <w:rPr>
                <w:highlight w:val="white"/>
              </w:rPr>
            </w:r>
            <w:r>
              <w:rPr>
                <w:highlight w:val="white"/>
              </w:rPr>
            </w:r>
          </w:p>
        </w:tc>
        <w:tc>
          <w:tcPr>
            <w:shd w:val="clear" w:color="000000" w:fill="ffffff"/>
            <w:tcBorders/>
            <w:tcW w:w="1522" w:type="dxa"/>
            <w:vAlign w:val="center"/>
            <w:textDirection w:val="lrTb"/>
            <w:noWrap/>
          </w:tcPr>
          <w:p w14:paraId="1F046046">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63.586.957</w:t>
            </w:r>
            <w:r>
              <w:rPr>
                <w:highlight w:val="white"/>
              </w:rPr>
            </w:r>
            <w:r>
              <w:rPr>
                <w:highlight w:val="white"/>
              </w:rPr>
            </w:r>
          </w:p>
        </w:tc>
        <w:tc>
          <w:tcPr>
            <w:shd w:val="clear" w:color="000000" w:fill="ffffff"/>
            <w:tcBorders/>
            <w:tcW w:w="1522" w:type="dxa"/>
            <w:vAlign w:val="center"/>
            <w:textDirection w:val="lrTb"/>
            <w:noWrap/>
          </w:tcPr>
          <w:p w14:paraId="31EB1642">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65.000.000</w:t>
            </w:r>
            <w:r>
              <w:rPr>
                <w:highlight w:val="white"/>
              </w:rPr>
            </w:r>
            <w:r>
              <w:rPr>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E61A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2/29</w:t>
            </w:r>
            <w:r/>
          </w:p>
        </w:tc>
        <w:tc>
          <w:tcPr>
            <w:shd w:val="clear" w:color="000000" w:fill="ffffff"/>
            <w:tcBorders/>
            <w:tcW w:w="1522" w:type="dxa"/>
            <w:vAlign w:val="center"/>
            <w:textDirection w:val="lrTb"/>
            <w:noWrap w:val="false"/>
          </w:tcPr>
          <w:p w14:paraId="46F6E08D">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Tầng 10-20</w:t>
            </w:r>
            <w:r>
              <w:rPr>
                <w:highlight w:val="white"/>
              </w:rPr>
            </w:r>
            <w:r>
              <w:rPr>
                <w:highlight w:val="white"/>
              </w:rPr>
            </w:r>
          </w:p>
        </w:tc>
        <w:tc>
          <w:tcPr>
            <w:shd w:val="clear" w:color="000000" w:fill="ffffff"/>
            <w:tcBorders/>
            <w:tcW w:w="1522" w:type="dxa"/>
            <w:vAlign w:val="center"/>
            <w:textDirection w:val="lrTb"/>
            <w:noWrap w:val="false"/>
          </w:tcPr>
          <w:p w14:paraId="03AFE697">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Tầng 10-20</w:t>
            </w:r>
            <w:r>
              <w:rPr>
                <w:highlight w:val="white"/>
              </w:rPr>
            </w:r>
            <w:r>
              <w:rPr>
                <w:highlight w:val="white"/>
              </w:rPr>
            </w:r>
          </w:p>
        </w:tc>
        <w:tc>
          <w:tcPr>
            <w:shd w:val="clear" w:color="000000" w:fill="ffffff"/>
            <w:tcBorders/>
            <w:tcW w:w="1522" w:type="dxa"/>
            <w:vAlign w:val="center"/>
            <w:textDirection w:val="lrTb"/>
            <w:noWrap w:val="false"/>
          </w:tcPr>
          <w:p w14:paraId="6848E370">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Tầng 14-16</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-3.228.261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-3.179.348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-3.250.000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61.336.956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60.407.609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61.750.000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sàn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46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46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FA35BE">
            <w:pPr>
              <w:pBdr/>
              <w:spacing/>
              <w:ind/>
              <w:jc w:val="center"/>
              <w:rPr>
                <w:color w:val="000000"/>
                <w:sz w:val="22"/>
                <w:szCs w:val="22"/>
                <w:highlight w:val="white"/>
              </w:rPr>
            </w:pPr>
            <w:r>
              <w:rPr>
                <w:color w:val="000000" w:themeColor="text1"/>
                <w:sz w:val="22"/>
                <w:szCs w:val="22"/>
                <w:highlight w:val="white"/>
              </w:rPr>
              <w:t xml:space="preserve">61.336.956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0FE385D6">
            <w:pPr>
              <w:pBdr/>
              <w:spacing/>
              <w:ind/>
              <w:jc w:val="center"/>
              <w:rPr>
                <w:color w:val="000000"/>
                <w:sz w:val="22"/>
                <w:szCs w:val="22"/>
                <w:highlight w:val="white"/>
              </w:rPr>
            </w:pPr>
            <w:r>
              <w:rPr>
                <w:color w:val="000000" w:themeColor="text1"/>
                <w:sz w:val="22"/>
                <w:szCs w:val="22"/>
                <w:highlight w:val="white"/>
              </w:rPr>
              <w:t xml:space="preserve">60.407.609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626390AF">
            <w:pPr>
              <w:pBdr/>
              <w:spacing/>
              <w:ind/>
              <w:jc w:val="center"/>
              <w:rPr>
                <w:color w:val="000000"/>
                <w:sz w:val="22"/>
                <w:szCs w:val="22"/>
                <w:highlight w:val="white"/>
              </w:rPr>
            </w:pPr>
            <w:r>
              <w:rPr>
                <w:color w:val="000000" w:themeColor="text1"/>
                <w:sz w:val="22"/>
                <w:szCs w:val="22"/>
                <w:highlight w:val="white"/>
              </w:rPr>
              <w:t xml:space="preserve">61.750.000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D73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14:paraId="2DC08686">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Căn góc</w:t>
            </w:r>
            <w:r>
              <w:rPr>
                <w:highlight w:val="white"/>
              </w:rPr>
            </w:r>
            <w:r>
              <w:rPr>
                <w:highlight w:val="white"/>
              </w:rPr>
            </w:r>
          </w:p>
        </w:tc>
        <w:tc>
          <w:tcPr>
            <w:shd w:val="clear" w:color="000000" w:fill="ffffff"/>
            <w:tcBorders/>
            <w:tcW w:w="1522" w:type="dxa"/>
            <w:vAlign w:val="center"/>
            <w:textDirection w:val="lrTb"/>
            <w:noWrap w:val="false"/>
          </w:tcPr>
          <w:p w14:paraId="16CE179F">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Căn góc</w:t>
            </w:r>
            <w:r>
              <w:rPr>
                <w:highlight w:val="white"/>
              </w:rPr>
            </w:r>
            <w:r>
              <w:rPr>
                <w:highlight w:val="white"/>
              </w:rPr>
            </w:r>
          </w:p>
        </w:tc>
        <w:tc>
          <w:tcPr>
            <w:shd w:val="clear" w:color="000000" w:fill="ffffff"/>
            <w:tcBorders/>
            <w:tcW w:w="1522" w:type="dxa"/>
            <w:vAlign w:val="center"/>
            <w:textDirection w:val="lrTb"/>
            <w:noWrap w:val="false"/>
          </w:tcPr>
          <w:p w14:paraId="4B3312FE">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Căn góc</w:t>
            </w:r>
            <w:r>
              <w:rPr>
                <w:highlight w:val="white"/>
              </w:rPr>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FA35BE">
            <w:pPr>
              <w:pBdr/>
              <w:spacing/>
              <w:ind/>
              <w:jc w:val="center"/>
              <w:rPr>
                <w:color w:val="000000"/>
                <w:sz w:val="22"/>
                <w:szCs w:val="22"/>
                <w:highlight w:val="white"/>
              </w:rPr>
            </w:pPr>
            <w:r>
              <w:rPr>
                <w:color w:val="000000" w:themeColor="text1"/>
                <w:sz w:val="22"/>
                <w:szCs w:val="22"/>
                <w:highlight w:val="white"/>
              </w:rPr>
              <w:t xml:space="preserve">61.336.956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0FE385D6">
            <w:pPr>
              <w:pBdr/>
              <w:spacing/>
              <w:ind/>
              <w:jc w:val="center"/>
              <w:rPr>
                <w:color w:val="000000"/>
                <w:sz w:val="22"/>
                <w:szCs w:val="22"/>
                <w:highlight w:val="white"/>
              </w:rPr>
            </w:pPr>
            <w:r>
              <w:rPr>
                <w:color w:val="000000" w:themeColor="text1"/>
                <w:sz w:val="22"/>
                <w:szCs w:val="22"/>
                <w:highlight w:val="white"/>
              </w:rPr>
              <w:t xml:space="preserve">60.407.609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626390AF">
            <w:pPr>
              <w:pBdr/>
              <w:spacing/>
              <w:ind/>
              <w:jc w:val="center"/>
              <w:rPr>
                <w:color w:val="000000"/>
                <w:sz w:val="22"/>
                <w:szCs w:val="22"/>
                <w:highlight w:val="white"/>
              </w:rPr>
            </w:pPr>
            <w:r>
              <w:rPr>
                <w:color w:val="000000" w:themeColor="text1"/>
                <w:sz w:val="22"/>
                <w:szCs w:val="22"/>
                <w:highlight w:val="white"/>
              </w:rPr>
              <w:t xml:space="preserve">61.750.000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 ban 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Đông Nam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Tây Bắc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Đông Nam</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-3.228.261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-3.250.000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58.108.695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60.407.609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58.500.000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6F6E00">
            <w:pPr>
              <w:pBdr/>
              <w:spacing/>
              <w:ind/>
              <w:jc w:val="center"/>
              <w:rPr>
                <w:b/>
                <w:bCs/>
                <w:color w:val="000000"/>
                <w:sz w:val="22"/>
                <w:szCs w:val="22"/>
                <w:highlight w:val="white"/>
              </w:rPr>
            </w:pPr>
            <w:r>
              <w:rPr>
                <w:b/>
                <w:bCs/>
                <w:color w:val="000000" w:themeColor="text1"/>
                <w:sz w:val="22"/>
                <w:szCs w:val="22"/>
                <w:highlight w:val="white"/>
              </w:rPr>
              <w:t xml:space="preserve">58.108.695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89C68DE">
            <w:pPr>
              <w:pBdr/>
              <w:spacing/>
              <w:ind/>
              <w:jc w:val="center"/>
              <w:rPr>
                <w:b/>
                <w:bCs/>
                <w:color w:val="000000"/>
                <w:sz w:val="22"/>
                <w:szCs w:val="22"/>
                <w:highlight w:val="white"/>
              </w:rPr>
            </w:pPr>
            <w:r>
              <w:rPr>
                <w:b/>
                <w:bCs/>
                <w:color w:val="000000" w:themeColor="text1"/>
                <w:sz w:val="22"/>
                <w:szCs w:val="22"/>
                <w:highlight w:val="white"/>
              </w:rPr>
              <w:t xml:space="preserve">60.407.609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7DF5DBD5">
            <w:pPr>
              <w:pBdr/>
              <w:spacing/>
              <w:ind/>
              <w:jc w:val="center"/>
              <w:rPr>
                <w:b/>
                <w:bCs/>
                <w:color w:val="000000"/>
                <w:sz w:val="22"/>
                <w:szCs w:val="22"/>
                <w:highlight w:val="white"/>
              </w:rPr>
            </w:pPr>
            <w:r>
              <w:rPr>
                <w:b/>
                <w:bCs/>
                <w:color w:val="000000" w:themeColor="text1"/>
                <w:sz w:val="22"/>
                <w:szCs w:val="22"/>
                <w:highlight w:val="white"/>
              </w:rPr>
              <w:t xml:space="preserve">58.500.000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highlight w:val="white"/>
              </w:rPr>
            </w:pPr>
            <w:r>
              <w:rPr>
                <w:b/>
                <w:bCs/>
                <w:color w:val="000000" w:themeColor="text1"/>
                <w:sz w:val="22"/>
                <w:szCs w:val="22"/>
                <w:highlight w:val="white"/>
              </w:rPr>
              <w:t xml:space="preserve">59.005.435</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6,456,522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3,179,348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6,500,000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730206">
            <w:pPr>
              <w:pBdr/>
              <w:spacing/>
              <w:ind/>
              <w:jc w:val="center"/>
              <w:rPr>
                <w:b/>
                <w:bCs/>
                <w:color w:val="000000"/>
                <w:sz w:val="22"/>
                <w:szCs w:val="22"/>
              </w:rPr>
            </w:pPr>
            <w:r>
              <w:rPr>
                <w:color w:val="000000" w:themeColor="text1"/>
                <w:sz w:val="22"/>
                <w:szCs w:val="22"/>
              </w:rPr>
              <w:t xml:space="preserve">6,456,522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8DF84C0">
            <w:pPr>
              <w:pBdr/>
              <w:spacing/>
              <w:ind/>
              <w:jc w:val="center"/>
              <w:rPr>
                <w:b/>
                <w:bCs/>
                <w:color w:val="000000"/>
                <w:sz w:val="22"/>
                <w:szCs w:val="22"/>
              </w:rPr>
            </w:pPr>
            <w:r>
              <w:rPr>
                <w:color w:val="000000" w:themeColor="text1"/>
                <w:sz w:val="22"/>
                <w:szCs w:val="22"/>
              </w:rPr>
              <w:t xml:space="preserve">3,179,348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3E2BA1E">
            <w:pPr>
              <w:pBdr/>
              <w:spacing/>
              <w:ind/>
              <w:jc w:val="center"/>
              <w:rPr>
                <w:b/>
                <w:bCs/>
                <w:color w:val="000000"/>
                <w:sz w:val="22"/>
                <w:szCs w:val="22"/>
              </w:rPr>
            </w:pPr>
            <w:r>
              <w:rPr>
                <w:color w:val="000000" w:themeColor="text1"/>
                <w:sz w:val="22"/>
                <w:szCs w:val="22"/>
              </w:rPr>
              <w:t xml:space="preserve">6,500,000</w:t>
            </w:r>
            <w:r>
              <w:rPr>
                <w:b/>
                <w:bCs/>
                <w:color w:val="000000"/>
                <w:sz w:val="22"/>
                <w:szCs w:val="22"/>
              </w:rPr>
            </w:r>
            <w:r>
              <w:rPr>
                <w:b/>
                <w:bCs/>
                <w:color w:val="000000"/>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1,52</w:t>
      </w:r>
      <w:r>
        <w:t xml:space="preserve">% </w:t>
      </w:r>
      <w:r>
        <w:t xml:space="preserve">đến</w:t>
      </w:r>
      <w:r>
        <w:t xml:space="preserve"> </w:t>
      </w:r>
      <w:r>
        <w:t xml:space="preserve"> </w:t>
      </w:r>
      <w:r>
        <w:t xml:space="preserve">2,38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58.108.695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19.373.439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60.407.609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20.133.856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58.500.000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19.498.050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59.005.345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59.000.000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59.000.000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7C635E49">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Quyền sở hữu </w:t>
            </w:r>
            <w:r>
              <w:rPr>
                <w:rFonts w:ascii="Times New Roman" w:hAnsi="Times New Roman" w:eastAsia="Times New Roman" w:cs="Times New Roman"/>
                <w:color w:val="000000"/>
                <w:sz w:val="24"/>
                <w:highlight w:val="white"/>
              </w:rPr>
              <w:t xml:space="preserve">căn hộ chung cư số 201 tòa B, Tòa nhà chung cư cao tầng Sông Nhuệ, phường Kiến Hưng, quận Hà Đông, thành phố Hà Nội (nay là phường Kiến Hưng, thành phố Hà Nội) theo Giấy chứng nhận quyền sử dụng đất quyền sở hữu nhà ở và tài sản khác gắn liền với đất số: D</w:t>
            </w:r>
            <w:r>
              <w:rPr>
                <w:rFonts w:ascii="Times New Roman" w:hAnsi="Times New Roman" w:eastAsia="Times New Roman" w:cs="Times New Roman"/>
                <w:color w:val="000000"/>
                <w:sz w:val="24"/>
                <w:highlight w:val="white"/>
              </w:rPr>
              <w:t xml:space="preserve">Đ 398571, số vào sổ cấp GCN: CS 64215 do Sở tài nguyên và môi trường thành phố Hà Nội cấp ngày 10/11/2021; Chủ tài sản là Ông Nguyễn Quốc Duy và Bà Bùi Thị Khánh Hiền.</w:t>
            </w:r>
            <w:r>
              <w:rPr>
                <w:highlight w:val="white"/>
              </w:rPr>
            </w:r>
            <w:r>
              <w:rPr>
                <w:highlight w:val="white"/>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highlight w:val="white"/>
              </w:rPr>
            </w:pPr>
            <w:r>
              <w:rPr>
                <w:b/>
                <w:bCs/>
                <w:highlight w:val="white"/>
              </w:rPr>
              <w:t xml:space="preserve">Đất ở tại đô thị</w:t>
            </w:r>
            <w:r>
              <w:rPr>
                <w:highlight w:val="white"/>
              </w:rPr>
            </w:r>
            <w:r>
              <w:rPr>
                <w:highlight w:val="white"/>
              </w:rPr>
            </w:r>
          </w:p>
        </w:tc>
        <w:tc>
          <w:tcPr>
            <w:tcBorders/>
            <w:tcW w:w="981" w:type="pct"/>
            <w:vAlign w:val="center"/>
            <w:textDirection w:val="lrTb"/>
            <w:noWrap/>
          </w:tcPr>
          <w:p w14:paraId="7CA4C7C8" w14:textId="61CCDBBC">
            <w:pPr>
              <w:pBdr/>
              <w:spacing w:after="40" w:before="40" w:line="288" w:lineRule="auto"/>
              <w:ind/>
              <w:jc w:val="center"/>
              <w:rPr>
                <w:color w:val="000000"/>
                <w:highlight w:val="white"/>
              </w:rPr>
            </w:pPr>
            <w:r>
              <w:rPr>
                <w:color w:val="000000" w:themeColor="text1"/>
                <w:highlight w:val="white"/>
              </w:rPr>
              <w:t xml:space="preserve">48,8</w:t>
            </w:r>
            <w:r>
              <w:rPr>
                <w:color w:val="000000"/>
                <w:highlight w:val="white"/>
              </w:rPr>
            </w:r>
            <w:r>
              <w:rPr>
                <w:color w:val="000000"/>
                <w:highlight w:val="white"/>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highlight w:val="white"/>
              </w:rPr>
            </w:pPr>
            <w:r>
              <w:rPr>
                <w:color w:val="000000" w:themeColor="text1"/>
                <w:highlight w:val="white"/>
              </w:rPr>
              <w:t xml:space="preserve">59.000.000</w:t>
            </w:r>
            <w:r>
              <w:rPr>
                <w:highlight w:val="white"/>
              </w:rPr>
            </w:r>
            <w:r>
              <w:rPr>
                <w:highlight w:val="white"/>
              </w:rP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highlight w:val="white"/>
              </w:rPr>
            </w:pPr>
            <w:r>
              <w:rPr>
                <w:color w:val="000000" w:themeColor="text1"/>
                <w:highlight w:val="white"/>
              </w:rPr>
              <w:t xml:space="preserve">2.879.200.000</w:t>
            </w:r>
            <w:r>
              <w:rPr>
                <w:highlight w:val="white"/>
              </w:rPr>
            </w:r>
            <w:r>
              <w:rPr>
                <w:highlight w:val="white"/>
              </w:rP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14:paraId="62CD70B8" w14:textId="08625315">
            <w:pPr>
              <w:pBdr/>
              <w:spacing w:after="40" w:before="40" w:line="288" w:lineRule="auto"/>
              <w:ind/>
              <w:jc w:val="center"/>
              <w:rPr>
                <w:b/>
                <w:bCs/>
                <w:color w:val="000000"/>
                <w:highlight w:val="white"/>
              </w:rPr>
            </w:pPr>
            <w:r>
              <w:rPr>
                <w:highlight w:val="white"/>
              </w:rPr>
              <w:t xml:space="preserve">2.879.200.000</w:t>
            </w:r>
            <w:r>
              <w:rPr>
                <w:b/>
                <w:bCs/>
                <w:color w:val="000000"/>
                <w:highlight w:val="white"/>
              </w:rPr>
            </w:r>
            <w:r>
              <w:rPr>
                <w:b/>
                <w:bCs/>
                <w:color w:val="000000"/>
                <w:highlight w:val="white"/>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70" w:type="pct"/>
            <w:vAlign w:val="center"/>
            <w:textDirection w:val="lrTb"/>
            <w:noWrap/>
          </w:tcPr>
          <w:p w14:paraId="6E6272A1" w14:textId="19D69E15">
            <w:pPr>
              <w:pBdr/>
              <w:spacing w:after="40" w:before="40" w:line="288" w:lineRule="auto"/>
              <w:ind/>
              <w:jc w:val="center"/>
              <w:rPr>
                <w:b/>
                <w:bCs/>
                <w:color w:val="000000"/>
                <w:highlight w:val="white"/>
              </w:rPr>
            </w:pPr>
            <w:r>
              <w:rPr>
                <w:b/>
                <w:bCs/>
                <w:color w:val="000000"/>
                <w:highlight w:val="white"/>
              </w:rPr>
              <w:t xml:space="preserve">2.879.200.000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tám trăm bảy mươi chín triệu hai trăm nghìn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vi-VN"/>
        </w:rPr>
        <w:t xml:space="preserve">/</w:t>
      </w:r>
      <w:r>
        <w:rPr>
          <w:lang w:val="pt-BR"/>
        </w:rPr>
      </w:r>
      <w:r>
        <w:rPr>
          <w:lang w:val="pt-BR"/>
        </w:rPr>
      </w:r>
    </w:p>
    <w:p w14:paraId="2C464B36">
      <w:pPr>
        <w:pBdr/>
        <w:shd w:val="nil" w:color="auto"/>
        <w:spacing/>
        <w:ind/>
        <w:rPr>
          <w:lang w:val="vi-VN"/>
        </w:rPr>
      </w:pPr>
      <w:r>
        <w:rPr>
          <w:highlight w:val="none"/>
          <w:lang w:val="vi-VN"/>
        </w:rPr>
        <w:br w:type="page" w:clear="all"/>
      </w:r>
      <w:r>
        <w:rPr>
          <w:highlight w:val="none"/>
          <w:lang w:val="vi-VN"/>
        </w:rPr>
      </w:r>
      <w:r>
        <w:rPr>
          <w:lang w:val="vi-VN"/>
        </w:rPr>
      </w:r>
    </w:p>
    <w:p w14:paraId="0133F7AA">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275/2026/0036/VFI-CT.65.A</w:t>
      </w:r>
      <w:r>
        <w:rPr>
          <w:color w:val="ff0000"/>
          <w:lang w:val="vi-VN"/>
        </w:rPr>
        <w:t xml:space="preserve"> </w:t>
      </w:r>
      <w:r>
        <w:rPr>
          <w:color w:val="000000" w:themeColor="text1"/>
        </w:rPr>
        <w:t xml:space="preserve">ngày 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275/2026/0036/VFI-BC.65.A</w:t>
      </w:r>
      <w:r>
        <w:rPr>
          <w:i/>
          <w:lang w:val="pt-BR"/>
        </w:rPr>
        <w:t xml:space="preserve"> ngày</w:t>
      </w:r>
      <w:r>
        <w:rPr>
          <w:i/>
          <w:lang w:val="pt-BR"/>
        </w:rPr>
        <w:t xml:space="preserve"> 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w:t>
            </w:r>
            <w:r>
              <w:rPr>
                <w:b/>
                <w:bCs/>
                <w:i/>
                <w:lang w:val="pt-BR"/>
              </w:rPr>
              <w:t xml:space="preserve">t</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03884" cy="2452666"/>
                      <wp:effectExtent l="0" t="0" r="0" b="0"/>
                      <wp:docPr id="6" name=""/>
                      <wp:cNvGraphicFramePr/>
                      <a:graphic xmlns:a="http://schemas.openxmlformats.org/drawingml/2006/main">
                        <a:graphicData uri="http://schemas.openxmlformats.org/drawingml/2006/picture">
                          <pic:pic xmlns:pic="http://schemas.openxmlformats.org/drawingml/2006/picture">
                            <pic:nvPicPr>
                              <pic:cNvPr id="251802633" name="" descr=""/>
                              <pic:cNvPicPr/>
                              <pic:nvPr/>
                            </pic:nvPicPr>
                            <pic:blipFill rotWithShape="1">
                              <a:blip r:embed="rId18"/>
                              <a:stretch/>
                            </pic:blipFill>
                            <pic:spPr bwMode="auto">
                              <a:xfrm rot="0" flipH="0" flipV="0">
                                <a:off x="0" y="0"/>
                                <a:ext cx="1803884" cy="24526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2.04pt;height:193.12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01942" cy="24764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43341" name=""/>
                              <pic:cNvPicPr>
                                <a:picLocks noChangeAspect="1"/>
                              </pic:cNvPicPr>
                              <pic:nvPr/>
                            </pic:nvPicPr>
                            <pic:blipFill rotWithShape="1">
                              <a:blip r:embed="rId19"/>
                              <a:stretch/>
                            </pic:blipFill>
                            <pic:spPr bwMode="auto">
                              <a:xfrm flipH="0" flipV="0">
                                <a:off x="0" y="0"/>
                                <a:ext cx="3301942" cy="2476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0.00pt;height:195.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tabs>
                <w:tab w:val="left" w:leader="none" w:pos="3112"/>
              </w:tabs>
              <w:spacing w:after="120"/>
              <w:ind/>
              <w:jc w:val="center"/>
              <w:rPr>
                <w:b/>
                <w:bCs/>
                <w:i/>
                <w:lang w:val="pt-BR"/>
              </w:rPr>
            </w:pPr>
            <w:r>
              <w:rPr>
                <w:b/>
                <w:bCs/>
                <w:i/>
                <w:lang w:val="pt-BR"/>
              </w:rPr>
              <w:t xml:space="preserve">                 Ban công</w:t>
            </w:r>
            <w:r>
              <w:rPr>
                <w:b/>
                <w:bCs/>
                <w:i/>
                <w:lang w:val="pt-BR"/>
              </w:rPr>
              <w:tab/>
            </w:r>
            <w:r>
              <w:rPr>
                <w:b/>
                <w:bCs/>
                <w:i/>
                <w:lang w:val="pt-BR"/>
              </w:rPr>
            </w:r>
            <w:r>
              <w:rPr>
                <w:b/>
                <w:bCs/>
                <w:i/>
                <w:lang w:val="pt-BR"/>
              </w:rPr>
            </w:r>
          </w:p>
        </w:tc>
        <w:tc>
          <w:tcPr>
            <w:tcBorders/>
            <w:tcW w:w="4757" w:type="dxa"/>
            <w:vAlign w:val="center"/>
            <w:textDirection w:val="lrTb"/>
            <w:noWrap w:val="false"/>
          </w:tcPr>
          <w:p w14:paraId="25337664">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783039" cy="2418730"/>
                      <wp:effectExtent l="0" t="0" r="0" b="0"/>
                      <wp:docPr id="8" name=""/>
                      <wp:cNvGraphicFramePr/>
                      <a:graphic xmlns:a="http://schemas.openxmlformats.org/drawingml/2006/main">
                        <a:graphicData uri="http://schemas.openxmlformats.org/drawingml/2006/picture">
                          <pic:pic xmlns:pic="http://schemas.openxmlformats.org/drawingml/2006/picture">
                            <pic:nvPicPr>
                              <pic:cNvPr id="2005799272" name="" descr=""/>
                              <pic:cNvPicPr/>
                              <pic:nvPr/>
                            </pic:nvPicPr>
                            <pic:blipFill rotWithShape="1">
                              <a:blip r:embed="rId20"/>
                              <a:stretch/>
                            </pic:blipFill>
                            <pic:spPr bwMode="auto">
                              <a:xfrm rot="0" flipH="0" flipV="0">
                                <a:off x="0" y="0"/>
                                <a:ext cx="1783038" cy="24187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0.40pt;height:190.45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68749" cy="24515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66454" name=""/>
                              <pic:cNvPicPr>
                                <a:picLocks noChangeAspect="1"/>
                              </pic:cNvPicPr>
                              <pic:nvPr/>
                            </pic:nvPicPr>
                            <pic:blipFill rotWithShape="1">
                              <a:blip r:embed="rId21"/>
                              <a:stretch/>
                            </pic:blipFill>
                            <pic:spPr bwMode="auto">
                              <a:xfrm flipH="0" flipV="0">
                                <a:off x="0" y="0"/>
                                <a:ext cx="3268749" cy="24515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7.38pt;height:193.0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11821" cy="2498211"/>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1811821" cy="24982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2.66pt;height:196.7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01376" cy="24760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09087" name=""/>
                              <pic:cNvPicPr>
                                <a:picLocks noChangeAspect="1"/>
                              </pic:cNvPicPr>
                              <pic:nvPr/>
                            </pic:nvPicPr>
                            <pic:blipFill rotWithShape="1">
                              <a:blip r:embed="rId23"/>
                              <a:stretch/>
                            </pic:blipFill>
                            <pic:spPr bwMode="auto">
                              <a:xfrm flipH="0" flipV="0">
                                <a:off x="0" y="0"/>
                                <a:ext cx="3301376" cy="2476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9.95pt;height:194.9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275/2026/0036/VFI-BC.65.A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7A253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67D3EC">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0985 763 084</w:t>
            </w:r>
            <w:r>
              <w:rPr>
                <w:sz w:val="22"/>
                <w:szCs w:val="22"/>
              </w:rPr>
              <w:t xml:space="preserve"> </w:t>
            </w:r>
            <w:r>
              <w:rPr>
                <w:sz w:val="22"/>
                <w:szCs w:val="22"/>
              </w:rPr>
              <w:br/>
              <w:t xml:space="preserve">(anh Nguyên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794D00A">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14889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B1E55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73B2EA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2789F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B65105">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6A1DB0">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EFE199">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A657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CA8FB4">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AE99B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95F4ACB">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4092186">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AFE20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71DC0F">
            <w:pPr>
              <w:pBdr/>
              <w:spacing w:line="276" w:lineRule="auto"/>
              <w:ind/>
              <w:rPr>
                <w:color w:val="000000"/>
                <w:sz w:val="22"/>
                <w:szCs w:val="22"/>
              </w:rPr>
            </w:pPr>
            <w:r>
              <w:rPr>
                <w:color w:val="000000"/>
                <w:sz w:val="22"/>
                <w:szCs w:val="22"/>
              </w:rPr>
              <w:t xml:space="preserve">Tính chất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8CE266">
            <w:pPr>
              <w:pBdr/>
              <w:tabs>
                <w:tab w:val="left" w:leader="none" w:pos="3288"/>
              </w:tabs>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Giao dịch bình thường trên thị trường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2EA5FA">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D74306">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CB684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hộ chung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A98E3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8C973C9">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E9E114">
            <w:pPr>
              <w:pBdr/>
              <w:spacing w:line="276" w:lineRule="auto"/>
              <w:ind/>
              <w:jc w:val="center"/>
              <w:rPr>
                <w:sz w:val="22"/>
                <w:szCs w:val="22"/>
                <w:highlight w:val="yellow"/>
              </w:rPr>
            </w:pPr>
            <w:r>
              <w:rPr>
                <w:color w:val="000000" w:themeColor="text1"/>
                <w:sz w:val="22"/>
                <w:szCs w:val="22"/>
                <w:highlight w:val="yellow"/>
              </w:rPr>
            </w:r>
            <w:r>
              <w:rPr>
                <w:rFonts w:ascii="Times New Roman" w:hAnsi="Times New Roman" w:eastAsia="Times New Roman" w:cs="Times New Roman"/>
                <w:color w:val="000000"/>
                <w:sz w:val="22"/>
              </w:rPr>
              <w:t xml:space="preserve">Tài sản là căn hộ chung tại tòa B, Tòa nhà chung cư cao tầng Sông Nhuệ</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2ECC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2587168">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52D219">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6C660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1E3C78">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 hộ</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DD986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góc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9421E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E378D6">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7C2D3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10-20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81720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36E62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0903F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Đông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DB637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44DED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29FEF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 phòng ngủ, 1 nhà vệ sinh,  phòng khách + nhà bếp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396481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B187E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Nội thất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156E1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Cơ bản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A4A0C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5D7335">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37815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89A30F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1B3FD3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FE2E2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44DAFF">
            <w:pPr>
              <w:pBdr/>
              <w:spacing w:line="276" w:lineRule="auto"/>
              <w:ind/>
              <w:jc w:val="center"/>
              <w:rPr>
                <w:sz w:val="22"/>
                <w:szCs w:val="22"/>
              </w:rPr>
            </w:pPr>
            <w:r>
              <w:rPr>
                <w:sz w:val="22"/>
                <w:szCs w:val="22"/>
              </w:rPr>
              <w:t xml:space="preserve">File ghi âm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44165" cy="205374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644164" cy="20537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20pt;height:161.7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6498" cy="1736245"/>
                      <wp:effectExtent l="0" t="0" r="0" b="0"/>
                      <wp:docPr id="13" name=""/>
                      <wp:cNvGraphicFramePr/>
                      <a:graphic xmlns:a="http://schemas.openxmlformats.org/drawingml/2006/main">
                        <a:graphicData uri="http://schemas.openxmlformats.org/drawingml/2006/picture">
                          <pic:pic xmlns:pic="http://schemas.openxmlformats.org/drawingml/2006/picture">
                            <pic:nvPicPr>
                              <pic:cNvPr id="964759009" name="" descr=""/>
                              <pic:cNvPicPr/>
                              <pic:nvPr/>
                            </pic:nvPicPr>
                            <pic:blipFill rotWithShape="1">
                              <a:blip r:embed="rId25"/>
                              <a:stretch/>
                            </pic:blipFill>
                            <pic:spPr bwMode="auto">
                              <a:xfrm rot="0" flipH="0" flipV="0">
                                <a:off x="0" y="0"/>
                                <a:ext cx="2686497" cy="17362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1.54pt;height:136.71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Hồng Phúc</w:t>
            </w:r>
            <w:r/>
          </w:p>
        </w:tc>
      </w:tr>
    </w:tbl>
    <w:p w14:paraId="37C82197">
      <w:pPr>
        <w:pBdr/>
        <w:shd w:val="nil" w:color="auto"/>
        <w:spacing/>
        <w:ind/>
        <w:rPr>
          <w:lang w:val="pt-BR"/>
        </w:rPr>
      </w:pPr>
      <w:r>
        <w:rPr>
          <w:b/>
          <w:bCs/>
          <w:iCs/>
          <w:highlight w:val="none"/>
          <w:lang w:val="pt-BR"/>
        </w:rPr>
      </w:r>
      <w:r>
        <w:rPr>
          <w:lang w:val="pt-BR"/>
        </w:rPr>
      </w:r>
      <w:r>
        <w:rPr>
          <w:lang w:val="pt-BR"/>
        </w:rPr>
      </w:r>
    </w:p>
    <w:p w14:paraId="3123A226" w14:textId="73AF49F0">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3931"/>
        <w:gridCol w:w="505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931"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056"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0985 763 084</w:t>
            </w:r>
            <w:r>
              <w:rPr>
                <w:sz w:val="22"/>
                <w:szCs w:val="22"/>
              </w:rPr>
              <w:t xml:space="preserve"> </w:t>
            </w:r>
            <w:r>
              <w:rPr>
                <w:sz w:val="22"/>
                <w:szCs w:val="22"/>
              </w:rPr>
              <w:br/>
              <w:t xml:space="preserve">(anh Nguyên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2.925.000.000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Tính chất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501838F1" w14:textId="0032D4FA">
            <w:pPr>
              <w:pBdr/>
              <w:tabs>
                <w:tab w:val="left" w:leader="none" w:pos="3288"/>
              </w:tabs>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Giao dịch bình thường trên thị trường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0EA95E6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00A8BE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4F1AC4B2" w14:textId="1D5D3AAF">
            <w:pPr>
              <w:pBdr/>
              <w:spacing w:line="276" w:lineRule="auto"/>
              <w:ind/>
              <w:jc w:val="center"/>
              <w:rPr>
                <w:sz w:val="22"/>
                <w:szCs w:val="22"/>
                <w:highlight w:val="yellow"/>
              </w:rPr>
            </w:pPr>
            <w:r>
              <w:rPr>
                <w:color w:val="000000" w:themeColor="text1"/>
                <w:sz w:val="22"/>
                <w:szCs w:val="22"/>
                <w:highlight w:val="yellow"/>
              </w:rPr>
            </w:r>
            <w:r>
              <w:rPr>
                <w:rFonts w:ascii="Times New Roman" w:hAnsi="Times New Roman" w:eastAsia="Times New Roman" w:cs="Times New Roman"/>
                <w:color w:val="000000"/>
                <w:sz w:val="22"/>
              </w:rPr>
              <w:t xml:space="preserve">Tài sản là căn hộ chung tại tòa B, Tòa nhà chung cư cao tầng Sông Nhuệ</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219C7A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224D60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7EE100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10-20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D5B8F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2B339E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2CDBBE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w:t>
            </w:r>
            <w:r/>
          </w:p>
        </w:tc>
      </w:tr>
      <w:tr>
        <w:trPr>
          <w:trHeight w:val="48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DF32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7E1689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638A36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AD2E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04D5A9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1A33B9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4D9C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0C601C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0516B0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8DCA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1DD08D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51EE2A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14:paraId="70FCDDC6" w14:textId="77777777">
            <w:pPr>
              <w:pBdr/>
              <w:spacing w:line="276" w:lineRule="auto"/>
              <w:ind/>
              <w:jc w:val="center"/>
              <w:rPr>
                <w:sz w:val="22"/>
                <w:szCs w:val="22"/>
              </w:rPr>
            </w:pPr>
            <w:r>
              <w:rPr>
                <w:sz w:val="22"/>
                <w:szCs w:val="22"/>
              </w:rPr>
              <w:t xml:space="preserve">File ghi âm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A2B14C8">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54665" cy="207896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854664" cy="20789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78pt;height:163.7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26040" cy="20981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809363837" name="" descr=""/>
                              <pic:cNvPicPr/>
                              <pic:nvPr/>
                            </pic:nvPicPr>
                            <pic:blipFill rotWithShape="1">
                              <a:blip r:embed="rId27"/>
                              <a:stretch/>
                            </pic:blipFill>
                            <pic:spPr bwMode="auto">
                              <a:xfrm rot="0" flipH="0" flipV="0">
                                <a:off x="0" y="0"/>
                                <a:ext cx="2426038" cy="2098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1.03pt;height:165.21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Hồng Phúc</w:t>
            </w:r>
            <w:r/>
          </w:p>
        </w:tc>
      </w:tr>
    </w:tbl>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7A253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67D3EC">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0373668882</w:t>
            </w:r>
            <w:r>
              <w:rPr>
                <w:sz w:val="22"/>
                <w:szCs w:val="22"/>
              </w:rPr>
              <w:t xml:space="preserve"> </w:t>
            </w:r>
            <w:r>
              <w:rPr>
                <w:sz w:val="22"/>
                <w:szCs w:val="22"/>
              </w:rPr>
              <w:br/>
              <w:t xml:space="preserve">(anh 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794D00A">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14889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B1E55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73B2EA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2.925.000.000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2789F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B65105">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6A1DB0">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EFE199">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A657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CA8FB4">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AE99B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95F4ACB">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4092186">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AFE20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71DC0F">
            <w:pPr>
              <w:pBdr/>
              <w:spacing w:line="276" w:lineRule="auto"/>
              <w:ind/>
              <w:rPr>
                <w:color w:val="000000"/>
                <w:sz w:val="22"/>
                <w:szCs w:val="22"/>
              </w:rPr>
            </w:pPr>
            <w:r>
              <w:rPr>
                <w:color w:val="000000"/>
                <w:sz w:val="22"/>
                <w:szCs w:val="22"/>
              </w:rPr>
              <w:t xml:space="preserve">Tính chất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8CE266">
            <w:pPr>
              <w:pBdr/>
              <w:tabs>
                <w:tab w:val="left" w:leader="none" w:pos="3288"/>
              </w:tabs>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Giao dịch bình thường trên thị trường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2EA5FA">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D74306">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CB684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hộ chung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A98E3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8C973C9">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E9E114">
            <w:pPr>
              <w:pBdr/>
              <w:spacing w:line="276" w:lineRule="auto"/>
              <w:ind/>
              <w:jc w:val="center"/>
              <w:rPr>
                <w:sz w:val="22"/>
                <w:szCs w:val="22"/>
                <w:highlight w:val="yellow"/>
              </w:rPr>
            </w:pPr>
            <w:r>
              <w:rPr>
                <w:color w:val="000000" w:themeColor="text1"/>
                <w:sz w:val="22"/>
                <w:szCs w:val="22"/>
                <w:highlight w:val="yellow"/>
              </w:rPr>
            </w:r>
            <w:r>
              <w:rPr>
                <w:rFonts w:ascii="Times New Roman" w:hAnsi="Times New Roman" w:eastAsia="Times New Roman" w:cs="Times New Roman"/>
                <w:color w:val="000000"/>
                <w:sz w:val="22"/>
              </w:rPr>
              <w:t xml:space="preserve">Tài sản là căn hộ chung tại tòa B, Tòa nhà chung cư cao tầng Sông Nhuệ</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2ECC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2587168">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52D219">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6C660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1E3C78">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 hộ</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DD986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góc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9421E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E378D6">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7C2D3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14-16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81720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36E62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0903F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Đông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DB637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44DED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29FEF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 phòng ngủ, 1 nhà vệ sinh,  phòng khách + nhà bếp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396481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B187E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Nội thất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156E1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Cơ bản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A4A0C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5D7335">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37815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89A30F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1B3FD3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FE2E2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70688" cy="3143786"/>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070688" cy="31437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0.53pt;height:247.5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9765" cy="3515597"/>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559764" cy="35155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7.78pt;height:276.8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FB04564">
            <w:pPr>
              <w:pBdr/>
              <w:spacing/>
              <w:ind/>
              <w:jc w:val="center"/>
              <w:rPr/>
            </w:pPr>
            <w:r>
              <w:rPr>
                <w:highlight w:val="none"/>
              </w:rPr>
            </w:r>
            <w:r>
              <w:rPr>
                <w:highlight w:val="none"/>
              </w:rPr>
            </w:r>
            <w:r/>
          </w:p>
          <w:p w14:paraId="292035BC">
            <w:pPr>
              <w:pBdr/>
              <w:spacing/>
              <w:ind/>
              <w:jc w:val="center"/>
              <w:rPr>
                <w:highlight w:val="none"/>
              </w:rPr>
            </w:pPr>
            <w:r>
              <w:rPr>
                <w:highlight w:val="none"/>
              </w:rPr>
            </w:r>
            <w:r>
              <w:rPr>
                <w:highlight w:val="none"/>
              </w:rPr>
            </w:r>
            <w:r>
              <w:rPr>
                <w:highlight w:val="none"/>
              </w:rPr>
            </w:r>
          </w:p>
          <w:p w14:paraId="1C2FAD68">
            <w:pPr>
              <w:pBdr/>
              <w:spacing/>
              <w:ind/>
              <w:jc w:val="center"/>
              <w:rPr>
                <w:highlight w:val="none"/>
              </w:rPr>
            </w:pPr>
            <w:r>
              <w:rPr>
                <w:highlight w:val="none"/>
              </w:rPr>
            </w:r>
            <w:r>
              <w:rPr>
                <w:highlight w:val="none"/>
              </w:rPr>
            </w:r>
            <w:r>
              <w:rPr>
                <w:highlight w:val="none"/>
              </w:rPr>
            </w:r>
          </w:p>
          <w:p w14:paraId="1A758FB9">
            <w:pPr>
              <w:pBdr/>
              <w:spacing/>
              <w:ind/>
              <w:jc w:val="center"/>
              <w:rPr>
                <w:highlight w:val="none"/>
              </w:rPr>
            </w:pPr>
            <w:r>
              <w:rPr>
                <w:highlight w:val="none"/>
              </w:rPr>
            </w:r>
            <w:r>
              <w:rPr>
                <w:highlight w:val="none"/>
              </w:rPr>
            </w:r>
            <w:r>
              <w:rPr>
                <w:highlight w:val="none"/>
              </w:rPr>
            </w:r>
          </w:p>
          <w:p w14:paraId="32415002">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Nguyễn Thị Hồng Phúc</w:t>
            </w:r>
            <w:r>
              <w:rPr>
                <w:highlight w:val="none"/>
              </w:rPr>
            </w:r>
            <w:r>
              <w:rPr>
                <w:highlight w:val="none"/>
              </w:rP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275</cp:revision>
  <dcterms:created xsi:type="dcterms:W3CDTF">2025-09-15T09:58:00Z</dcterms:created>
  <dcterms:modified xsi:type="dcterms:W3CDTF">2026-01-10T01:57:41Z</dcterms:modified>
</cp:coreProperties>
</file>