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left"/>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921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921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275/2026/0139/VFI-CT.63.A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Lại Thị Hồng Gấm</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tài sản gắn liền với đất tại thửa đất số: 251, tờ bản đồ số: 28, có địa chỉ: Khu Văn Phú, phường Phú La, quận Hà Đông, thành phố Hà Nội (nay là phường Kiến Hưng, thành phố Hà Nội) theo Giấy chứng</w:t>
                            </w:r>
                            <w:r>
                              <w:rPr>
                                <w:color w:val="000000"/>
                              </w:rPr>
                              <w:t xml:space="preserve"> nhậ</w:t>
                            </w:r>
                            <w:r>
                              <w:rPr>
                                <w:color w:val="000000"/>
                              </w:rPr>
                              <w:t xml:space="preserve">n quyền sử dụng đất, quyền sở hữu nhà ở và tài sản gắn liền với đất  số: AA 00671595, Số vào sổ cấp GCN: CN-81 do Chi nhánh Văn phòng Đăng ký Đất đai Hà Nội - Quận Hà Đông cấp ngày 01/4/2026; chủ sử dụng đất là Ông Nguyễn Hải Long và vợ là Bà Trần Thị Vân.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2.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275/2026/0139/VFI-CT.63.A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Lại Thị Hồng Gấm</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và tài sản gắn liền với đất tại thửa đất số: 251, tờ bản đồ số: 28, có địa chỉ: Khu Văn Phú, phường Phú La, quận Hà Đông, thành phố Hà Nội (nay là phường Kiến Hưng, thành phố Hà Nội) theo Giấy chứng</w:t>
                      </w:r>
                      <w:r>
                        <w:rPr>
                          <w:color w:val="000000"/>
                        </w:rPr>
                        <w:t xml:space="preserve"> nhậ</w:t>
                      </w:r>
                      <w:r>
                        <w:rPr>
                          <w:color w:val="000000"/>
                        </w:rPr>
                        <w:t xml:space="preserve">n quyền sử dụng đất, quyền sở hữu nhà ở và tài sản gắn liền với đất  số: AA 00671595, Số vào sổ cấp GCN: CN-81 do Chi nhánh Văn phòng Đăng ký Đất đai Hà Nội - Quận Hà Đông cấp ngày 01/4/2026; chủ sử dụng đất là Ông Nguyễn Hải Long và vợ là Bà Trần Thị Vân.</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8"/>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23</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8"/>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24-31</w:t>
            </w:r>
            <w:r>
              <w:rPr>
                <w:b/>
                <w:bCs/>
              </w:rPr>
            </w:r>
            <w:r>
              <w:rPr>
                <w:b/>
                <w:bCs/>
              </w:rPr>
            </w:r>
          </w:p>
        </w:tc>
      </w:tr>
    </w:tbl>
    <w:p w14:paraId="65E81109"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7"/>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7"/>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32A9B668">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19522"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2E1C86B9">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08D0C323">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68D84A9C">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32DB95A5">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8"/>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ffffff" w:fill="ffffff"/>
            <w:tcBorders/>
            <w:tcMar>
              <w:left w:w="108" w:type="dxa"/>
              <w:top w:w="0" w:type="dxa"/>
              <w:right w:w="108" w:type="dxa"/>
              <w:bottom w:w="0" w:type="dxa"/>
            </w:tcMar>
            <w:tcW w:w="3996" w:type="dxa"/>
            <w:textDirection w:val="lrTb"/>
            <w:noWrap w:val="false"/>
          </w:tcPr>
          <w:p w14:paraId="0B713E31">
            <w:pPr>
              <w:pStyle w:val="1027"/>
              <w:pBdr/>
              <w:spacing w:after="60"/>
              <w:ind/>
              <w:rPr>
                <w:color w:val="000000" w:themeColor="text1"/>
                <w:sz w:val="24"/>
                <w:szCs w:val="24"/>
              </w:rPr>
            </w:pPr>
            <w:r>
              <w:rPr>
                <w:rStyle w:val="1026"/>
                <w:rFonts w:ascii="Times New Roman" w:hAnsi="Times New Roman"/>
                <w:color w:val="000000" w:themeColor="text1"/>
                <w:lang w:val="pt-BR"/>
              </w:rPr>
              <w:t xml:space="preserve">Số</w:t>
            </w:r>
            <w:r>
              <w:rPr>
                <w:rStyle w:val="1026"/>
                <w:rFonts w:ascii="Times New Roman" w:hAnsi="Times New Roman"/>
                <w:color w:val="000000" w:themeColor="text1"/>
                <w:lang w:val="pt-BR"/>
              </w:rPr>
              <w:t xml:space="preserve">: </w:t>
            </w:r>
            <w:r>
              <w:rPr>
                <w:rStyle w:val="1026"/>
                <w:rFonts w:ascii="Times New Roman" w:hAnsi="Times New Roman"/>
                <w:color w:val="000000" w:themeColor="text1"/>
                <w:lang w:val="pt-BR"/>
              </w:rPr>
              <w:t xml:space="preserve">275/2026/0140/VFI-CT.63.A</w:t>
            </w:r>
            <w:r>
              <w:rPr>
                <w:color w:val="000000" w:themeColor="text1"/>
                <w:sz w:val="24"/>
                <w:szCs w:val="24"/>
              </w:rPr>
            </w:r>
            <w:r>
              <w:rPr>
                <w:color w:val="000000" w:themeColor="text1"/>
                <w:sz w:val="24"/>
                <w:szCs w:val="24"/>
              </w:rPr>
            </w:r>
          </w:p>
        </w:tc>
        <w:tc>
          <w:tcPr>
            <w:shd w:val="clear" w:color="ffffff" w:fill="ffffff"/>
            <w:tcBorders/>
            <w:tcMar>
              <w:left w:w="108" w:type="dxa"/>
              <w:top w:w="0" w:type="dxa"/>
              <w:right w:w="108" w:type="dxa"/>
              <w:bottom w:w="0" w:type="dxa"/>
            </w:tcMar>
            <w:tcW w:w="5536" w:type="dxa"/>
            <w:textDirection w:val="lrTb"/>
            <w:noWrap w:val="false"/>
          </w:tcPr>
          <w:p w14:paraId="6B180F19">
            <w:pPr>
              <w:pStyle w:val="1027"/>
              <w:pBdr/>
              <w:spacing w:after="60"/>
              <w:ind w:right="-56"/>
              <w:jc w:val="right"/>
              <w:rPr>
                <w:color w:val="000000" w:themeColor="text1"/>
                <w:sz w:val="24"/>
                <w:szCs w:val="24"/>
                <w:lang w:val="vi-VN"/>
              </w:rPr>
            </w:pPr>
            <w:r>
              <w:rPr>
                <w:rStyle w:val="1026"/>
                <w:rFonts w:ascii="Times New Roman" w:hAnsi="Times New Roman"/>
                <w:i/>
                <w:color w:val="auto"/>
              </w:rPr>
              <w:t xml:space="preserve">TP. </w:t>
            </w:r>
            <w:r>
              <w:rPr>
                <w:rStyle w:val="1026"/>
                <w:rFonts w:ascii="Times New Roman" w:hAnsi="Times New Roman"/>
                <w:i/>
                <w:color w:val="auto"/>
              </w:rPr>
              <w:t xml:space="preserve">Hà</w:t>
            </w:r>
            <w:r>
              <w:rPr>
                <w:rStyle w:val="1026"/>
                <w:rFonts w:ascii="Times New Roman" w:hAnsi="Times New Roman"/>
                <w:i/>
                <w:color w:val="auto"/>
              </w:rPr>
              <w:t xml:space="preserve"> </w:t>
            </w:r>
            <w:r>
              <w:rPr>
                <w:rStyle w:val="1026"/>
                <w:rFonts w:ascii="Times New Roman" w:hAnsi="Times New Roman"/>
                <w:i/>
                <w:color w:val="auto"/>
              </w:rPr>
              <w:t xml:space="preserve">Nội</w:t>
            </w:r>
            <w:r>
              <w:rPr>
                <w:rStyle w:val="1026"/>
                <w:rFonts w:ascii="Times New Roman" w:hAnsi="Times New Roman"/>
                <w:i/>
                <w:color w:val="auto"/>
                <w:lang w:val="vi-VN"/>
              </w:rPr>
              <w:t xml:space="preserve">, </w:t>
            </w:r>
            <w:r>
              <w:rPr>
                <w:rStyle w:val="1026"/>
                <w:rFonts w:ascii="Times New Roman" w:hAnsi="Times New Roman"/>
                <w:i/>
                <w:color w:val="000000" w:themeColor="text1"/>
                <w:lang w:val="vi-VN"/>
              </w:rPr>
              <w:t xml:space="preserve">ngày 20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7"/>
        <w:pBdr/>
        <w:spacing w:after="120" w:before="200" w:line="288" w:lineRule="auto"/>
        <w:ind/>
        <w:jc w:val="center"/>
        <w:rPr>
          <w:rStyle w:val="1026"/>
          <w:rFonts w:ascii="Times New Roman" w:hAnsi="Times New Roman"/>
          <w:b/>
          <w:bCs/>
          <w:color w:val="auto"/>
          <w:sz w:val="30"/>
          <w:szCs w:val="30"/>
          <w:highlight w:val="none"/>
          <w:lang w:val="vi-VN"/>
        </w:rPr>
      </w:pPr>
      <w:r>
        <w:rPr>
          <w:rStyle w:val="1026"/>
          <w:rFonts w:ascii="Times New Roman" w:hAnsi="Times New Roman"/>
          <w:b/>
          <w:bCs/>
          <w:color w:val="auto"/>
          <w:sz w:val="30"/>
          <w:szCs w:val="30"/>
          <w:lang w:val="vi-VN"/>
        </w:rPr>
        <w:t xml:space="preserve">CHỨNG THƯ THẨM ĐỊNH GIÁ</w:t>
      </w:r>
      <w:r>
        <w:rPr>
          <w:rStyle w:val="1026"/>
          <w:rFonts w:ascii="Times New Roman" w:hAnsi="Times New Roman"/>
          <w:b/>
          <w:bCs/>
          <w:color w:val="auto"/>
          <w:sz w:val="30"/>
          <w:szCs w:val="30"/>
          <w:lang w:val="vi-VN"/>
        </w:rPr>
      </w:r>
      <w:r>
        <w:rPr>
          <w:rStyle w:val="1026"/>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Lại Thị Hồng Gấm</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275/2026/0139/VFI-HĐTĐ.63.A</w:t>
      </w:r>
      <w:r>
        <w:rPr>
          <w:spacing w:val="-4"/>
          <w:lang w:val="vi-VN"/>
        </w:rPr>
        <w:t xml:space="preserve"> ký ngày </w:t>
      </w:r>
      <w:r>
        <w:rPr>
          <w:color w:val="000000" w:themeColor="text1"/>
          <w:spacing w:val="-4"/>
        </w:rPr>
        <w:t xml:space="preserve">16 tháng 1 năm 2026</w:t>
      </w:r>
      <w:r>
        <w:rPr>
          <w:spacing w:val="-4"/>
          <w:lang w:val="vi-VN"/>
        </w:rPr>
        <w:t xml:space="preserve"> </w:t>
      </w:r>
      <w:r>
        <w:rPr>
          <w:spacing w:val="-4"/>
          <w:lang w:val="vi-VN"/>
        </w:rPr>
        <w:t xml:space="preserve">giữa </w:t>
      </w:r>
      <w:r>
        <w:rPr>
          <w:color w:val="000000" w:themeColor="text1"/>
          <w:spacing w:val="-4"/>
        </w:rPr>
        <w:t xml:space="preserve">Bà Lại Thị Hồng Gấm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275/2026/0139/VFI-BC.63.A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LẠI THỊ HỒNG GẤM </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010191000151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1991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Tổ dân phố Tháp Đại Mỗ, Nam Từ Liêm, Hà Nội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1294/TB-BTC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251, tờ bản đồ số: 28, có địa chỉ: Khu Văn Phú, phường Phú La, quận Hà Đông, thành phố Hà Nội (nay là phường Kiến Hưng, thành phố Hà Nội) theo Giấy chứng</w:t>
      </w:r>
      <w:r>
        <w:rPr>
          <w:color w:val="000000" w:themeColor="text1"/>
        </w:rPr>
        <w:t xml:space="preserve"> nhậ</w:t>
      </w:r>
      <w:r>
        <w:rPr>
          <w:color w:val="000000" w:themeColor="text1"/>
        </w:rPr>
        <w:t xml:space="preserve">n quyền sử dụng đất, quyền sở hữu nhà ở và tài sản gắn liền với đất  số: AA 00671595, Số vào sổ cấp GCN: CN-81 do Chi nhánh Văn phòng Đăng ký Đất đai Hà Nội - Quận Hà Đông cấp ngày 01/4/2026; chủ sử dụng đất là Ông Nguyễn Hải Long và vợ là Bà Trần Thị Vân.</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99"/>
        <w:gridCol w:w="982"/>
        <w:gridCol w:w="667"/>
        <w:gridCol w:w="1472"/>
        <w:gridCol w:w="2770"/>
        <w:gridCol w:w="1077"/>
        <w:gridCol w:w="1758"/>
      </w:tblGrid>
      <w:tr>
        <w:trPr>
          <w:trHeight w:val="20"/>
        </w:trPr>
        <w:tc>
          <w:tcPr>
            <w:shd w:val="clear" w:color="000000" w:fill="ffffff"/>
            <w:tcBorders/>
            <w:tcW w:w="799"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1648"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472"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770"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077" w:type="dxa"/>
            <w:vAlign w:val="center"/>
            <w:textDirection w:val="lrTb"/>
            <w:noWrap w:val="false"/>
          </w:tcPr>
          <w:p w14:paraId="38CC3582">
            <w:pPr>
              <w:pBdr/>
              <w:spacing/>
              <w:ind/>
              <w:jc w:val="center"/>
              <w:rPr>
                <w:b/>
                <w:bCs/>
              </w:rPr>
            </w:pPr>
            <w:r>
              <w:rPr>
                <w:b/>
                <w:bCs/>
              </w:rPr>
              <w:t xml:space="preserve">CLCL (%)</w:t>
            </w:r>
            <w:r>
              <w:rPr>
                <w:b/>
                <w:bCs/>
              </w:rPr>
            </w:r>
            <w:r>
              <w:rPr>
                <w:b/>
                <w:bCs/>
              </w:rPr>
            </w:r>
          </w:p>
        </w:tc>
        <w:tc>
          <w:tcPr>
            <w:shd w:val="clear" w:color="000000" w:fill="ffffff"/>
            <w:tcBorders/>
            <w:tcW w:w="1758"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99"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5890" w:type="dxa"/>
            <w:vAlign w:val="center"/>
            <w:textDirection w:val="lrTb"/>
            <w:noWrap w:val="false"/>
          </w:tcPr>
          <w:p w14:paraId="6202BB86" w14:textId="47F5533D">
            <w:pPr>
              <w:pBdr/>
              <w:spacing w:after="40" w:before="40" w:line="288" w:lineRule="auto"/>
              <w:ind/>
              <w:jc w:val="both"/>
              <w:rPr>
                <w:b/>
                <w:bCs/>
              </w:rPr>
            </w:pPr>
            <w:r>
              <w:rPr>
                <w:color w:val="000000"/>
              </w:rPr>
              <w:t xml:space="preserve">Quyền sử dụng đất và tài sản gắn liền với đất tại thửa đất số: 251, tờ bản đồ số: 28, có địa chỉ: Khu Văn Phú, phường Phú La, quận Hà Đông, thành phố Hà Nội (nay là phường Kiến Hưng, thành phố Hà Nội) theo Giấy chứng</w:t>
            </w:r>
            <w:r>
              <w:rPr>
                <w:color w:val="000000"/>
              </w:rPr>
              <w:t xml:space="preserve"> nhậ</w:t>
            </w:r>
            <w:r>
              <w:rPr>
                <w:color w:val="000000"/>
              </w:rPr>
              <w:t xml:space="preserve">n quyền sử dụng đất, quyền sở hữu nhà ở và tài sản gắn liền với đất  số: AA 00671595, Số vào sổ cấp GCN: CN-81 do Chi nhánh Văn phòng Đăng ký Đất đai Hà Nội - Quận Hà Đông cấp ngày 01/4/2025; chủ sử dụng đất là Ông Nguyễn Hải Long và vợ là Bà Trần Thị Vân.</w:t>
            </w:r>
            <w:r>
              <w:rPr>
                <w:b/>
                <w:bCs/>
              </w:rPr>
              <w:t xml:space="preserve">.</w:t>
            </w:r>
            <w:r>
              <w:rPr>
                <w:b/>
                <w:bCs/>
              </w:rPr>
            </w:r>
            <w:r>
              <w:rPr>
                <w:b/>
                <w:bCs/>
              </w:rPr>
            </w:r>
          </w:p>
        </w:tc>
        <w:tc>
          <w:tcPr>
            <w:shd w:val="clear" w:color="000000" w:fill="ffffff"/>
            <w:tcBorders/>
            <w:tcW w:w="1077" w:type="dxa"/>
            <w:vAlign w:val="center"/>
            <w:textDirection w:val="lrTb"/>
            <w:noWrap w:val="false"/>
          </w:tcPr>
          <w:p w14:paraId="3D2D0406">
            <w:pPr>
              <w:pBdr/>
              <w:spacing/>
              <w:ind/>
              <w:rPr>
                <w:b/>
                <w:bCs/>
              </w:rPr>
            </w:pPr>
            <w:r>
              <w:rPr>
                <w:b/>
                <w:bCs/>
              </w:rPr>
            </w:r>
            <w:r>
              <w:rPr>
                <w:b/>
                <w:bCs/>
              </w:rPr>
            </w:r>
            <w:r>
              <w:rPr>
                <w:b/>
                <w:bCs/>
              </w:rPr>
            </w:r>
          </w:p>
        </w:tc>
        <w:tc>
          <w:tcPr>
            <w:shd w:val="clear" w:color="000000" w:fill="ffffff"/>
            <w:tcBorders/>
            <w:tcW w:w="1758"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99" w:type="dxa"/>
            <w:vAlign w:val="center"/>
            <w:textDirection w:val="lrTb"/>
            <w:noWrap w:val="false"/>
          </w:tcPr>
          <w:p w14:paraId="0A390AA8" w14:textId="0DD0F612">
            <w:pPr>
              <w:pBdr/>
              <w:spacing w:after="40" w:before="40" w:line="288" w:lineRule="auto"/>
              <w:ind/>
              <w:jc w:val="center"/>
              <w:rPr/>
            </w:pPr>
            <w:r>
              <w:rPr>
                <w:b/>
                <w:bCs/>
              </w:rPr>
              <w:t xml:space="preserve">1</w:t>
            </w:r>
            <w:r/>
          </w:p>
        </w:tc>
        <w:tc>
          <w:tcPr>
            <w:gridSpan w:val="2"/>
            <w:shd w:val="clear" w:color="000000" w:fill="ffffff"/>
            <w:tcBorders/>
            <w:tcW w:w="1648" w:type="dxa"/>
            <w:vAlign w:val="center"/>
            <w:textDirection w:val="lrTb"/>
            <w:noWrap w:val="false"/>
          </w:tcPr>
          <w:p w14:paraId="495A8C53" w14:textId="30B5F9FB">
            <w:pPr>
              <w:pBdr/>
              <w:spacing w:after="40" w:before="40" w:line="288" w:lineRule="auto"/>
              <w:ind/>
              <w:rPr/>
            </w:pPr>
            <w:r>
              <w:rPr>
                <w:b/>
                <w:bCs/>
              </w:rPr>
              <w:t xml:space="preserve">Đất ở tại đô thị</w:t>
            </w:r>
            <w:r/>
          </w:p>
        </w:tc>
        <w:tc>
          <w:tcPr>
            <w:tcBorders/>
            <w:tcW w:w="147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50</w:t>
            </w:r>
            <w:r>
              <w:rPr>
                <w:color w:val="000000"/>
              </w:rPr>
            </w:r>
            <w:r>
              <w:rPr>
                <w:color w:val="000000"/>
              </w:rPr>
            </w:r>
          </w:p>
        </w:tc>
        <w:tc>
          <w:tcPr>
            <w:shd w:val="clear" w:color="000000" w:fill="ffffff"/>
            <w:tcBorders/>
            <w:tcW w:w="2770" w:type="dxa"/>
            <w:vAlign w:val="center"/>
            <w:textDirection w:val="lrTb"/>
            <w:noWrap w:val="false"/>
          </w:tcPr>
          <w:p w14:paraId="17452EA0" w14:textId="137C4E73">
            <w:pPr>
              <w:pBdr/>
              <w:spacing w:after="40" w:before="40" w:line="288" w:lineRule="auto"/>
              <w:ind/>
              <w:jc w:val="center"/>
              <w:rPr/>
            </w:pPr>
            <w:r>
              <w:rPr>
                <w:color w:val="000000" w:themeColor="text1"/>
              </w:rPr>
              <w:t xml:space="preserve">330.000.000</w:t>
            </w:r>
            <w:r/>
          </w:p>
        </w:tc>
        <w:tc>
          <w:tcPr>
            <w:shd w:val="clear" w:color="000000" w:fill="ffffff"/>
            <w:tcBorders/>
            <w:tcW w:w="1077" w:type="dxa"/>
            <w:vAlign w:val="center"/>
            <w:textDirection w:val="lrTb"/>
            <w:noWrap w:val="false"/>
          </w:tcPr>
          <w:p w14:paraId="26EA4F46">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1758" w:type="dxa"/>
            <w:vAlign w:val="center"/>
            <w:textDirection w:val="lrTb"/>
            <w:noWrap w:val="false"/>
          </w:tcPr>
          <w:p w14:paraId="541A62B3" w14:textId="4458BA38">
            <w:pPr>
              <w:pBdr/>
              <w:spacing w:after="40" w:before="40" w:line="288" w:lineRule="auto"/>
              <w:ind/>
              <w:jc w:val="center"/>
              <w:rPr/>
            </w:pPr>
            <w:r>
              <w:rPr>
                <w:color w:val="000000" w:themeColor="text1"/>
              </w:rPr>
              <w:t xml:space="preserve">16.500.000.000</w:t>
            </w:r>
            <w:r/>
          </w:p>
        </w:tc>
      </w:tr>
      <w:tr>
        <w:trPr>
          <w:trHeight w:val="20"/>
        </w:trPr>
        <w:tc>
          <w:tcPr>
            <w:shd w:val="clear" w:color="000000" w:fill="ffffff"/>
            <w:tcBorders/>
            <w:tcW w:w="799" w:type="dxa"/>
            <w:vAlign w:val="center"/>
            <w:vMerge w:val="restart"/>
            <w:textDirection w:val="lrTb"/>
            <w:noWrap w:val="false"/>
          </w:tcPr>
          <w:p w14:paraId="40DBAFF8">
            <w:pPr>
              <w:pBdr/>
              <w:spacing w:after="40" w:before="40" w:line="288" w:lineRule="auto"/>
              <w:ind/>
              <w:jc w:val="center"/>
              <w:rPr>
                <w:b/>
                <w:bCs/>
              </w:rPr>
            </w:pPr>
            <w:r>
              <w:rPr>
                <w:b/>
                <w:bCs/>
              </w:rPr>
              <w:t xml:space="preserve">2</w:t>
            </w:r>
            <w:r>
              <w:rPr>
                <w:b/>
                <w:bCs/>
              </w:rPr>
            </w:r>
            <w:r>
              <w:rPr>
                <w:b/>
                <w:bCs/>
              </w:rPr>
            </w:r>
          </w:p>
        </w:tc>
        <w:tc>
          <w:tcPr>
            <w:gridSpan w:val="2"/>
            <w:shd w:val="clear" w:color="000000" w:fill="ffffff"/>
            <w:tcBorders/>
            <w:tcW w:w="1648" w:type="dxa"/>
            <w:vAlign w:val="center"/>
            <w:vMerge w:val="restart"/>
            <w:textDirection w:val="lrTb"/>
            <w:noWrap w:val="false"/>
          </w:tcPr>
          <w:p w14:paraId="252B2AE7">
            <w:pPr>
              <w:pBdr/>
              <w:spacing w:after="40" w:before="40" w:line="288" w:lineRule="auto"/>
              <w:ind/>
              <w:rPr>
                <w:b/>
                <w:bCs/>
              </w:rPr>
            </w:pPr>
            <w:r>
              <w:rPr>
                <w:b/>
                <w:bCs/>
              </w:rPr>
              <w:t xml:space="preserve">Công trình xây dựng gắn liền với đất (nhà 6 tầng + 1 tum)</w:t>
            </w:r>
            <w:r>
              <w:rPr>
                <w:b/>
                <w:bCs/>
              </w:rPr>
            </w:r>
            <w:r>
              <w:rPr>
                <w:b/>
                <w:bCs/>
              </w:rPr>
            </w:r>
          </w:p>
        </w:tc>
        <w:tc>
          <w:tcPr>
            <w:tcBorders/>
            <w:tcW w:w="1472" w:type="dxa"/>
            <w:vAlign w:val="center"/>
            <w:vMerge w:val="restart"/>
            <w:textDirection w:val="lrTb"/>
            <w:noWrap/>
          </w:tcPr>
          <w:p w14:paraId="769CB626">
            <w:pPr>
              <w:pBdr/>
              <w:spacing w:after="40" w:before="40" w:line="288" w:lineRule="auto"/>
              <w:ind/>
              <w:jc w:val="center"/>
              <w:rPr>
                <w:color w:val="000000" w:themeColor="text1"/>
              </w:rPr>
            </w:pPr>
            <w:r>
              <w:rPr>
                <w:color w:val="000000" w:themeColor="text1"/>
              </w:rPr>
              <w:t xml:space="preserve">341,9</w:t>
            </w:r>
            <w:r>
              <w:rPr>
                <w:color w:val="000000" w:themeColor="text1"/>
              </w:rPr>
            </w:r>
            <w:r>
              <w:rPr>
                <w:color w:val="000000" w:themeColor="text1"/>
              </w:rPr>
            </w:r>
          </w:p>
        </w:tc>
        <w:tc>
          <w:tcPr>
            <w:shd w:val="clear" w:color="000000" w:fill="ffffff"/>
            <w:tcBorders/>
            <w:tcW w:w="2770" w:type="dxa"/>
            <w:vAlign w:val="center"/>
            <w:vMerge w:val="restart"/>
            <w:textDirection w:val="lrTb"/>
            <w:noWrap w:val="false"/>
          </w:tcPr>
          <w:p w14:paraId="3A98C1D2">
            <w:pPr>
              <w:pBdr/>
              <w:spacing w:after="40" w:before="40" w:line="288" w:lineRule="auto"/>
              <w:ind/>
              <w:jc w:val="center"/>
              <w:rPr>
                <w:color w:val="000000" w:themeColor="text1"/>
              </w:rPr>
            </w:pPr>
            <w:r>
              <w:rPr>
                <w:color w:val="000000" w:themeColor="text1"/>
              </w:rPr>
              <w:t xml:space="preserve">7.949.200</w:t>
            </w:r>
            <w:r>
              <w:rPr>
                <w:color w:val="000000" w:themeColor="text1"/>
              </w:rPr>
            </w:r>
            <w:r>
              <w:rPr>
                <w:color w:val="000000" w:themeColor="text1"/>
              </w:rPr>
            </w:r>
          </w:p>
        </w:tc>
        <w:tc>
          <w:tcPr>
            <w:shd w:val="clear" w:color="000000" w:fill="ffffff"/>
            <w:tcBorders/>
            <w:tcW w:w="1077" w:type="dxa"/>
            <w:vAlign w:val="center"/>
            <w:textDirection w:val="lrTb"/>
            <w:noWrap w:val="false"/>
          </w:tcPr>
          <w:p w14:paraId="0E87BD2A">
            <w:pPr>
              <w:pBdr/>
              <w:spacing/>
              <w:ind/>
              <w:jc w:val="center"/>
              <w:rPr>
                <w:color w:val="000000" w:themeColor="text1"/>
              </w:rPr>
            </w:pPr>
            <w:r>
              <w:rPr>
                <w:color w:val="000000" w:themeColor="text1"/>
              </w:rPr>
              <w:t xml:space="preserve">98%</w:t>
            </w:r>
            <w:r>
              <w:rPr>
                <w:color w:val="000000" w:themeColor="text1"/>
              </w:rPr>
            </w:r>
            <w:r>
              <w:rPr>
                <w:color w:val="000000" w:themeColor="text1"/>
              </w:rPr>
            </w:r>
          </w:p>
        </w:tc>
        <w:tc>
          <w:tcPr>
            <w:shd w:val="clear" w:color="000000" w:fill="ffffff"/>
            <w:tcBorders/>
            <w:tcW w:w="1758" w:type="dxa"/>
            <w:vAlign w:val="center"/>
            <w:vMerge w:val="restart"/>
            <w:textDirection w:val="lrTb"/>
            <w:noWrap w:val="false"/>
          </w:tcPr>
          <w:p w14:paraId="32EBCAFD">
            <w:pPr>
              <w:pBdr/>
              <w:spacing w:after="40" w:before="40" w:line="288" w:lineRule="auto"/>
              <w:ind/>
              <w:jc w:val="center"/>
              <w:rPr>
                <w:color w:val="000000" w:themeColor="text1"/>
              </w:rPr>
            </w:pPr>
            <w:r>
              <w:rPr>
                <w:color w:val="000000" w:themeColor="text1"/>
              </w:rPr>
              <w:t xml:space="preserve">2.663.474.850</w:t>
            </w:r>
            <w:r>
              <w:rPr>
                <w:color w:val="000000" w:themeColor="text1"/>
              </w:rPr>
            </w:r>
            <w:r>
              <w:rPr>
                <w:color w:val="000000" w:themeColor="text1"/>
              </w:rPr>
            </w:r>
          </w:p>
        </w:tc>
      </w:tr>
      <w:tr>
        <w:trPr>
          <w:trHeight w:val="20"/>
        </w:trPr>
        <w:tc>
          <w:tcPr>
            <w:gridSpan w:val="5"/>
            <w:tcBorders/>
            <w:tcW w:w="6689"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077" w:type="dxa"/>
            <w:vAlign w:val="center"/>
            <w:textDirection w:val="lrTb"/>
            <w:noWrap/>
          </w:tcPr>
          <w:p w14:paraId="20310810">
            <w:pPr>
              <w:pBdr/>
              <w:spacing/>
              <w:ind/>
              <w:rPr/>
            </w:pPr>
            <w:r/>
            <w:r/>
          </w:p>
        </w:tc>
        <w:tc>
          <w:tcPr>
            <w:tcBorders/>
            <w:tcW w:w="1758" w:type="dxa"/>
            <w:vAlign w:val="center"/>
            <w:textDirection w:val="lrTb"/>
            <w:noWrap/>
          </w:tcPr>
          <w:p w14:paraId="7A87A4E8" w14:textId="3B02AB71">
            <w:pPr>
              <w:pBdr/>
              <w:spacing w:after="40" w:before="40" w:line="288" w:lineRule="auto"/>
              <w:ind/>
              <w:jc w:val="center"/>
              <w:rPr>
                <w:b/>
                <w:bCs/>
                <w:color w:val="000000"/>
              </w:rPr>
            </w:pPr>
            <w:r>
              <w:t xml:space="preserve">19.163.474.850</w:t>
            </w:r>
            <w:r>
              <w:rPr>
                <w:b/>
                <w:bCs/>
                <w:color w:val="000000"/>
              </w:rPr>
            </w:r>
            <w:r>
              <w:rPr>
                <w:b/>
                <w:bCs/>
                <w:color w:val="000000"/>
              </w:rPr>
            </w:r>
          </w:p>
        </w:tc>
      </w:tr>
      <w:tr>
        <w:trPr>
          <w:trHeight w:val="20"/>
        </w:trPr>
        <w:tc>
          <w:tcPr>
            <w:gridSpan w:val="5"/>
            <w:tcBorders/>
            <w:tcW w:w="6689" w:type="dxa"/>
            <w:vAlign w:val="center"/>
            <w:vMerge w:val="restart"/>
            <w:textDirection w:val="lrTb"/>
            <w:noWrap/>
          </w:tcPr>
          <w:p w14:paraId="728DDD65">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077" w:type="dxa"/>
            <w:vAlign w:val="center"/>
            <w:vMerge w:val="restart"/>
            <w:textDirection w:val="lrTb"/>
            <w:noWrap/>
          </w:tcPr>
          <w:p w14:paraId="2712E4D9">
            <w:pPr>
              <w:pBdr/>
              <w:spacing/>
              <w:ind/>
              <w:rPr/>
            </w:pPr>
            <w:r/>
            <w:r/>
          </w:p>
        </w:tc>
        <w:tc>
          <w:tcPr>
            <w:tcBorders/>
            <w:tcW w:w="1758" w:type="dxa"/>
            <w:vAlign w:val="center"/>
            <w:vMerge w:val="restart"/>
            <w:textDirection w:val="lrTb"/>
            <w:noWrap/>
          </w:tcPr>
          <w:p w14:paraId="08E395BA">
            <w:pPr>
              <w:pBdr/>
              <w:spacing w:after="40" w:before="40" w:line="288" w:lineRule="auto"/>
              <w:ind/>
              <w:jc w:val="center"/>
              <w:rPr/>
            </w:pPr>
            <w:r>
              <w:t xml:space="preserve">19.163.500.000</w:t>
            </w:r>
            <w:r/>
          </w:p>
        </w:tc>
      </w:tr>
      <w:tr>
        <w:trPr>
          <w:trHeight w:val="20"/>
        </w:trPr>
        <w:tc>
          <w:tcPr>
            <w:gridSpan w:val="2"/>
            <w:tcBorders/>
            <w:tcW w:w="1781" w:type="dxa"/>
            <w:vAlign w:val="center"/>
            <w:textDirection w:val="lrTb"/>
            <w:noWrap w:val="false"/>
          </w:tcPr>
          <w:p w14:paraId="57794CF3">
            <w:pPr>
              <w:pBdr/>
              <w:spacing/>
              <w:ind/>
              <w:rPr>
                <w:b/>
                <w:bCs/>
                <w:i/>
                <w:color w:val="000000"/>
              </w:rPr>
            </w:pPr>
            <w:r>
              <w:rPr>
                <w:b/>
                <w:bCs/>
                <w:i/>
                <w:iCs/>
                <w:color w:val="000000"/>
              </w:rPr>
            </w:r>
            <w:r>
              <w:rPr>
                <w:b/>
                <w:bCs/>
                <w:i/>
                <w:iCs/>
                <w:color w:val="000000"/>
              </w:rPr>
            </w:r>
            <w:r>
              <w:rPr>
                <w:b/>
                <w:bCs/>
                <w:i/>
                <w:color w:val="000000"/>
              </w:rPr>
            </w:r>
          </w:p>
        </w:tc>
        <w:tc>
          <w:tcPr>
            <w:gridSpan w:val="5"/>
            <w:tcBorders/>
            <w:tcW w:w="7744"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chín tỷ một trăm sau mươi ba triệu năm trăm ngàn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vi-VN"/>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lang w:val="pt-BR"/>
        </w:rPr>
      </w:r>
      <w:r>
        <w:rPr>
          <w:rFonts w:eastAsia="Calibri"/>
          <w:b/>
          <w:bCs/>
          <w:spacing w:val="-4"/>
          <w:lang w:val="vi-VN"/>
        </w:rPr>
      </w:r>
    </w:p>
    <w:p w14:paraId="28137974">
      <w:pPr>
        <w:pBdr/>
        <w:spacing w:after="120" w:before="120" w:line="312" w:lineRule="auto"/>
        <w:ind w:firstLine="0"/>
        <w:rPr>
          <w:lang w:val="pt-BR"/>
        </w:rPr>
      </w:pPr>
      <w:r>
        <w:rPr>
          <w:rFonts w:eastAsia="Calibri"/>
          <w:b/>
          <w:spacing w:val="-4"/>
          <w:lang w:val="vi-VN"/>
        </w:rPr>
        <w:t xml:space="preserve">12.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750FA63F">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578060" name="Picture 3" descr="Logo, company name&#10;&#10;Description automatically generated"/>
                              <pic:cNvPicPr>
                                <a:picLocks noChangeAspect="1"/>
                              </pic:cNvPicPr>
                              <pic:nvPr/>
                            </pic:nvPicPr>
                            <pic:blipFill rotWithShape="1">
                              <a:blip r:embed="rId16"/>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6"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4A68D0A4">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04E83151">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5E0A636">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42DB32A">
            <w:pPr>
              <w:pBdr/>
              <w:spacing w:line="276" w:lineRule="auto"/>
              <w:ind/>
              <w:jc w:val="both"/>
              <w:rPr>
                <w:lang w:val="da-DK"/>
              </w:rPr>
            </w:pPr>
            <w:r>
              <w:rPr>
                <w:lang w:val="da-DK"/>
              </w:rPr>
              <w:t xml:space="preserve">Email</w:t>
            </w:r>
            <w:r>
              <w:rPr>
                <w:lang w:val="da-DK"/>
              </w:rPr>
              <w:t xml:space="preserve">: </w:t>
            </w:r>
            <w:r>
              <w:rPr>
                <w:lang w:val="da-DK"/>
              </w:rPr>
              <w:tab/>
            </w:r>
            <w:hyperlink r:id="rId17" w:tooltip="mailto:ilotus.contact@gmail.com" w:history="1">
              <w:r>
                <w:rPr>
                  <w:rStyle w:val="1018"/>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ffffff" w:fill="ffffff"/>
            <w:tcBorders/>
            <w:tcMar>
              <w:left w:w="108" w:type="dxa"/>
              <w:top w:w="0" w:type="dxa"/>
              <w:right w:w="108" w:type="dxa"/>
              <w:bottom w:w="0" w:type="dxa"/>
            </w:tcMar>
            <w:tcW w:w="3996" w:type="dxa"/>
            <w:textDirection w:val="lrTb"/>
            <w:noWrap w:val="false"/>
          </w:tcPr>
          <w:p w14:paraId="37A330F7">
            <w:pPr>
              <w:pStyle w:val="1027"/>
              <w:pBdr/>
              <w:spacing w:after="60"/>
              <w:ind/>
              <w:rPr>
                <w:color w:val="000000" w:themeColor="text1"/>
                <w:sz w:val="24"/>
                <w:szCs w:val="24"/>
              </w:rPr>
            </w:pPr>
            <w:r>
              <w:rPr>
                <w:rStyle w:val="1026"/>
                <w:rFonts w:ascii="Times New Roman" w:hAnsi="Times New Roman"/>
                <w:color w:val="000000" w:themeColor="text1"/>
                <w:lang w:val="pt-BR"/>
              </w:rPr>
              <w:t xml:space="preserve">Số</w:t>
            </w:r>
            <w:r>
              <w:rPr>
                <w:rStyle w:val="1026"/>
                <w:rFonts w:ascii="Times New Roman" w:hAnsi="Times New Roman"/>
                <w:color w:val="000000" w:themeColor="text1"/>
                <w:lang w:val="pt-BR"/>
              </w:rPr>
              <w:t xml:space="preserve">: </w:t>
            </w:r>
            <w:r>
              <w:rPr>
                <w:rStyle w:val="1026"/>
                <w:rFonts w:ascii="Times New Roman" w:hAnsi="Times New Roman"/>
                <w:color w:val="000000" w:themeColor="text1"/>
                <w:lang w:val="pt-BR"/>
              </w:rPr>
              <w:t xml:space="preserve">275/2026/0140/VFI-CT.63.A</w:t>
            </w:r>
            <w:r>
              <w:rPr>
                <w:color w:val="000000" w:themeColor="text1"/>
                <w:sz w:val="24"/>
                <w:szCs w:val="24"/>
              </w:rPr>
            </w:r>
            <w:r>
              <w:rPr>
                <w:color w:val="000000" w:themeColor="text1"/>
                <w:sz w:val="24"/>
                <w:szCs w:val="24"/>
              </w:rPr>
            </w:r>
          </w:p>
        </w:tc>
        <w:tc>
          <w:tcPr>
            <w:shd w:val="clear" w:color="ffffff" w:fill="ffffff"/>
            <w:tcBorders/>
            <w:tcMar>
              <w:left w:w="108" w:type="dxa"/>
              <w:top w:w="0" w:type="dxa"/>
              <w:right w:w="108" w:type="dxa"/>
              <w:bottom w:w="0" w:type="dxa"/>
            </w:tcMar>
            <w:tcW w:w="5536" w:type="dxa"/>
            <w:textDirection w:val="lrTb"/>
            <w:noWrap w:val="false"/>
          </w:tcPr>
          <w:p w14:paraId="32607958">
            <w:pPr>
              <w:pStyle w:val="1027"/>
              <w:pBdr/>
              <w:spacing w:after="60"/>
              <w:ind w:right="-56"/>
              <w:jc w:val="right"/>
              <w:rPr>
                <w:color w:val="000000" w:themeColor="text1"/>
                <w:sz w:val="24"/>
                <w:szCs w:val="24"/>
                <w:lang w:val="vi-VN"/>
              </w:rPr>
            </w:pPr>
            <w:r>
              <w:rPr>
                <w:rStyle w:val="1026"/>
                <w:rFonts w:ascii="Times New Roman" w:hAnsi="Times New Roman"/>
                <w:i/>
                <w:color w:val="auto"/>
              </w:rPr>
              <w:t xml:space="preserve">TP. </w:t>
            </w:r>
            <w:r>
              <w:rPr>
                <w:rStyle w:val="1026"/>
                <w:rFonts w:ascii="Times New Roman" w:hAnsi="Times New Roman"/>
                <w:i/>
                <w:color w:val="auto"/>
              </w:rPr>
              <w:t xml:space="preserve">Hà</w:t>
            </w:r>
            <w:r>
              <w:rPr>
                <w:rStyle w:val="1026"/>
                <w:rFonts w:ascii="Times New Roman" w:hAnsi="Times New Roman"/>
                <w:i/>
                <w:color w:val="auto"/>
              </w:rPr>
              <w:t xml:space="preserve"> </w:t>
            </w:r>
            <w:r>
              <w:rPr>
                <w:rStyle w:val="1026"/>
                <w:rFonts w:ascii="Times New Roman" w:hAnsi="Times New Roman"/>
                <w:i/>
                <w:color w:val="auto"/>
              </w:rPr>
              <w:t xml:space="preserve">Nội</w:t>
            </w:r>
            <w:r>
              <w:rPr>
                <w:rStyle w:val="1026"/>
                <w:rFonts w:ascii="Times New Roman" w:hAnsi="Times New Roman"/>
                <w:i/>
                <w:color w:val="auto"/>
                <w:lang w:val="vi-VN"/>
              </w:rPr>
              <w:t xml:space="preserve">, </w:t>
            </w:r>
            <w:r>
              <w:rPr>
                <w:rStyle w:val="1026"/>
                <w:rFonts w:ascii="Times New Roman" w:hAnsi="Times New Roman"/>
                <w:i/>
                <w:color w:val="000000" w:themeColor="text1"/>
                <w:lang w:val="vi-VN"/>
              </w:rPr>
              <w:t xml:space="preserve">ngày 20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7"/>
        <w:pBdr/>
        <w:tabs>
          <w:tab w:val="left" w:leader="none" w:pos="5103"/>
        </w:tabs>
        <w:spacing w:before="200" w:line="340" w:lineRule="atLeast"/>
        <w:ind/>
        <w:jc w:val="center"/>
        <w:rPr>
          <w:b/>
          <w:bCs/>
          <w:iCs/>
          <w:sz w:val="30"/>
          <w:szCs w:val="30"/>
          <w:highlight w:val="none"/>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7"/>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275/2026/0139/VFI-CT.63.A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7"/>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8"/>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7543AFE">
            <w:pPr>
              <w:pBdr/>
              <w:spacing/>
              <w:ind/>
              <w:rPr/>
            </w:pPr>
            <w:r>
              <w:rPr>
                <w:b/>
                <w:bCs/>
              </w:rPr>
              <w:t xml:space="preserve">LẠI THỊ HỒNG GẤM </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14:paraId="4FB60CA1" w14:textId="18A46E2A">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54286C7">
            <w:pPr>
              <w:pBdr/>
              <w:spacing w:after="40" w:before="40" w:line="276" w:lineRule="auto"/>
              <w:ind/>
              <w:jc w:val="both"/>
              <w:rPr>
                <w:color w:val="ff0000"/>
                <w:lang w:val="pt-BR"/>
              </w:rPr>
            </w:pPr>
            <w:r>
              <w:rPr>
                <w:color w:val="000000" w:themeColor="text1"/>
                <w:lang w:val="vi-VN"/>
              </w:rPr>
              <w:t xml:space="preserve">010191000151</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FD4C44F">
            <w:pPr>
              <w:pBdr/>
              <w:spacing w:after="40" w:before="40" w:line="276" w:lineRule="auto"/>
              <w:ind/>
              <w:jc w:val="both"/>
              <w:rPr>
                <w:color w:val="ff0000"/>
                <w:lang w:val="pt-BR"/>
              </w:rPr>
            </w:pPr>
            <w:r>
              <w:rPr>
                <w:color w:val="000000" w:themeColor="text1"/>
                <w:lang w:val="vi-VN"/>
              </w:rPr>
              <w:t xml:space="preserve">1991</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A93FD72">
            <w:pPr>
              <w:pBdr/>
              <w:spacing w:after="40" w:before="40" w:line="276" w:lineRule="auto"/>
              <w:ind/>
              <w:jc w:val="both"/>
              <w:rPr>
                <w:color w:val="ff0000"/>
                <w:lang w:val="pt-BR"/>
              </w:rPr>
            </w:pPr>
            <w:r>
              <w:rPr>
                <w:color w:val="000000" w:themeColor="text1"/>
                <w:lang w:val="vi-VN"/>
              </w:rPr>
              <w:t xml:space="preserve">Tổ dân phố Tháp Đại Mỗ, Nam Từ Liêm, Hà Nội</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251, tờ bản đồ số: 28, có địa chỉ: Khu Văn Phú, phường Phú La, quận Hà Đông, thành phố Hà Nội (nay là phường Kiến Hưng, thành phố Hà Nội) theo Giấy chứng</w:t>
            </w:r>
            <w:r>
              <w:rPr>
                <w:bCs/>
                <w:color w:val="000000" w:themeColor="text1"/>
                <w:lang w:val="pt-BR"/>
              </w:rPr>
              <w:t xml:space="preserve"> nhậ</w:t>
            </w:r>
            <w:r>
              <w:rPr>
                <w:bCs/>
                <w:color w:val="000000" w:themeColor="text1"/>
                <w:lang w:val="pt-BR"/>
              </w:rPr>
              <w:t xml:space="preserve">n quyền sử dụng đất, quyền sở hữu nhà ở và tài sản gắn liền với đất  số: AA 00671595, Số vào sổ cấp GCN: CN-81 do Chi nhánh Văn phòng Đăng ký Đất đai Hà Nội - Quận Hà Đông cấp ngày 01/4/2025; chủ sử dụng đất là Ông Nguyễn Hải Long và vợ là Bà Trần Thị Vân.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Khu Văn Phú, Phường Phú La, Quận Hà Đông,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8"/>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20.962967, 105.767382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8"/>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8"/>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8"/>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8"/>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8"/>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8"/>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8"/>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8"/>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8"/>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8"/>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8"/>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8"/>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8"/>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8"/>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8"/>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8"/>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8"/>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8"/>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8"/>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8"/>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8"/>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8"/>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8"/>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8"/>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8"/>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8"/>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8"/>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8"/>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8"/>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w:t>
      </w:r>
      <w:r>
        <w:rPr>
          <w:bCs/>
          <w:color w:val="000000" w:themeColor="text1"/>
          <w:lang w:val="pt-BR"/>
        </w:rPr>
        <w:t xml:space="preserve"> nhậ</w:t>
      </w:r>
      <w:r>
        <w:rPr>
          <w:bCs/>
          <w:color w:val="000000" w:themeColor="text1"/>
          <w:lang w:val="pt-BR"/>
        </w:rPr>
        <w:t xml:space="preserve">n quyền sử dụng đất, quyền sở hữu nhà ở và tài sản gắn liền với đất  số: AA 00671595, Số vào sổ cấp GCN: CN-81 do Chi nhánh Văn phòng Đăng ký Đất đai Hà Nội - Quận Hà Đông cấp ngày 01/4/2025; chủ sử dụng đất là Ông Nguyễn Hải Long và vợ là Bà Trần Thị Vân.</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8"/>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275/2026/0139/VFI-HĐTĐ.63.A ngày 16/01/2026 giữa Bà Lại Thị Hồng Gấm với Công ty Cổ phần Thẩm định và Đầu tư Tài chính Hoa Sen.</w:t>
      </w:r>
      <w:r>
        <w:rPr>
          <w:b/>
          <w:lang w:val="pt-BR"/>
        </w:rPr>
      </w:r>
      <w:r>
        <w:rPr>
          <w:b/>
          <w:lang w:val="pt-BR"/>
        </w:rPr>
      </w:r>
    </w:p>
    <w:p w14:paraId="7BDC3A25" w14:textId="77D2CF95">
      <w:pPr>
        <w:pStyle w:val="1028"/>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t xml:space="preserve">Với phân khúc nhà đất thổ cư, hai khu vực nổi bật nhất là khu Tây (gồm Cầu Giấy, Nam Từ Liêm, Bắc Từ Liêm, Hà Đông) và khu Đông (gia lâm và Long Biên). Cả hai khu này chiếm tới 66% tổng giao dịch nhà đất tại Hà Nội trong nửa đầu</w:t>
      </w:r>
      <w:r>
        <w:rPr>
          <w:shd w:val="clear" w:color="auto" w:fill="ffffff"/>
        </w:rPr>
        <w:t xml:space="preserve"> năm 2024. Mặc dù trong tháng tháng 7 âm lịch (tháng “Ngâu”) – thường là thời điểm giao dịch chậm – thị trường vẫn đạt khoảng 3.300 giao dịch, cho thấy sức mua khá mạnh dù có đôi chút giảm so với các tháng trước. Giá nhà đất thổ cư nhìn chung đang có xu hư</w:t>
      </w:r>
      <w:r>
        <w:rPr>
          <w:shd w:val="clear" w:color="auto" w:fill="ffffff"/>
        </w:rPr>
        <w:t xml:space="preserve">ớng tăng ổn định: giá nội thành có thể lên tới khoảng 100 triệu đồng/m², trong khi ngoại thành dao động khoảng 70–80 triệu đồng/m². Đặc biệt, các căn nhà có giá khoảng 3–4 tỷ đồng ngày càng khan hiếm do nguồn cung hạn chế.</w:t>
        <w:br/>
        <w:br/>
        <w:t xml:space="preserve">Ở phân khúc căn hộ chung cư, mức</w:t>
      </w:r>
      <w:r>
        <w:rPr>
          <w:shd w:val="clear" w:color="auto" w:fill="ffffff"/>
        </w:rPr>
        <w:t xml:space="preserve"> giá chào bán cũng liên tục tăng do nguồn cung mới hạn chế trong khi nhu cầu mua ở và đầu tư đều cao. Trong Quý II/2024, giá sơ cấp căn hộ trung bình tại Hà Nội là khoảng 65 triệu đồng/m², tăng khoảng 25% theo quý và gần 30% theo năm. Giá căn hộ phía Tây t</w:t>
      </w:r>
      <w:r>
        <w:rPr>
          <w:shd w:val="clear" w:color="auto" w:fill="ffffff"/>
        </w:rPr>
        <w:t xml:space="preserve">hường cao hơn (khoảng 70 triệu đồng/m²) so với phía Đông (khoảng 56 triệu đồng/m²). Một số chủ nhà thậm chí còn điều chỉnh giá bán hàng ngày để theo sát diễn biến thị trường. Dù vậy, gần đây có dấu hiệu người mua tạm dừng để quan sát thị trường thay vì quy</w:t>
      </w:r>
      <w:r>
        <w:rPr>
          <w:shd w:val="clear" w:color="auto" w:fill="ffffff"/>
        </w:rPr>
        <w:t xml:space="preserve">ết định vội vàng, khiến đà tăng có phần chững lại ở một số dự án. Ông Nguyễn Văn Đính – Chủ tịch Hội Môi giới Bất động sản – cho biết tâm lý FOMO đã giảm bớt, nhưng doanh nghiệp khó giảm giá do cung-cầu vẫn mất cân đối.</w:t>
        <w:br/>
        <w:br/>
        <w:t xml:space="preserve">Phân khúc bất động sản công nghiệp </w:t>
      </w:r>
      <w:r>
        <w:rPr>
          <w:shd w:val="clear" w:color="auto" w:fill="ffffff"/>
        </w:rPr>
        <w:t xml:space="preserve">tại Hà Nội lại khá ổn định về giá thuê và tỷ lệ lấp đầy trong Quý II/2024, vẫn duy trì ở mức cao và không có biến động lớn. Thành phố hiện có 9 khu công nghiệp và 1 khu công nghệ cao với hàng trăm dự án thu hút vốn đầu tư nước ngoài. Mặc dù trong quý này k</w:t>
      </w:r>
      <w:r>
        <w:rPr>
          <w:shd w:val="clear" w:color="auto" w:fill="ffffff"/>
        </w:rPr>
        <w:t xml:space="preserve">hông có khu công nghiệp mới đi vào hoạt động, chính quyền đã phê duyệt một số khu như Đông Anh (khoảng 300 ha) và Phụng Hiệp (175 ha), dự kiến khởi công trong thời gian tới để thúc đẩy phát triển công nghiệp công nghệ cao và logistics. Trong khi đó, các kh</w:t>
      </w:r>
      <w:r>
        <w:rPr>
          <w:shd w:val="clear" w:color="auto" w:fill="ffffff"/>
        </w:rPr>
        <w:t xml:space="preserve">u vực lân cận như Bắc Ninh, Bắc Giang, Hưng Yên, Vĩnh Phúc lại ghi nhận tăng giá thuê 5–7% theo quý, cho thấy dòng vốn đầu tư có xu hướng dịch chuyển ra bên ngoài khu vực trung tâm thành phố.</w:t>
        <w:br/>
        <w:br/>
        <w:t xml:space="preserve">Tóm lại, thị trường bất động sản Hà Nội đang trong giai đoạn sô</w:t>
      </w:r>
      <w:r>
        <w:rPr>
          <w:shd w:val="clear" w:color="auto" w:fill="ffffff"/>
        </w:rPr>
        <w:t xml:space="preserve">i động với giá tăng ở hầu hết phân khúc, đặc biệt là đất thổ cư và căn hộ chung cư do nguồn cung hạn chế. Sự dịch chuyển của dòng vốn và nhu cầu thực từ người mua tạo ra nhiều cơ hội nhưng cũng đặt ra thách thức về khả năng mua được nhà ở vừa túi tiền. Do </w:t>
      </w:r>
      <w:r>
        <w:rPr>
          <w:shd w:val="clear" w:color="auto" w:fill="ffffff"/>
        </w:rPr>
        <w:t xml:space="preserve">vậy, việc theo dõi sát diễn biến cung-cầu và giá cả tại từng khu vực sẽ giúp nhà đầu tư và người mua đưa ra quyết định phù hợp hơn trong bối cảnh thị trường biến động.</w:t>
        <w:br/>
        <w:t xml:space="preserve">(Nguồn: https://onehousing.vn/blog/nhung-bien-dong-thi-truong-bat-dong-san-ha-noi-n17t).</w:t>
      </w:r>
      <w:r>
        <w:rPr>
          <w:i/>
          <w:iCs/>
          <w:lang w:val="pt-BR"/>
        </w:rPr>
      </w:r>
      <w:r>
        <w:rPr>
          <w:i/>
          <w:iCs/>
          <w:lang w:val="pt-BR"/>
        </w:rPr>
      </w:r>
    </w:p>
    <w:p w14:paraId="20BF0D54" w14:textId="312C63AB">
      <w:pPr>
        <w:pStyle w:val="1028"/>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và tài sản gắn liền với đất tại thửa đất số: 251, tờ bản đồ số: 28, có địa chỉ: Khu Văn Phú, phường Phú La, quận Hà Đông, thành phố Hà Nội (nay là phường Kiến Hưng, thành phố Hà Nội) theo Giấy chứng</w:t>
            </w:r>
            <w:r>
              <w:rPr>
                <w:b/>
                <w:bCs/>
                <w:color w:val="000000"/>
              </w:rPr>
              <w:t xml:space="preserve"> nhận quyền sử dụng đất, quyền sở hữu nhà ở và tài sản gắn liền với đất  số: AA 00671595, Số vào sổ cấp GCN: CN-81 do Chi nhánh Văn phòng Đăng ký Đất đai Hà Nội - Quận Hà Đông cấp ngày 45661; chủ sử dụng đất là Ông Nguyễn Hải Long và vợ là Bà Trần Thị Vân.</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251</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05</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Khu Văn Phú, Phường Phú La, Quận Hà Đông, Thành Phố Hà Nội (nay là Khu Văn Phú, phường Kiến Hưng, thành phố Hà Nội).</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50</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50 m2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t xml:space="preserve">Tại thời điểm thẩm định giá, theo thông tin của chủ tài sản cung cấp, Tổ thẩm định không thu thập được bất kỳ thông tin quy hoạch nào liên quan đến thửa đất.</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ind/>
              <w:jc w:val="left"/>
              <w:rPr>
                <w:color w:val="000000"/>
              </w:rPr>
            </w:pPr>
            <w:r>
              <w:rPr>
                <w:color w:val="000000"/>
              </w:rPr>
              <w:t xml:space="preserve">Đường giao thông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10</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10</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Cách QL6 khoảng 200m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t xml:space="preserve">Hướng Đông Nam tiếp giáp với đường giao thông</w:t>
              <w:br/>
              <w:t xml:space="preserve">Các hướng còn lại tiếp giáp với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20.962967</w:t>
            </w:r>
            <w:r>
              <w:rPr>
                <w:color w:val="000000"/>
              </w:rPr>
              <w:t xml:space="preserve">, </w:t>
            </w:r>
            <w:r>
              <w:rPr>
                <w:color w:val="000000"/>
              </w:rPr>
              <w:t xml:space="preserve">105.767382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10</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Ổn</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t xml:space="preserve">Tại thời điểm khảo sát, dưới sự hướng dẫn của chủ tài sản, T</w:t>
            </w:r>
            <w:r>
              <w:rPr>
                <w:color w:val="000000"/>
              </w:rPr>
              <w:t xml:space="preserve">ổ thẩm định xác định trên đất có công trình nhà 06 tầng + 1 tum, tổng diện tích xây dựng 341,9m2 theo Giấy phép xây dựng số: 749/GPXD. Theo thông tin khách hàng cung cấp, công trình vừa mới hoàn thiện năm 2025. Công trình chưa được công nhận trên GCN QSDĐ.</w:t>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6B96CE86"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2"/>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Khu Văn Phú, Phường Phú La, Quận Hà Đông, Thành Phố Hà Nội ✔</w:t>
            </w:r>
            <w:r/>
          </w:p>
        </w:tc>
        <w:tc>
          <w:tcPr>
            <w:tcBorders/>
            <w:tcW w:w="1605" w:type="dxa"/>
            <w:vAlign w:val="center"/>
            <w:textDirection w:val="lrTb"/>
            <w:noWrap w:val="false"/>
          </w:tcPr>
          <w:p w14:paraId="79F97508" w14:textId="77777777">
            <w:pPr>
              <w:pBdr/>
              <w:spacing/>
              <w:ind/>
              <w:jc w:val="center"/>
              <w:rPr/>
            </w:pPr>
            <w:r>
              <w:t xml:space="preserve">Khu Văn Phú Phường Phú La, Quận Hà Đông, Thành phố Hà Nội</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6F9F9C68">
            <w:pPr>
              <w:pBdr/>
              <w:spacing/>
              <w:ind/>
              <w:jc w:val="center"/>
              <w:rPr/>
            </w:pPr>
            <w:r>
              <w:t xml:space="preserve">Khu Văn Phú Phường Kiến Hưng, Thành phố Hà Nội</w:t>
            </w:r>
            <w:r/>
          </w:p>
        </w:tc>
        <w:tc>
          <w:tcPr>
            <w:tcBorders/>
            <w:tcW w:w="1605" w:type="dxa"/>
            <w:vAlign w:val="center"/>
            <w:textDirection w:val="lrTb"/>
            <w:noWrap w:val="false"/>
          </w:tcPr>
          <w:p w14:paraId="79F97508" w14:textId="77777777">
            <w:pPr>
              <w:pBdr/>
              <w:spacing/>
              <w:ind/>
              <w:jc w:val="center"/>
              <w:rPr/>
            </w:pPr>
            <w:r>
              <w:t xml:space="preserve">Khu Văn Phú Phường Kiến Hưng,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tại đô thị</w:t>
            </w:r>
            <w:r/>
          </w:p>
        </w:tc>
        <w:tc>
          <w:tcPr>
            <w:tcBorders/>
            <w:tcW w:w="1605" w:type="dxa"/>
            <w:vAlign w:val="center"/>
            <w:textDirection w:val="lrTb"/>
            <w:noWrap w:val="false"/>
          </w:tcPr>
          <w:p w14:paraId="79F97508" w14:textId="77777777">
            <w:pPr>
              <w:pBdr/>
              <w:spacing/>
              <w:ind/>
              <w:jc w:val="center"/>
              <w:rPr/>
            </w:pPr>
            <w:r>
              <w:t xml:space="preserve">Đất ở tại đô thị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042D04C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nhựa có vỉa hè</w:t>
            </w:r>
            <w:r/>
          </w:p>
        </w:tc>
        <w:tc>
          <w:tcPr>
            <w:tcBorders/>
            <w:tcW w:w="1605" w:type="dxa"/>
            <w:vAlign w:val="center"/>
            <w:textDirection w:val="lrTb"/>
            <w:noWrap w:val="false"/>
          </w:tcPr>
          <w:p w14:paraId="79F97508" w14:textId="77777777">
            <w:pPr>
              <w:pBdr/>
              <w:spacing/>
              <w:ind/>
              <w:jc w:val="center"/>
              <w:rPr/>
            </w:pPr>
            <w:r>
              <w:t xml:space="preserve">Đường nhựa có vỉa hè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10</w:t>
            </w:r>
            <w:r/>
          </w:p>
        </w:tc>
        <w:tc>
          <w:tcPr>
            <w:tcBorders/>
            <w:tcW w:w="1605" w:type="dxa"/>
            <w:vAlign w:val="center"/>
            <w:textDirection w:val="lrTb"/>
            <w:noWrap w:val="false"/>
          </w:tcPr>
          <w:p w14:paraId="79F97508" w14:textId="77777777">
            <w:pPr>
              <w:pBdr/>
              <w:spacing/>
              <w:ind/>
              <w:jc w:val="center"/>
              <w:rPr/>
            </w:pPr>
            <w:r>
              <w:t xml:space="preserve">10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t xml:space="preserve">Hạ tầng khu dân cư thông thường</w:t>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042D04C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t xml:space="preserve">Khá</w:t>
            </w:r>
            <w:r/>
          </w:p>
        </w:tc>
        <w:tc>
          <w:tcPr>
            <w:tcBorders/>
            <w:tcW w:w="1605" w:type="dxa"/>
            <w:vAlign w:val="center"/>
            <w:textDirection w:val="lrTb"/>
            <w:noWrap w:val="false"/>
          </w:tcPr>
          <w:p w14:paraId="79F97508" w14:textId="77777777">
            <w:pPr>
              <w:pBdr/>
              <w:spacing/>
              <w:ind/>
              <w:jc w:val="center"/>
              <w:rPr/>
            </w:pPr>
            <w:r>
              <w:t xml:space="preserve">Khá ✔</w:t>
            </w:r>
            <w:r/>
          </w:p>
        </w:tc>
        <w:tc>
          <w:tcPr>
            <w:tcBorders/>
            <w:tcW w:w="1371" w:type="dxa"/>
            <w:vAlign w:val="center"/>
            <w:textDirection w:val="lrTb"/>
            <w:noWrap w:val="false"/>
          </w:tcPr>
          <w:p w14:paraId="042D04C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50</w:t>
            </w:r>
            <w:r/>
          </w:p>
        </w:tc>
        <w:tc>
          <w:tcPr>
            <w:tcBorders/>
            <w:tcW w:w="1605" w:type="dxa"/>
            <w:vAlign w:val="center"/>
            <w:textDirection w:val="lrTb"/>
            <w:noWrap w:val="false"/>
          </w:tcPr>
          <w:p w14:paraId="79F97508" w14:textId="77777777">
            <w:pPr>
              <w:pBdr/>
              <w:spacing/>
              <w:ind/>
              <w:jc w:val="center"/>
              <w:rPr/>
            </w:pPr>
            <w:r>
              <w:t xml:space="preserve">50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5</w:t>
            </w:r>
            <w:r/>
          </w:p>
        </w:tc>
        <w:tc>
          <w:tcPr>
            <w:tcBorders/>
            <w:tcW w:w="1605" w:type="dxa"/>
            <w:vAlign w:val="center"/>
            <w:textDirection w:val="lrTb"/>
            <w:noWrap w:val="false"/>
          </w:tcPr>
          <w:p w14:paraId="79F97508" w14:textId="77777777">
            <w:pPr>
              <w:pBdr/>
              <w:spacing/>
              <w:ind/>
              <w:jc w:val="center"/>
              <w:rPr/>
            </w:pPr>
            <w:r>
              <w:t xml:space="preserve">5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10</w:t>
            </w:r>
            <w:r/>
          </w:p>
        </w:tc>
        <w:tc>
          <w:tcPr>
            <w:tcBorders/>
            <w:tcW w:w="1605" w:type="dxa"/>
            <w:vAlign w:val="center"/>
            <w:textDirection w:val="lrTb"/>
            <w:noWrap w:val="false"/>
          </w:tcPr>
          <w:p w14:paraId="79F97508" w14:textId="77777777">
            <w:pPr>
              <w:pBdr/>
              <w:spacing/>
              <w:ind/>
              <w:jc w:val="center"/>
              <w:rPr/>
            </w:pPr>
            <w:r>
              <w:t xml:space="preserve">10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Hình chữ nhật</w:t>
            </w:r>
            <w:r/>
          </w:p>
        </w:tc>
        <w:tc>
          <w:tcPr>
            <w:tcBorders/>
            <w:tcW w:w="1605" w:type="dxa"/>
            <w:vAlign w:val="center"/>
            <w:textDirection w:val="lrTb"/>
            <w:noWrap w:val="false"/>
          </w:tcPr>
          <w:p w14:paraId="79F97508" w14:textId="77777777">
            <w:pPr>
              <w:pBdr/>
              <w:spacing/>
              <w:ind/>
              <w:jc w:val="center"/>
              <w:rPr/>
            </w:pPr>
            <w:r>
              <w:t xml:space="preserve">Hình chữ nhật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t xml:space="preserve">Đông Nam</w:t>
            </w:r>
            <w:r/>
          </w:p>
        </w:tc>
        <w:tc>
          <w:tcPr>
            <w:tcBorders/>
            <w:tcW w:w="1605" w:type="dxa"/>
            <w:vAlign w:val="center"/>
            <w:textDirection w:val="lrTb"/>
            <w:noWrap w:val="false"/>
          </w:tcPr>
          <w:p w14:paraId="79F97508" w14:textId="77777777">
            <w:pPr>
              <w:pBdr/>
              <w:spacing/>
              <w:ind/>
              <w:jc w:val="center"/>
              <w:rPr/>
            </w:pPr>
            <w:r>
              <w:t xml:space="preserve">Đông Nam ✔</w:t>
            </w:r>
            <w:r/>
          </w:p>
        </w:tc>
        <w:tc>
          <w:tcPr>
            <w:tcBorders/>
            <w:tcW w:w="1371" w:type="dxa"/>
            <w:vAlign w:val="center"/>
            <w:textDirection w:val="lrTb"/>
            <w:noWrap w:val="false"/>
          </w:tcPr>
          <w:p w14:paraId="227EF79C">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t xml:space="preserve">View khu dân cư </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6E48C8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t xml:space="preserve">Khá</w:t>
            </w:r>
            <w:r/>
          </w:p>
        </w:tc>
        <w:tc>
          <w:tcPr>
            <w:tcBorders/>
            <w:tcW w:w="1605" w:type="dxa"/>
            <w:vAlign w:val="center"/>
            <w:textDirection w:val="lrTb"/>
            <w:noWrap w:val="false"/>
          </w:tcPr>
          <w:p w14:paraId="79F97508" w14:textId="77777777">
            <w:pPr>
              <w:pBdr/>
              <w:spacing/>
              <w:ind/>
              <w:jc w:val="center"/>
              <w:rPr/>
            </w:pPr>
            <w:r>
              <w:t xml:space="preserve">Khá ✔</w:t>
            </w:r>
            <w:r/>
          </w:p>
        </w:tc>
        <w:tc>
          <w:tcPr>
            <w:tcBorders/>
            <w:tcW w:w="1371" w:type="dxa"/>
            <w:vAlign w:val="center"/>
            <w:textDirection w:val="lrTb"/>
            <w:noWrap w:val="false"/>
          </w:tcPr>
          <w:p w14:paraId="3DFCAA60">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8"/>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8"/>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8"/>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8"/>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8"/>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8"/>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8"/>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13863F49" w14:textId="5CABFF1A">
      <w:pPr>
        <w:pStyle w:val="1028"/>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28"/>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28"/>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8"/>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4762D94D" w14:textId="75C403B3">
      <w:pPr>
        <w:pStyle w:val="1028"/>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14:paraId="770CC22B" w14:textId="787D51A9">
      <w:pPr>
        <w:pStyle w:val="1028"/>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8"/>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8"/>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8"/>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Khu Văn Phú Phường Kiến Hưng,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6F37F4">
            <w:pPr>
              <w:pBdr/>
              <w:spacing/>
              <w:ind/>
              <w:jc w:val="center"/>
              <w:rPr/>
            </w:pPr>
            <w:r>
              <w:rPr>
                <w:color w:val="000000" w:themeColor="text1"/>
                <w:sz w:val="22"/>
                <w:szCs w:val="22"/>
              </w:rPr>
              <w:t xml:space="preserve">Khu Văn Phú Phường Kiến Hưng,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5E57915">
            <w:pPr>
              <w:pBdr/>
              <w:spacing/>
              <w:ind/>
              <w:jc w:val="center"/>
              <w:rPr/>
            </w:pPr>
            <w:r>
              <w:rPr>
                <w:color w:val="000000" w:themeColor="text1"/>
                <w:sz w:val="22"/>
                <w:szCs w:val="22"/>
              </w:rPr>
              <w:t xml:space="preserve">Khu Văn Phú Phường Kiến Hưng,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AC2E55">
            <w:pPr>
              <w:pBdr/>
              <w:spacing/>
              <w:ind/>
              <w:jc w:val="center"/>
              <w:rPr/>
            </w:pPr>
            <w:r>
              <w:rPr>
                <w:color w:val="000000" w:themeColor="text1"/>
                <w:sz w:val="22"/>
                <w:szCs w:val="22"/>
              </w:rPr>
              <w:t xml:space="preserve">Khu Văn Phú Phường Kiến Hưng, Thành phố Hà Nội</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https://www.facebook.com/commerce/listing/1993577781204157?ref=share_attachment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https://www.facebook.com/commerce/listing/1130772732377135?media_id=0&amp;ref=share_attachment</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0847877997</w:t>
            </w:r>
            <w:r>
              <w:rPr>
                <w:sz w:val="22"/>
                <w:szCs w:val="22"/>
              </w:rPr>
              <w:t xml:space="preserve"> </w:t>
            </w:r>
            <w:r>
              <w:rPr>
                <w:sz w:val="22"/>
                <w:szCs w:val="22"/>
              </w:rPr>
              <w:br/>
              <w:t xml:space="preserve">(</w:t>
            </w:r>
            <w:r>
              <w:rPr>
                <w:sz w:val="22"/>
                <w:szCs w:val="22"/>
              </w:rPr>
              <w:t xml:space="preserve">Hùng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0847877997</w:t>
            </w:r>
            <w:r>
              <w:rPr>
                <w:sz w:val="22"/>
                <w:szCs w:val="22"/>
              </w:rPr>
              <w:br/>
            </w:r>
            <w:r>
              <w:rPr>
                <w:sz w:val="22"/>
                <w:szCs w:val="22"/>
              </w:rPr>
              <w:t xml:space="preserve">(</w:t>
            </w:r>
            <w:r>
              <w:rPr>
                <w:sz w:val="22"/>
                <w:szCs w:val="22"/>
              </w:rPr>
              <w:t xml:space="preserve">Hùng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0907803777</w:t>
            </w:r>
            <w:r>
              <w:rPr>
                <w:sz w:val="22"/>
                <w:szCs w:val="22"/>
              </w:rPr>
              <w:br/>
            </w:r>
            <w:r>
              <w:rPr>
                <w:sz w:val="22"/>
                <w:szCs w:val="22"/>
              </w:rPr>
              <w:t xml:space="preserve">(</w:t>
            </w:r>
            <w:r>
              <w:rPr>
                <w:sz w:val="22"/>
                <w:szCs w:val="22"/>
              </w:rPr>
              <w:t xml:space="preserve">Tuấn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0AEBDA">
            <w:pPr>
              <w:pBdr/>
              <w:spacing/>
              <w:ind/>
              <w:jc w:val="center"/>
              <w:rPr>
                <w:sz w:val="22"/>
                <w:szCs w:val="22"/>
              </w:rPr>
            </w:pPr>
            <w:r>
              <w:rPr>
                <w:color w:val="000000" w:themeColor="text1"/>
                <w:sz w:val="22"/>
                <w:szCs w:val="22"/>
              </w:rPr>
              <w:t xml:space="preserve">Khu Văn Phú Phường Kiến Hưng, Thành phố Hà Nội</w:t>
            </w:r>
            <w:r>
              <w:rPr>
                <w:sz w:val="22"/>
                <w:szCs w:val="22"/>
              </w:rPr>
            </w:r>
            <w:r>
              <w:rPr>
                <w:sz w:val="22"/>
                <w:szCs w:val="22"/>
              </w:rPr>
            </w:r>
          </w:p>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0AEBDA">
            <w:pPr>
              <w:pBdr/>
              <w:spacing/>
              <w:ind/>
              <w:jc w:val="center"/>
              <w:rPr>
                <w:sz w:val="22"/>
                <w:szCs w:val="22"/>
              </w:rPr>
            </w:pPr>
            <w:r>
              <w:rPr>
                <w:color w:val="000000" w:themeColor="text1"/>
                <w:sz w:val="22"/>
                <w:szCs w:val="22"/>
              </w:rPr>
              <w:t xml:space="preserve">Khu Văn Phú Phường Kiến Hưng, Thành phố Hà Nội</w:t>
            </w:r>
            <w:r>
              <w:rPr>
                <w:sz w:val="22"/>
                <w:szCs w:val="22"/>
              </w:rPr>
            </w:r>
            <w:r>
              <w:rPr>
                <w:sz w:val="22"/>
                <w:szCs w:val="22"/>
              </w:rPr>
            </w:r>
          </w:p>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0AEBDA">
            <w:pPr>
              <w:pBdr/>
              <w:spacing/>
              <w:ind/>
              <w:jc w:val="center"/>
              <w:rPr>
                <w:sz w:val="22"/>
                <w:szCs w:val="22"/>
              </w:rPr>
            </w:pPr>
            <w:r>
              <w:rPr>
                <w:color w:val="000000" w:themeColor="text1"/>
                <w:sz w:val="22"/>
                <w:szCs w:val="22"/>
              </w:rPr>
              <w:t xml:space="preserve">Khu Văn Phú Phường Kiến Hưng, Thành phố Hà Nội</w:t>
            </w:r>
            <w:r>
              <w:rPr>
                <w:sz w:val="22"/>
                <w:szCs w:val="22"/>
              </w:rPr>
            </w:r>
            <w:r>
              <w:rPr>
                <w:sz w:val="22"/>
                <w:szCs w:val="22"/>
              </w:rPr>
            </w:r>
          </w:p>
          <w:p w14:paraId="2616ADB1" w14:textId="6C6E19ED">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0AEBDA">
            <w:pPr>
              <w:pBdr/>
              <w:spacing/>
              <w:ind/>
              <w:jc w:val="center"/>
              <w:rPr>
                <w:sz w:val="22"/>
                <w:szCs w:val="22"/>
              </w:rPr>
            </w:pPr>
            <w:r>
              <w:rPr>
                <w:color w:val="000000" w:themeColor="text1"/>
                <w:sz w:val="22"/>
                <w:szCs w:val="22"/>
              </w:rPr>
              <w:t xml:space="preserve">Khu Văn Phú Phường Kiến Hưng, Thành phố Hà Nội</w:t>
            </w:r>
            <w:r>
              <w:rPr>
                <w:sz w:val="22"/>
                <w:szCs w:val="22"/>
              </w:rPr>
            </w:r>
            <w:r>
              <w:rPr>
                <w:sz w:val="22"/>
                <w:szCs w:val="22"/>
              </w:rPr>
            </w:r>
          </w:p>
          <w:p w14:paraId="4F12170C" w14:textId="56E58990">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5.56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8.99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543C64EC">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338ACA60">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57B8825">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4C22444">
            <w:pPr>
              <w:pBdr/>
              <w:spacing/>
              <w:ind/>
              <w:jc w:val="center"/>
              <w:rPr>
                <w:color w:val="000000" w:themeColor="text1"/>
                <w:sz w:val="22"/>
                <w:szCs w:val="22"/>
              </w:rPr>
            </w:pPr>
            <w:r>
              <w:rPr>
                <w:color w:val="000000" w:themeColor="text1"/>
                <w:sz w:val="22"/>
                <w:szCs w:val="22"/>
              </w:rPr>
              <w:t xml:space="preserve">Nhà 07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95D5131">
            <w:pPr>
              <w:pBdr/>
              <w:spacing/>
              <w:ind/>
              <w:jc w:val="center"/>
              <w:rPr>
                <w:color w:val="000000" w:themeColor="text1"/>
                <w:sz w:val="22"/>
                <w:szCs w:val="22"/>
              </w:rPr>
            </w:pPr>
            <w:r>
              <w:rPr>
                <w:color w:val="000000" w:themeColor="text1"/>
                <w:sz w:val="22"/>
                <w:szCs w:val="22"/>
              </w:rPr>
              <w:t xml:space="preserve">Nhà 07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11CFF59">
            <w:pPr>
              <w:pBdr/>
              <w:spacing/>
              <w:ind/>
              <w:jc w:val="center"/>
              <w:rPr>
                <w:color w:val="000000" w:themeColor="text1"/>
                <w:sz w:val="22"/>
                <w:szCs w:val="22"/>
              </w:rPr>
            </w:pPr>
            <w:r>
              <w:rPr>
                <w:color w:val="000000" w:themeColor="text1"/>
                <w:sz w:val="22"/>
                <w:szCs w:val="22"/>
              </w:rPr>
              <w:t xml:space="preserve">Nhà 06 tầng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0F7D212E">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106F5D68">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D1060A4">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685ABB7">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06D0617">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6A28700">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33826B21">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05263C50">
            <w:pPr>
              <w:pBdr/>
              <w:spacing/>
              <w:ind/>
              <w:rPr>
                <w:color w:val="000000" w:themeColor="text1"/>
                <w:sz w:val="22"/>
                <w:szCs w:val="22"/>
              </w:rPr>
            </w:pPr>
            <w:r>
              <w:rPr>
                <w:color w:val="000000" w:themeColor="text1"/>
                <w:sz w:val="22"/>
                <w:szCs w:val="22"/>
              </w:rPr>
              <w:t xml:space="preserve">Diện tích sàn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30AE7EB">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05AC4EC">
            <w:pPr>
              <w:pBdr/>
              <w:spacing/>
              <w:ind/>
              <w:jc w:val="center"/>
              <w:rPr>
                <w:color w:val="000000" w:themeColor="text1"/>
                <w:sz w:val="22"/>
                <w:szCs w:val="22"/>
              </w:rPr>
            </w:pPr>
            <w:r>
              <w:rPr>
                <w:color w:val="000000" w:themeColor="text1"/>
                <w:sz w:val="22"/>
                <w:szCs w:val="22"/>
              </w:rPr>
              <w:t xml:space="preserve">380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53BFD4C">
            <w:pPr>
              <w:pBdr/>
              <w:spacing/>
              <w:ind/>
              <w:jc w:val="center"/>
              <w:rPr>
                <w:color w:val="000000" w:themeColor="text1"/>
                <w:sz w:val="22"/>
                <w:szCs w:val="22"/>
              </w:rPr>
            </w:pPr>
            <w:r>
              <w:rPr>
                <w:color w:val="000000" w:themeColor="text1"/>
                <w:sz w:val="22"/>
                <w:szCs w:val="22"/>
              </w:rPr>
              <w:t xml:space="preserve">380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6306646">
            <w:pPr>
              <w:pBdr/>
              <w:spacing/>
              <w:ind/>
              <w:jc w:val="center"/>
              <w:rPr>
                <w:color w:val="000000" w:themeColor="text1"/>
                <w:sz w:val="22"/>
                <w:szCs w:val="22"/>
              </w:rPr>
            </w:pPr>
            <w:r>
              <w:rPr>
                <w:color w:val="000000" w:themeColor="text1"/>
                <w:sz w:val="22"/>
                <w:szCs w:val="22"/>
              </w:rPr>
              <w:t xml:space="preserve">227</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21.900.000.000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22.500.000.000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12.900.000.000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19.710.000.000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20.250.000.000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11.610.000.000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2.869.661.200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4586DC">
            <w:pPr>
              <w:pBdr/>
              <w:spacing/>
              <w:ind/>
              <w:jc w:val="center"/>
              <w:rPr>
                <w:color w:val="000000"/>
                <w:sz w:val="22"/>
                <w:szCs w:val="22"/>
              </w:rPr>
            </w:pPr>
            <w:r>
              <w:rPr>
                <w:color w:val="000000"/>
                <w:sz w:val="22"/>
                <w:szCs w:val="22"/>
              </w:rPr>
              <w:t xml:space="preserve">2.869.661.200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1.743.829.618</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0D4ADD34">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0AE15A16">
            <w:pPr>
              <w:pBdr/>
              <w:spacing/>
              <w:ind/>
              <w:rPr>
                <w:b w:val="0"/>
                <w:bCs/>
                <w:i/>
                <w:color w:val="000000"/>
                <w:sz w:val="22"/>
                <w:szCs w:val="22"/>
              </w:rPr>
            </w:pPr>
            <w:r>
              <w:rPr>
                <w:b w:val="0"/>
                <w:bCs w:val="0"/>
                <w:i/>
                <w:iCs/>
                <w:color w:val="000000"/>
                <w:sz w:val="22"/>
                <w:szCs w:val="22"/>
              </w:rPr>
              <w:t xml:space="preserve">Đơn giá xây dựng theo Quyết định số 409/QĐ-BXD ngày 11/4/2025 của Bộ Xây Dựng (đồng/m2)</w:t>
            </w:r>
            <w:r>
              <w:rPr>
                <w:b w:val="0"/>
                <w:bCs w:val="0"/>
                <w:i/>
                <w:iCs/>
                <w:color w:val="000000"/>
                <w:sz w:val="22"/>
                <w:szCs w:val="22"/>
              </w:rPr>
            </w:r>
            <w:r>
              <w:rPr>
                <w:b w:val="0"/>
                <w:bCs/>
                <w:i/>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09EF92E">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E898CE9">
            <w:pPr>
              <w:pBdr/>
              <w:spacing/>
              <w:ind/>
              <w:jc w:val="center"/>
              <w:rPr>
                <w:color w:val="000000" w:themeColor="text1"/>
                <w:sz w:val="22"/>
                <w:szCs w:val="22"/>
              </w:rPr>
            </w:pPr>
            <w:r>
              <w:rPr>
                <w:color w:val="000000" w:themeColor="text1"/>
                <w:sz w:val="22"/>
                <w:szCs w:val="22"/>
              </w:rPr>
              <w:t xml:space="preserve">7.949.200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79A9193">
            <w:pPr>
              <w:pBdr/>
              <w:spacing/>
              <w:ind/>
              <w:jc w:val="center"/>
              <w:rPr>
                <w:color w:val="000000" w:themeColor="text1"/>
                <w:sz w:val="22"/>
                <w:szCs w:val="22"/>
              </w:rPr>
            </w:pPr>
            <w:r>
              <w:rPr>
                <w:color w:val="000000" w:themeColor="text1"/>
                <w:sz w:val="22"/>
                <w:szCs w:val="22"/>
              </w:rPr>
              <w:t xml:space="preserve">7.949.200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976E5E0">
            <w:pPr>
              <w:pBdr/>
              <w:spacing/>
              <w:ind/>
              <w:jc w:val="center"/>
              <w:rPr>
                <w:color w:val="000000" w:themeColor="text1"/>
                <w:sz w:val="22"/>
                <w:szCs w:val="22"/>
              </w:rPr>
            </w:pPr>
            <w:r>
              <w:rPr>
                <w:color w:val="000000" w:themeColor="text1"/>
                <w:sz w:val="22"/>
                <w:szCs w:val="22"/>
              </w:rPr>
              <w:t xml:space="preserve">8.535.632</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560E3750">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0E992E17">
            <w:pPr>
              <w:pBdr/>
              <w:spacing/>
              <w:ind/>
              <w:rPr>
                <w:b w:val="0"/>
                <w:bCs w:val="0"/>
                <w:i/>
                <w:color w:val="000000"/>
                <w:sz w:val="22"/>
                <w:szCs w:val="22"/>
              </w:rPr>
            </w:pPr>
            <w:r>
              <w:rPr>
                <w:b w:val="0"/>
                <w:bCs w:val="0"/>
                <w:i/>
                <w:iCs/>
                <w:color w:val="000000"/>
                <w:sz w:val="22"/>
                <w:szCs w:val="22"/>
              </w:rPr>
              <w:t xml:space="preserve">Tỷ lệ % hoàn thiện</w:t>
            </w:r>
            <w:r>
              <w:rPr>
                <w:b w:val="0"/>
                <w:bCs w:val="0"/>
                <w:i/>
                <w:color w:val="000000"/>
                <w:sz w:val="22"/>
                <w:szCs w:val="22"/>
              </w:rPr>
            </w:r>
            <w:r>
              <w:rPr>
                <w:b w:val="0"/>
                <w:bCs w:val="0"/>
                <w:i/>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3C763D6">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6FB03D7">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9F8F583">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9F8F583">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6B7F346F">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4ACF4638">
            <w:pPr>
              <w:pBdr/>
              <w:spacing/>
              <w:ind/>
              <w:rPr>
                <w:b w:val="0"/>
                <w:bCs w:val="0"/>
                <w:i/>
                <w:color w:val="000000"/>
                <w:sz w:val="22"/>
                <w:szCs w:val="22"/>
              </w:rPr>
            </w:pPr>
            <w:r>
              <w:rPr>
                <w:b w:val="0"/>
                <w:bCs w:val="0"/>
                <w:i/>
                <w:iCs/>
                <w:color w:val="000000"/>
                <w:sz w:val="22"/>
                <w:szCs w:val="22"/>
              </w:rPr>
              <w:t xml:space="preserve">Tỷ lệ % hao mòn</w:t>
            </w:r>
            <w:r>
              <w:rPr>
                <w:b w:val="0"/>
                <w:bCs w:val="0"/>
                <w:i/>
                <w:color w:val="000000"/>
                <w:sz w:val="22"/>
                <w:szCs w:val="22"/>
              </w:rPr>
            </w:r>
            <w:r>
              <w:rPr>
                <w:b w:val="0"/>
                <w:bCs w:val="0"/>
                <w:i/>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01CD8C3">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6ED78B8">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96E18FF">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7200371">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2C3028F3">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637C5280">
            <w:pPr>
              <w:pBdr/>
              <w:spacing/>
              <w:ind/>
              <w:rPr>
                <w:b w:val="0"/>
                <w:bCs w:val="0"/>
                <w:i/>
                <w:color w:val="000000"/>
                <w:sz w:val="22"/>
                <w:szCs w:val="22"/>
              </w:rPr>
            </w:pPr>
            <w:r>
              <w:rPr>
                <w:b w:val="0"/>
                <w:bCs w:val="0"/>
                <w:i/>
                <w:iCs/>
                <w:color w:val="000000"/>
                <w:sz w:val="22"/>
                <w:szCs w:val="22"/>
              </w:rPr>
              <w:t xml:space="preserve">Tỷ lệ % CLCL</w:t>
            </w:r>
            <w:r>
              <w:rPr>
                <w:b w:val="0"/>
                <w:bCs w:val="0"/>
                <w:i/>
                <w:color w:val="000000"/>
                <w:sz w:val="22"/>
                <w:szCs w:val="22"/>
              </w:rPr>
            </w:r>
            <w:r>
              <w:rPr>
                <w:b w:val="0"/>
                <w:bCs w:val="0"/>
                <w:i/>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2A7A51B">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777EAAD">
            <w:pPr>
              <w:pBdr/>
              <w:spacing/>
              <w:ind/>
              <w:jc w:val="center"/>
              <w:rPr>
                <w:color w:val="000000" w:themeColor="text1"/>
                <w:sz w:val="22"/>
                <w:szCs w:val="22"/>
              </w:rPr>
            </w:pPr>
            <w:r>
              <w:rPr>
                <w:color w:val="000000" w:themeColor="text1"/>
                <w:sz w:val="22"/>
                <w:szCs w:val="22"/>
              </w:rPr>
              <w:t xml:space="preserve">95%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5B4285DD">
            <w:pPr>
              <w:pBdr/>
              <w:spacing/>
              <w:ind/>
              <w:jc w:val="center"/>
              <w:rPr>
                <w:color w:val="000000" w:themeColor="text1"/>
                <w:sz w:val="22"/>
                <w:szCs w:val="22"/>
              </w:rPr>
            </w:pPr>
            <w:r>
              <w:rPr>
                <w:color w:val="000000" w:themeColor="text1"/>
                <w:sz w:val="22"/>
                <w:szCs w:val="22"/>
              </w:rPr>
              <w:t xml:space="preserve">95%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3466BBE">
            <w:pPr>
              <w:pBdr/>
              <w:spacing/>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16.840.338.800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32E778F">
            <w:pPr>
              <w:pBdr/>
              <w:spacing/>
              <w:ind/>
              <w:jc w:val="center"/>
              <w:rPr>
                <w:color w:val="000000"/>
                <w:sz w:val="22"/>
                <w:szCs w:val="22"/>
              </w:rPr>
            </w:pPr>
            <w:r>
              <w:rPr>
                <w:color w:val="000000" w:themeColor="text1"/>
                <w:sz w:val="22"/>
                <w:szCs w:val="22"/>
              </w:rPr>
              <w:t xml:space="preserve">17.840.338.800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9.866.170.382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365.413.718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8"/>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891"/>
        <w:gridCol w:w="1276"/>
        <w:gridCol w:w="1701"/>
        <w:gridCol w:w="1729"/>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16.840.338.800</w:t>
            </w:r>
            <w:r>
              <w:rPr>
                <w:color w:val="000000"/>
                <w:sz w:val="20"/>
                <w:szCs w:val="20"/>
              </w:rPr>
            </w:r>
            <w:r>
              <w:rPr>
                <w:color w:val="000000"/>
                <w:sz w:val="20"/>
                <w:szCs w:val="20"/>
              </w:rPr>
            </w:r>
          </w:p>
        </w:tc>
        <w:tc>
          <w:tcPr>
            <w:shd w:val="clear" w:color="000000" w:fill="ffffff"/>
            <w:tcBorders/>
            <w:tcW w:w="1729"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17.380.338.800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9.866.170.382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365.413.718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365.413.718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365.413.718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365.413.718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Khu Văn Phú, phường Kiến Hưng, thành phố Hà Nội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78DBE7A2">
            <w:pPr>
              <w:pBdr/>
              <w:spacing/>
              <w:ind/>
              <w:jc w:val="center"/>
              <w:rPr>
                <w:b/>
                <w:bCs/>
                <w:color w:val="000000"/>
                <w:sz w:val="22"/>
                <w:szCs w:val="22"/>
              </w:rPr>
            </w:pPr>
            <w:r>
              <w:rPr>
                <w:color w:val="000000" w:themeColor="text1"/>
                <w:sz w:val="22"/>
                <w:szCs w:val="22"/>
              </w:rPr>
              <w:t xml:space="preserve">Khu Văn Phú, phường Kiến Hưng, thành phố Hà Nội</w:t>
            </w:r>
            <w:r>
              <w:rPr>
                <w:b/>
                <w:bCs/>
                <w:color w:val="000000"/>
                <w:sz w:val="22"/>
                <w:szCs w:val="22"/>
              </w:rPr>
            </w:r>
            <w:r>
              <w:rPr>
                <w:b/>
                <w:bCs/>
                <w:color w:val="000000"/>
                <w:sz w:val="22"/>
                <w:szCs w:val="22"/>
              </w:rPr>
            </w:r>
          </w:p>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78DBE7A2">
            <w:pPr>
              <w:pBdr/>
              <w:spacing/>
              <w:ind/>
              <w:jc w:val="center"/>
              <w:rPr>
                <w:b/>
                <w:bCs/>
                <w:color w:val="000000"/>
                <w:sz w:val="22"/>
                <w:szCs w:val="22"/>
              </w:rPr>
            </w:pPr>
            <w:r>
              <w:rPr>
                <w:color w:val="000000" w:themeColor="text1"/>
                <w:sz w:val="22"/>
                <w:szCs w:val="22"/>
              </w:rPr>
              <w:t xml:space="preserve">Khu Văn Phú, phường Kiến Hưng, thành phố Hà Nội</w:t>
            </w:r>
            <w:r>
              <w:rPr>
                <w:b/>
                <w:bCs/>
                <w:color w:val="000000"/>
                <w:sz w:val="22"/>
                <w:szCs w:val="22"/>
              </w:rPr>
            </w:r>
            <w:r>
              <w:rPr>
                <w:b/>
                <w:bCs/>
                <w:color w:val="000000"/>
                <w:sz w:val="22"/>
                <w:szCs w:val="22"/>
              </w:rPr>
            </w:r>
          </w:p>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8DBE7A2">
            <w:pPr>
              <w:pBdr/>
              <w:spacing/>
              <w:ind/>
              <w:jc w:val="center"/>
              <w:rPr>
                <w:b/>
                <w:bCs/>
                <w:color w:val="000000"/>
                <w:sz w:val="22"/>
                <w:szCs w:val="22"/>
              </w:rPr>
            </w:pPr>
            <w:r>
              <w:rPr>
                <w:color w:val="000000" w:themeColor="text1"/>
                <w:sz w:val="22"/>
                <w:szCs w:val="22"/>
              </w:rPr>
              <w:t xml:space="preserve">Khu Văn Phú, phường Kiến Hưng, thành phố Hà Nội</w:t>
            </w:r>
            <w:r>
              <w:rPr>
                <w:b/>
                <w:bCs/>
                <w:color w:val="000000"/>
                <w:sz w:val="22"/>
                <w:szCs w:val="22"/>
              </w:rPr>
            </w:r>
            <w:r>
              <w:rPr>
                <w:b/>
                <w:bCs/>
                <w:color w:val="000000"/>
                <w:sz w:val="22"/>
                <w:szCs w:val="22"/>
              </w:rPr>
            </w:r>
          </w:p>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365.413.718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365.413.718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365.413.718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-21.924.823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343.488.895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5.56</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343.488.895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8.99</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8.99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-36.541.372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306.947.523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306.947.523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336.806.776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347.606.776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306.947.523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336.806.776</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347.606.776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306.947.523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891"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276"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952"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330.453.692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1.92%</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5.19%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-7.11%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276"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891"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276"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58.466.195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7D51D8B7" w14:textId="55439F0B">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729" w:type="dxa"/>
            <w:vAlign w:val="center"/>
            <w:textDirection w:val="lrTb"/>
            <w:noWrap/>
          </w:tcPr>
          <w:p w14:paraId="47F3E79B" w14:textId="17C86644">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276"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5D277CF" w14:textId="486BA53F">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729" w:type="dxa"/>
            <w:vAlign w:val="center"/>
            <w:textDirection w:val="lrTb"/>
            <w:noWrap/>
          </w:tcPr>
          <w:p w14:paraId="064B2056" w14:textId="3084EC66">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891"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276"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4B4723C4" w14:textId="005806D1">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729" w:type="dxa"/>
            <w:vAlign w:val="center"/>
            <w:textDirection w:val="lrTb"/>
            <w:noWrap/>
          </w:tcPr>
          <w:p w14:paraId="0333FBBC" w14:textId="3BDC0531">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58.466.195</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-7,11</w:t>
      </w:r>
      <w:r>
        <w:t xml:space="preserve">% </w:t>
      </w:r>
      <w:r>
        <w:t xml:space="preserve">đến</w:t>
      </w:r>
      <w:r>
        <w:t xml:space="preserve"> </w:t>
      </w:r>
      <w:r>
        <w:t xml:space="preserve">5,19</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336.806.776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112.291.379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347.606.776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115.857.338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306.947.523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102.305.609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330.454.326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330.000.000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330.000.000</w:t>
      </w:r>
      <w:r>
        <w:rPr>
          <w:b/>
          <w:bCs/>
          <w:color w:val="000000" w:themeColor="text1"/>
        </w:rPr>
        <w:t xml:space="preserve"> </w:t>
      </w:r>
      <w:r>
        <w:rPr>
          <w:b/>
          <w:bCs/>
        </w:rPr>
        <w:t xml:space="preserve">đồng</w:t>
      </w:r>
      <w:r>
        <w:rPr>
          <w:b/>
          <w:bCs/>
        </w:rPr>
        <w:t xml:space="preserve">/m².</w:t>
      </w:r>
      <w:r>
        <w:rPr>
          <w:b/>
          <w:bCs/>
        </w:rPr>
      </w:r>
      <w:r>
        <w:rPr>
          <w:b/>
          <w:bCs/>
        </w:rPr>
      </w:r>
    </w:p>
    <w:p w14:paraId="7CA7D420" w14:textId="77777777">
      <w:pPr>
        <w:pStyle w:val="1028"/>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14:paraId="4EB99F7E">
      <w:pPr>
        <w:pStyle w:val="1028"/>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left="0"/>
        <w:jc w:val="both"/>
        <w:rPr/>
      </w:pPr>
      <w:r>
        <w:rPr>
          <w:lang w:val="pt-BR"/>
        </w:rPr>
        <w:t xml:space="preserve">       </w:t>
      </w:r>
      <w:r>
        <w:rPr>
          <w:lang w:val="pt-BR"/>
        </w:rPr>
        <w:t xml:space="preserve">Qua tham khảo thị trường về đơn giá xây dựng mới đối với công trình nhà riêng lẻ 05 tầng, cân nhắc và xem xét với mức độ hoàn thiện của công trình xây dựng hiện có, Tổ thẩm định nhận thấy đơn giá vận dụng theo Quyết định số 409/QĐ-BXD ngày 11 tháng 4 năm 2</w:t>
      </w:r>
      <w:r>
        <w:rPr>
          <w:lang w:val="pt-BR"/>
        </w:rPr>
        <w:t xml:space="preserve">025 của Bộ Xây dựng về việc công bố suất vốn đầu tư xây dựng và giá xây dựng tổng hợp bộ phận kết cấu công trình năm 2023 là khá phù hợp với thị trường, theo đó</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highlight w:val="white"/>
        </w:rPr>
        <w:t xml:space="preserve"> </w:t>
      </w:r>
      <w:r/>
    </w:p>
    <w:p w14:paraId="5D09B852">
      <w:pPr>
        <w:pBdr>
          <w:top w:val="none" w:color="000000" w:sz="4" w:space="0"/>
          <w:left w:val="none" w:color="000000" w:sz="4" w:space="0"/>
          <w:bottom w:val="none" w:color="000000" w:sz="4" w:space="0"/>
          <w:right w:val="none" w:color="000000" w:sz="4" w:space="0"/>
        </w:pBdr>
        <w:spacing w:after="60" w:before="60"/>
        <w:ind w:right="0" w:firstLine="425" w:left="0"/>
        <w:rPr/>
      </w:pP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i/>
          <w:color w:val="000000"/>
          <w:sz w:val="24"/>
        </w:rPr>
        <w:t xml:space="preserve">Nhà từ 4 đến 5 tầng, kết cấu khung chịu lực BTCT; tường bao xây gạch; sàn, mái BTCT đổ tại chỗ, không có tầng hầm Diện tích xây dựng từ 50 - dưới 70m² </w:t>
      </w:r>
      <w:r>
        <w:rPr>
          <w:rFonts w:ascii="Times New Roman" w:hAnsi="Times New Roman" w:eastAsia="Times New Roman" w:cs="Times New Roman"/>
          <w:i/>
          <w:color w:val="000000"/>
          <w:sz w:val="24"/>
          <w:highlight w:val="white"/>
        </w:rPr>
        <w:t xml:space="preserve">là</w:t>
      </w:r>
      <w:r>
        <w:rPr>
          <w:rFonts w:ascii="Times New Roman" w:hAnsi="Times New Roman" w:eastAsia="Times New Roman" w:cs="Times New Roman"/>
          <w:i/>
          <w:color w:val="000000"/>
          <w:sz w:val="24"/>
        </w:rPr>
        <w:t xml:space="preserve"> 8.350.000 </w:t>
      </w:r>
      <w:r>
        <w:rPr>
          <w:rFonts w:ascii="Times New Roman" w:hAnsi="Times New Roman" w:eastAsia="Times New Roman" w:cs="Times New Roman"/>
          <w:i/>
          <w:color w:val="000000"/>
          <w:sz w:val="24"/>
          <w:highlight w:val="white"/>
        </w:rPr>
        <w:t xml:space="preserve">đồng/m² sàn, hệ số vùng 7 – TP Hà Nội là 0,952, tương đương đơn giá: 7.949.200 đồng/m</w:t>
      </w:r>
      <w:r>
        <w:rPr>
          <w:rFonts w:ascii="Times New Roman" w:hAnsi="Times New Roman" w:eastAsia="Times New Roman" w:cs="Times New Roman"/>
          <w:i/>
          <w:color w:val="000000"/>
          <w:sz w:val="20"/>
          <w:highlight w:val="white"/>
          <w:vertAlign w:val="superscript"/>
        </w:rPr>
        <w:t xml:space="preserve">2</w:t>
      </w:r>
      <w:r>
        <w:rPr>
          <w:rFonts w:ascii="Times New Roman" w:hAnsi="Times New Roman" w:eastAsia="Times New Roman" w:cs="Times New Roman"/>
          <w:i/>
          <w:color w:val="000000"/>
          <w:sz w:val="24"/>
          <w:highlight w:val="white"/>
        </w:rPr>
        <w:t xml:space="preserve">”.</w:t>
      </w:r>
      <w:r/>
    </w:p>
    <w:p w14:paraId="18911816">
      <w:pPr>
        <w:pBdr>
          <w:top w:val="none" w:color="000000" w:sz="4" w:space="0"/>
          <w:left w:val="none" w:color="000000" w:sz="4" w:space="0"/>
          <w:bottom w:val="none" w:color="000000" w:sz="4" w:space="0"/>
          <w:right w:val="none" w:color="000000" w:sz="4" w:space="0"/>
        </w:pBdr>
        <w:spacing w:after="60" w:before="60"/>
        <w:ind w:right="0" w:firstLine="425"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Do đó, Tổ thẩm định xác định đơn giá xây mới của công trình là</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7.949.200 đ</w:t>
      </w:r>
      <w:r>
        <w:rPr>
          <w:rFonts w:ascii="Times New Roman" w:hAnsi="Times New Roman" w:eastAsia="Times New Roman" w:cs="Times New Roman"/>
          <w:b/>
          <w:color w:val="000000"/>
          <w:sz w:val="24"/>
          <w:highlight w:val="white"/>
        </w:rPr>
        <w:t xml:space="preserve">ồng/m²</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sz w:val="24"/>
        </w:rPr>
      </w:r>
      <w:r>
        <w:rPr>
          <w:rFonts w:ascii="Times New Roman" w:hAnsi="Times New Roman" w:eastAsia="Times New Roman" w:cs="Times New Roman"/>
          <w:color w:val="000000"/>
          <w:sz w:val="24"/>
          <w:szCs w:val="24"/>
          <w:highlight w:val="none"/>
        </w:rPr>
      </w:r>
    </w:p>
    <w:p w14:paraId="2EE7B8D6">
      <w:pPr>
        <w:pStyle w:val="1028"/>
        <w:numPr>
          <w:ilvl w:val="0"/>
          <w:numId w:val="40"/>
        </w:numPr>
        <w:pBdr>
          <w:top w:val="none" w:color="000000" w:sz="4" w:space="0"/>
          <w:left w:val="none" w:color="000000" w:sz="4" w:space="0"/>
          <w:bottom w:val="none" w:color="000000" w:sz="4" w:space="0"/>
          <w:right w:val="none" w:color="000000" w:sz="4" w:space="0"/>
        </w:pBdr>
        <w:spacing w:after="60" w:before="60"/>
        <w:ind w:right="0"/>
        <w:rPr>
          <w:rFonts w:ascii="Times New Roman" w:hAnsi="Times New Roman" w:eastAsia="Times New Roman" w:cs="Times New Roman"/>
          <w:b/>
          <w:bCs/>
          <w:sz w:val="24"/>
          <w:szCs w:val="24"/>
        </w:rPr>
      </w:pPr>
      <w:r>
        <w:rPr>
          <w:rFonts w:ascii="Times New Roman" w:hAnsi="Times New Roman" w:eastAsia="Times New Roman" w:cs="Times New Roman"/>
          <w:b/>
          <w:bCs/>
          <w:color w:val="000000"/>
          <w:sz w:val="24"/>
          <w:highlight w:val="none"/>
        </w:rPr>
        <w:t xml:space="preserve">Xác định giá trị hao mòn:</w:t>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14:paraId="4728248E">
      <w:pPr>
        <w:pStyle w:val="1028"/>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left="0"/>
        <w:jc w:val="both"/>
        <w:rPr>
          <w:lang w:val="pt-BR"/>
          <w14:ligatures w14:val="none"/>
        </w:rPr>
      </w:pPr>
      <w:r>
        <w:rPr>
          <w:lang w:val="pt-BR"/>
        </w:rPr>
        <w:t xml:space="preserve">     Tỉ lệ hao mòn được tính toán theo phương pháp tuổi đời:</w:t>
      </w:r>
      <w:r>
        <w:rPr>
          <w:lang w:val="pt-BR"/>
        </w:rPr>
      </w:r>
      <w:r>
        <w:rPr>
          <w:lang w:val="pt-BR"/>
          <w14:ligatures w14:val="none"/>
        </w:rPr>
      </w:r>
    </w:p>
    <w:p w14:paraId="194D1521">
      <w:pPr>
        <w:pStyle w:val="1028"/>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left="0"/>
        <w:jc w:val="both"/>
        <w:rPr>
          <w:lang w:val="pt-BR"/>
          <w14:ligatures w14:val="none"/>
        </w:rPr>
      </w:pPr>
      <w:r>
        <w:rPr>
          <w:lang w:val="pt-BR"/>
        </w:rPr>
        <w:t xml:space="preserve">     Công thức: Tỉ lệ hao mòn = Tuổi đời hiệu quả/Tuổi đời kinh tế</w:t>
      </w:r>
      <w:r>
        <w:rPr>
          <w:lang w:val="pt-BR"/>
        </w:rPr>
      </w:r>
      <w:r>
        <w:rPr>
          <w:lang w:val="pt-BR"/>
          <w14:ligatures w14:val="none"/>
        </w:rPr>
      </w:r>
    </w:p>
    <w:p w14:paraId="3822EFCC">
      <w:pPr>
        <w:pStyle w:val="1028"/>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left="0"/>
        <w:jc w:val="both"/>
        <w:rPr>
          <w:lang w:val="pt-BR"/>
          <w14:ligatures w14:val="none"/>
        </w:rPr>
      </w:pPr>
      <w:r>
        <w:rPr>
          <w:lang w:val="pt-BR"/>
        </w:rPr>
        <w:t xml:space="preserve">      </w:t>
      </w:r>
      <w:r>
        <w:rPr>
          <w:lang w:val="pt-BR"/>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được hoàn thành năm 20</w:t>
      </w:r>
      <w:r>
        <w:rPr>
          <w:lang w:val="pt-BR"/>
        </w:rPr>
        <w:t xml:space="preserve">21, do đó, Tổ thẩm định ước tính tuổi đời hiệu quả của công trình là khoảng 4 năm.</w:t>
      </w:r>
      <w:r>
        <w:rPr>
          <w:lang w:val="pt-BR"/>
        </w:rPr>
      </w:r>
      <w:r>
        <w:rPr>
          <w:lang w:val="pt-BR"/>
          <w14:ligatures w14:val="none"/>
        </w:rPr>
      </w:r>
    </w:p>
    <w:p w14:paraId="70D43FA3">
      <w:pPr>
        <w:pStyle w:val="1028"/>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left="0"/>
        <w:jc w:val="both"/>
        <w:rPr>
          <w:lang w:val="pt-BR"/>
          <w14:ligatures w14:val="none"/>
        </w:rPr>
      </w:pPr>
      <w:r>
        <w:rPr>
          <w:lang w:val="pt-BR"/>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lang w:val="pt-BR"/>
        </w:rPr>
        <w:t xml:space="preserve">ông trình, Tổ thẩm định xác định tuổi đời kinh tế của tài sản thẩm định là 50 năm. </w:t>
      </w:r>
      <w:r>
        <w:rPr>
          <w:lang w:val="pt-BR"/>
        </w:rPr>
      </w:r>
      <w:r>
        <w:rPr>
          <w:lang w:val="pt-BR"/>
          <w14:ligatures w14:val="none"/>
        </w:rPr>
      </w:r>
    </w:p>
    <w:tbl>
      <w:tblPr>
        <w:tblStyle w:val="1032"/>
        <w:tblInd w:w="108" w:type="dxa"/>
        <w:tblW w:w="49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2168"/>
        <w:gridCol w:w="1600"/>
        <w:gridCol w:w="1307"/>
        <w:gridCol w:w="1307"/>
        <w:gridCol w:w="1307"/>
        <w:gridCol w:w="1664"/>
      </w:tblGrid>
      <w:tr>
        <w:trPr>
          <w:trHeight w:val="18"/>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63EC56EE">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Tên 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00" w:type="dxa"/>
            <w:vAlign w:val="center"/>
            <w:textDirection w:val="lrTb"/>
            <w:noWrap w:val="false"/>
          </w:tcPr>
          <w:p w14:paraId="77750EEC">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07" w:type="dxa"/>
            <w:vAlign w:val="center"/>
            <w:textDirection w:val="lrTb"/>
            <w:noWrap w:val="false"/>
          </w:tcPr>
          <w:p w14:paraId="6CED9191">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07" w:type="dxa"/>
            <w:vAlign w:val="center"/>
            <w:textDirection w:val="lrTb"/>
            <w:noWrap w:val="false"/>
          </w:tcPr>
          <w:p w14:paraId="05300695">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07" w:type="dxa"/>
            <w:vAlign w:val="center"/>
            <w:textDirection w:val="lrTb"/>
            <w:noWrap w:val="false"/>
          </w:tcPr>
          <w:p w14:paraId="4DC96CD9">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Tỉ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20AFF69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Giá trị hao mòn (đồng)</w:t>
            </w:r>
            <w:r/>
          </w:p>
        </w:tc>
      </w:tr>
      <w:tr>
        <w:trPr>
          <w:trHeight w:val="1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2168" w:type="dxa"/>
            <w:vAlign w:val="center"/>
            <w:textDirection w:val="lrTb"/>
            <w:noWrap w:val="false"/>
          </w:tcPr>
          <w:p w14:paraId="5DEA522A">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Nhà 05 tầng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0" w:type="dxa"/>
            <w:vAlign w:val="center"/>
            <w:textDirection w:val="lrTb"/>
            <w:noWrap w:val="false"/>
          </w:tcPr>
          <w:p w14:paraId="158EFA7B">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07" w:type="dxa"/>
            <w:vAlign w:val="center"/>
            <w:textDirection w:val="lrTb"/>
            <w:noWrap w:val="false"/>
          </w:tcPr>
          <w:p w14:paraId="48B1717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07" w:type="dxa"/>
            <w:vAlign w:val="center"/>
            <w:textDirection w:val="lrTb"/>
            <w:noWrap w:val="false"/>
          </w:tcPr>
          <w:p w14:paraId="3D0ADA2B">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07" w:type="dxa"/>
            <w:vAlign w:val="center"/>
            <w:textDirection w:val="lrTb"/>
            <w:noWrap w:val="false"/>
          </w:tcPr>
          <w:p w14:paraId="088D8D4C">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4" w:type="dxa"/>
            <w:vAlign w:val="center"/>
            <w:textDirection w:val="lrTb"/>
            <w:noWrap w:val="false"/>
          </w:tcPr>
          <w:p w14:paraId="518CDFCA">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0</w:t>
            </w:r>
            <w:r/>
          </w:p>
        </w:tc>
      </w:tr>
    </w:tbl>
    <w:p w14:paraId="2F49E585">
      <w:pPr>
        <w:pBdr>
          <w:top w:val="none" w:color="000000" w:sz="4" w:space="0"/>
          <w:left w:val="none" w:color="000000" w:sz="4" w:space="0"/>
          <w:bottom w:val="none" w:color="000000" w:sz="4" w:space="0"/>
          <w:right w:val="none" w:color="000000" w:sz="4" w:space="0"/>
        </w:pBdr>
        <w:spacing w:after="60" w:before="60"/>
        <w:ind w:right="0" w:firstLine="0" w:left="0"/>
        <w:jc w:val="both"/>
        <w:rPr>
          <w:b/>
          <w:bCs/>
          <w:highlight w:val="none"/>
          <w:lang w:val="pt-BR"/>
        </w:rPr>
      </w:pPr>
      <w:r>
        <w:rPr>
          <w:rFonts w:ascii="Times New Roman" w:hAnsi="Times New Roman" w:eastAsia="Times New Roman" w:cs="Times New Roman"/>
          <w:color w:val="000000"/>
          <w:sz w:val="24"/>
        </w:rPr>
        <w:t xml:space="preserve">      Tổ thẩm định xác định tỉ lệ hao mòn của tài sản thẩm định là: </w:t>
      </w:r>
      <w:r>
        <w:rPr>
          <w:rFonts w:ascii="Times New Roman" w:hAnsi="Times New Roman" w:eastAsia="Times New Roman" w:cs="Times New Roman"/>
          <w:color w:val="000000"/>
          <w:sz w:val="24"/>
        </w:rPr>
        <w:t xml:space="preserve">2%, theo đó tỷ lệ chất lượng còn lại của tài sản là: </w:t>
      </w:r>
      <w:r>
        <w:rPr>
          <w:rFonts w:ascii="Times New Roman" w:hAnsi="Times New Roman" w:eastAsia="Times New Roman" w:cs="Times New Roman"/>
          <w:b/>
          <w:color w:val="000000"/>
          <w:sz w:val="24"/>
        </w:rPr>
        <w:t xml:space="preserve">98%</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b/>
          <w:bCs/>
          <w:highlight w:val="none"/>
          <w:lang w:val="pt-BR"/>
        </w:rPr>
      </w:r>
    </w:p>
    <w:p w14:paraId="6FA03EBC">
      <w:pPr>
        <w:pBdr>
          <w:top w:val="none" w:color="000000" w:sz="4" w:space="0"/>
          <w:left w:val="none" w:color="000000" w:sz="4" w:space="0"/>
          <w:bottom w:val="none" w:color="000000" w:sz="4" w:space="0"/>
          <w:right w:val="none" w:color="000000" w:sz="4" w:space="0"/>
        </w:pBdr>
        <w:spacing w:after="60" w:before="60"/>
        <w:ind w:right="0" w:firstLine="0" w:left="0"/>
        <w:jc w:val="both"/>
        <w:rPr>
          <w:b/>
          <w:bCs/>
          <w:highlight w:val="none"/>
          <w:lang w:val="pt-BR"/>
        </w:rPr>
      </w:pPr>
      <w:r>
        <w:rPr>
          <w:b/>
          <w:highlight w:val="none"/>
          <w:lang w:val="pt-BR"/>
        </w:rPr>
        <w:t xml:space="preserve">3.</w:t>
      </w:r>
      <w:r>
        <w:rPr>
          <w:b/>
          <w:highlight w:val="none"/>
          <w:lang w:val="pt-BR"/>
        </w:rPr>
        <w:t xml:space="preserve">  Xác định giá trị công trình xây dựng: </w:t>
      </w:r>
      <w:r>
        <w:rPr>
          <w:b/>
          <w:bCs/>
          <w:highlight w:val="none"/>
          <w:lang w:val="pt-BR"/>
        </w:rPr>
      </w:r>
      <w:r>
        <w:rPr>
          <w:b/>
          <w:bCs/>
          <w:highlight w:val="none"/>
          <w:lang w:val="pt-BR"/>
        </w:rPr>
      </w:r>
    </w:p>
    <w:p w14:paraId="3FC4C019">
      <w:pPr>
        <w:pBdr>
          <w:top w:val="none" w:color="000000" w:sz="4" w:space="0"/>
          <w:left w:val="none" w:color="000000" w:sz="4" w:space="0"/>
          <w:bottom w:val="none" w:color="000000" w:sz="4" w:space="0"/>
          <w:right w:val="none" w:color="000000" w:sz="4" w:space="0"/>
        </w:pBdr>
        <w:spacing w:after="80" w:before="80" w:line="276" w:lineRule="auto"/>
        <w:ind w:right="0" w:firstLine="0" w:left="360"/>
        <w:jc w:val="both"/>
        <w:rPr/>
      </w:pPr>
      <w:r>
        <w:rPr>
          <w:rFonts w:ascii="Times New Roman" w:hAnsi="Times New Roman" w:eastAsia="Times New Roman" w:cs="Times New Roman"/>
          <w:color w:val="000000"/>
          <w:spacing w:val="2"/>
          <w:sz w:val="24"/>
        </w:rPr>
        <w:t xml:space="preserve">Công thức:</w:t>
      </w:r>
      <w:r/>
    </w:p>
    <w:tbl>
      <w:tblPr>
        <w:tblStyle w:val="1032"/>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233"/>
        <w:gridCol w:w="350"/>
        <w:gridCol w:w="4"/>
        <w:gridCol w:w="1134"/>
        <w:gridCol w:w="1559"/>
        <w:gridCol w:w="1732"/>
        <w:gridCol w:w="1670"/>
        <w:gridCol w:w="1702"/>
      </w:tblGrid>
      <w:tr>
        <w:trPr>
          <w:trHeight w:val="794"/>
        </w:trPr>
        <w:tc>
          <w:tcPr>
            <w:tcBorders>
              <w:bottom w:val="single" w:color="000000" w:sz="8" w:space="0"/>
            </w:tcBorders>
            <w:tcMar>
              <w:left w:w="108" w:type="dxa"/>
              <w:top w:w="0" w:type="dxa"/>
              <w:right w:w="108" w:type="dxa"/>
              <w:bottom w:w="0" w:type="dxa"/>
            </w:tcMar>
            <w:tcW w:w="1233" w:type="dxa"/>
            <w:vAlign w:val="center"/>
            <w:textDirection w:val="lrTb"/>
            <w:noWrap w:val="false"/>
          </w:tcPr>
          <w:p w14:paraId="24AD5E67">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bottom w:val="single" w:color="000000" w:sz="8" w:space="0"/>
            </w:tcBorders>
            <w:tcMar>
              <w:left w:w="108" w:type="dxa"/>
              <w:top w:w="0" w:type="dxa"/>
              <w:right w:w="108" w:type="dxa"/>
              <w:bottom w:w="0" w:type="dxa"/>
            </w:tcMar>
            <w:tcW w:w="350" w:type="dxa"/>
            <w:vAlign w:val="center"/>
            <w:textDirection w:val="lrTb"/>
            <w:noWrap w:val="false"/>
          </w:tcPr>
          <w:p w14:paraId="27767967">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tcBorders>
            <w:tcMar>
              <w:left w:w="108" w:type="dxa"/>
              <w:top w:w="0" w:type="dxa"/>
              <w:right w:w="108" w:type="dxa"/>
              <w:bottom w:w="0" w:type="dxa"/>
            </w:tcMar>
            <w:tcW w:w="4429" w:type="dxa"/>
            <w:vAlign w:val="center"/>
            <w:textDirection w:val="lrTb"/>
            <w:noWrap w:val="false"/>
          </w:tcPr>
          <w:p w14:paraId="4A16FF3D">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Chi phí thay thế </w:t>
            </w:r>
            <w:r/>
          </w:p>
          <w:p w14:paraId="7E9EAC8E">
            <w:pPr>
              <w:pBdr>
                <w:top w:val="none" w:color="000000" w:sz="4" w:space="0"/>
                <w:left w:val="none" w:color="000000" w:sz="4" w:space="0"/>
                <w:bottom w:val="none" w:color="000000" w:sz="4" w:space="0"/>
                <w:right w:val="none" w:color="000000" w:sz="4" w:space="0"/>
              </w:pBdr>
              <w:shd w:val="clear" w:color="ffffff" w:fill="ffffff"/>
              <w:spacing w:after="120" w:before="0"/>
              <w:ind w:right="0" w:firstLine="0" w:left="0"/>
              <w:jc w:val="center"/>
              <w:rPr/>
            </w:pPr>
            <w:r>
              <w:rPr>
                <w:rFonts w:ascii="Times New Roman" w:hAnsi="Times New Roman" w:eastAsia="Times New Roman" w:cs="Times New Roman"/>
                <w:color w:val="000000"/>
                <w:sz w:val="24"/>
              </w:rPr>
              <w:t xml:space="preserve">(Giá trị xây mới tài sản đã bao gồm lợi nhuận của nhà sản xuất/nhà đầu tư)</w:t>
            </w:r>
            <w:r/>
          </w:p>
        </w:tc>
        <w:tc>
          <w:tcPr>
            <w:tcBorders>
              <w:bottom w:val="single" w:color="000000" w:sz="8" w:space="0"/>
            </w:tcBorders>
            <w:tcMar>
              <w:left w:w="108" w:type="dxa"/>
              <w:top w:w="0" w:type="dxa"/>
              <w:right w:w="108" w:type="dxa"/>
              <w:bottom w:w="0" w:type="dxa"/>
            </w:tcMar>
            <w:tcW w:w="1670" w:type="dxa"/>
            <w:vAlign w:val="center"/>
            <w:textDirection w:val="lrTb"/>
            <w:noWrap w:val="false"/>
          </w:tcPr>
          <w:p w14:paraId="04817CA7">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1702" w:type="dxa"/>
            <w:vAlign w:val="center"/>
            <w:textDirection w:val="lrTb"/>
            <w:noWrap w:val="false"/>
          </w:tcPr>
          <w:p w14:paraId="64204858">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Tổng giá trị hao mòn </w:t>
            </w:r>
            <w:r/>
          </w:p>
        </w:tc>
      </w:tr>
      <w:tr>
        <w:trPr>
          <w:trHeight w:val="20"/>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14:paraId="2325E8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14:paraId="29C476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sàn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6E660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xây dựng mới (đồng/m² sàn)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2" w:type="dxa"/>
            <w:vAlign w:val="center"/>
            <w:textDirection w:val="lrTb"/>
            <w:noWrap w:val="false"/>
          </w:tcPr>
          <w:p w14:paraId="478BA4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Chi phí thay thế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70" w:type="dxa"/>
            <w:vAlign w:val="center"/>
            <w:textDirection w:val="lrTb"/>
            <w:noWrap w:val="false"/>
          </w:tcPr>
          <w:p w14:paraId="5B9286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hao mòn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2" w:type="dxa"/>
            <w:vAlign w:val="top"/>
            <w:textDirection w:val="lrTb"/>
            <w:noWrap w:val="false"/>
          </w:tcPr>
          <w:p w14:paraId="7815B4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tại thời điểm thẩm định giá (đồng)</w:t>
            </w:r>
            <w:r/>
          </w:p>
        </w:tc>
      </w:tr>
      <w:tr>
        <w:trPr>
          <w:trHeight w:val="20"/>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14:paraId="51F3AA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14:paraId="59A713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B1EA3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2" w:type="dxa"/>
            <w:vAlign w:val="center"/>
            <w:textDirection w:val="lrTb"/>
            <w:noWrap w:val="false"/>
          </w:tcPr>
          <w:p w14:paraId="01CFCB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(4) = (2) *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70" w:type="dxa"/>
            <w:vAlign w:val="center"/>
            <w:textDirection w:val="lrTb"/>
            <w:noWrap w:val="false"/>
          </w:tcPr>
          <w:p w14:paraId="375E89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2" w:type="dxa"/>
            <w:vAlign w:val="top"/>
            <w:textDirection w:val="lrTb"/>
            <w:noWrap w:val="false"/>
          </w:tcPr>
          <w:p w14:paraId="387C4B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(6) = (4) - (5)</w:t>
            </w:r>
            <w:r/>
          </w:p>
        </w:tc>
      </w:tr>
      <w:tr>
        <w:trPr>
          <w:trHeight w:val="20"/>
        </w:trPr>
        <w:tc>
          <w:tcPr>
            <w:gridSpan w:val="3"/>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14:paraId="0F580C2E">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color w:val="000000"/>
                <w:sz w:val="24"/>
              </w:rPr>
              <w:t xml:space="preserve">Nhà 06 tầng +1 tum </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tcPr>
          <w:p w14:paraId="5CBBE6BA">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left"/>
              <w:rPr/>
            </w:pPr>
            <w:r>
              <w:rPr>
                <w:rFonts w:ascii="Times New Roman" w:hAnsi="Times New Roman" w:eastAsia="Times New Roman" w:cs="Times New Roman"/>
                <w:color w:val="000000"/>
                <w:sz w:val="24"/>
              </w:rPr>
              <w:t xml:space="preserve">341,9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4B7475E3">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7.949.200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2" w:type="dxa"/>
            <w:vAlign w:val="center"/>
            <w:textDirection w:val="lrTb"/>
            <w:noWrap w:val="false"/>
          </w:tcPr>
          <w:p w14:paraId="7AD1EC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2.717.831.840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70" w:type="dxa"/>
            <w:vAlign w:val="center"/>
            <w:textDirection w:val="lrTb"/>
            <w:noWrap w:val="false"/>
          </w:tcPr>
          <w:p w14:paraId="78242C10">
            <w:pPr>
              <w:pBdr>
                <w:top w:val="none" w:color="000000" w:sz="4" w:space="0"/>
                <w:left w:val="none" w:color="000000" w:sz="4" w:space="0"/>
                <w:bottom w:val="none" w:color="000000" w:sz="4" w:space="0"/>
                <w:right w:val="none" w:color="000000" w:sz="4" w:space="0"/>
              </w:pBdr>
              <w:shd w:val="clear" w:color="ffffff" w:fill="ffffff"/>
              <w:spacing w:after="40" w:before="40"/>
              <w:ind w:right="-99" w:firstLine="0" w:left="0"/>
              <w:jc w:val="center"/>
              <w:rPr/>
            </w:pPr>
            <w:r>
              <w:rPr>
                <w:rFonts w:ascii="Times New Roman" w:hAnsi="Times New Roman" w:eastAsia="Times New Roman" w:cs="Times New Roman"/>
                <w:color w:val="000000"/>
                <w:sz w:val="24"/>
              </w:rPr>
              <w:t xml:space="preserve">54.356.629,6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14:paraId="30A9F1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2.633.474.850</w:t>
            </w:r>
            <w:r/>
          </w:p>
        </w:tc>
      </w:tr>
    </w:tbl>
    <w:p w14:paraId="0A18D157">
      <w:pPr>
        <w:pBdr>
          <w:top w:val="none" w:color="000000" w:sz="4" w:space="0"/>
          <w:left w:val="none" w:color="000000" w:sz="4" w:space="0"/>
          <w:bottom w:val="none" w:color="000000" w:sz="4" w:space="0"/>
          <w:right w:val="none" w:color="000000" w:sz="4" w:space="0"/>
        </w:pBdr>
        <w:spacing w:after="60" w:before="60"/>
        <w:ind w:right="0" w:firstLine="0" w:left="0"/>
        <w:jc w:val="both"/>
        <w:rPr>
          <w:b/>
          <w:bCs/>
          <w:highlight w:val="none"/>
          <w:lang w:val="pt-BR"/>
        </w:rPr>
      </w:pPr>
      <w:r>
        <w:rPr>
          <w:b/>
          <w:highlight w:val="none"/>
          <w:lang w:val="pt-BR" w:bidi="pt-BR"/>
        </w:rPr>
      </w:r>
      <w:r>
        <w:rPr>
          <w:b/>
          <w:highlight w:val="none"/>
          <w:lang w:val="pt-BR"/>
        </w:rPr>
      </w:r>
      <w:r>
        <w:rPr>
          <w:b/>
          <w:bCs/>
          <w:highlight w:val="none"/>
          <w:lang w:val="pt-BR"/>
        </w:rPr>
      </w:r>
    </w:p>
    <w:p w14:paraId="4B506B03" w14:textId="49B8E0F8">
      <w:pPr>
        <w:pBdr/>
        <w:spacing w:after="120" w:before="120" w:line="276" w:lineRule="auto"/>
        <w:ind w:firstLine="0" w:left="0"/>
        <w:jc w:val="both"/>
        <w:rPr>
          <w:b/>
          <w:bCs/>
          <w:lang w:val="pt-BR"/>
        </w:rPr>
      </w:pPr>
      <w:r>
        <w:rPr>
          <w:b/>
          <w:lang w:val="pt-BR"/>
        </w:rPr>
        <w:t xml:space="preserve">4.  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bCs/>
          <w:lang w:val="pt-BR"/>
        </w:rPr>
      </w:r>
      <w:r>
        <w:rPr>
          <w:b/>
          <w:bCs/>
          <w:lang w:val="pt-BR"/>
        </w:rPr>
      </w:r>
    </w:p>
    <w:p w14:paraId="5FD09752" w14:textId="07A918B2">
      <w:pPr>
        <w:pStyle w:val="1028"/>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62"/>
        <w:gridCol w:w="1649"/>
        <w:gridCol w:w="1472"/>
        <w:gridCol w:w="2770"/>
        <w:gridCol w:w="1077"/>
        <w:gridCol w:w="1758"/>
      </w:tblGrid>
      <w:tr>
        <w:trPr>
          <w:trHeight w:val="20"/>
        </w:trPr>
        <w:tc>
          <w:tcPr>
            <w:gridSpan w:val="2"/>
            <w:shd w:val="clear" w:color="000000" w:fill="ffffff"/>
            <w:tcBorders/>
            <w:tcW w:w="799" w:type="dxa"/>
            <w:vAlign w:val="center"/>
            <w:textDirection w:val="lrTb"/>
            <w:noWrap w:val="false"/>
          </w:tcPr>
          <w:p w14:paraId="105BF4D9">
            <w:pPr>
              <w:pBdr/>
              <w:spacing w:after="40" w:before="40" w:line="288" w:lineRule="auto"/>
              <w:ind/>
              <w:jc w:val="center"/>
              <w:rPr>
                <w:b/>
                <w:bCs/>
              </w:rPr>
            </w:pPr>
            <w:r>
              <w:rPr>
                <w:b/>
                <w:bCs/>
              </w:rPr>
              <w:t xml:space="preserve">TT</w:t>
            </w:r>
            <w:r>
              <w:rPr>
                <w:b/>
                <w:bCs/>
              </w:rPr>
            </w:r>
            <w:r>
              <w:rPr>
                <w:b/>
                <w:bCs/>
              </w:rPr>
            </w:r>
          </w:p>
        </w:tc>
        <w:tc>
          <w:tcPr>
            <w:shd w:val="clear" w:color="000000" w:fill="ffffff"/>
            <w:tcBorders/>
            <w:tcW w:w="1649" w:type="dxa"/>
            <w:vAlign w:val="center"/>
            <w:textDirection w:val="lrTb"/>
            <w:noWrap w:val="false"/>
          </w:tcPr>
          <w:p w14:paraId="15254C7D">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472" w:type="dxa"/>
            <w:vAlign w:val="center"/>
            <w:textDirection w:val="lrTb"/>
            <w:noWrap w:val="false"/>
          </w:tcPr>
          <w:p w14:paraId="141BD329">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770" w:type="dxa"/>
            <w:vAlign w:val="center"/>
            <w:textDirection w:val="lrTb"/>
            <w:noWrap w:val="false"/>
          </w:tcPr>
          <w:p w14:paraId="2398FBAC">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077" w:type="dxa"/>
            <w:vAlign w:val="center"/>
            <w:textDirection w:val="lrTb"/>
            <w:noWrap w:val="false"/>
          </w:tcPr>
          <w:p w14:paraId="146FE0BC">
            <w:pPr>
              <w:pBdr/>
              <w:spacing/>
              <w:ind/>
              <w:jc w:val="center"/>
              <w:rPr>
                <w:b/>
                <w:bCs/>
              </w:rPr>
            </w:pPr>
            <w:r>
              <w:rPr>
                <w:b/>
                <w:bCs/>
              </w:rPr>
              <w:t xml:space="preserve">CLCL (%)</w:t>
            </w:r>
            <w:r>
              <w:rPr>
                <w:b/>
                <w:bCs/>
              </w:rPr>
            </w:r>
            <w:r>
              <w:rPr>
                <w:b/>
                <w:bCs/>
              </w:rPr>
            </w:r>
          </w:p>
        </w:tc>
        <w:tc>
          <w:tcPr>
            <w:shd w:val="clear" w:color="000000" w:fill="ffffff"/>
            <w:tcBorders/>
            <w:tcW w:w="1758" w:type="dxa"/>
            <w:vAlign w:val="center"/>
            <w:textDirection w:val="lrTb"/>
            <w:noWrap w:val="false"/>
          </w:tcPr>
          <w:p w14:paraId="4FB09335">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gridSpan w:val="2"/>
            <w:shd w:val="clear" w:color="000000" w:fill="ffffff"/>
            <w:tcBorders/>
            <w:tcW w:w="799" w:type="dxa"/>
            <w:vAlign w:val="center"/>
            <w:textDirection w:val="lrTb"/>
            <w:noWrap w:val="false"/>
          </w:tcPr>
          <w:p w14:paraId="181EFB5A">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5891" w:type="dxa"/>
            <w:vAlign w:val="center"/>
            <w:textDirection w:val="lrTb"/>
            <w:noWrap w:val="false"/>
          </w:tcPr>
          <w:p w14:paraId="64DDCEEB">
            <w:pPr>
              <w:pBdr/>
              <w:spacing w:after="40" w:before="40" w:line="288" w:lineRule="auto"/>
              <w:ind/>
              <w:jc w:val="both"/>
              <w:rPr>
                <w:b/>
                <w:bCs/>
              </w:rPr>
            </w:pPr>
            <w:r>
              <w:rPr>
                <w:color w:val="000000"/>
              </w:rPr>
              <w:t xml:space="preserve">Quyền sử dụng đất và tài sản gắn liền với đất tại thửa đất số: 251, tờ bản đồ số: 28, có địa chỉ: Khu Văn Phú, phường Phú La, quận Hà Đông, thành phố Hà Nội (nay là phường Kiến Hưng, thành phố Hà Nội) theo Giấy chứng</w:t>
            </w:r>
            <w:r>
              <w:rPr>
                <w:color w:val="000000"/>
              </w:rPr>
              <w:t xml:space="preserve"> nhậ</w:t>
            </w:r>
            <w:r>
              <w:rPr>
                <w:color w:val="000000"/>
              </w:rPr>
              <w:t xml:space="preserve">n quyền sử dụng đất, quyền sở hữu nhà ở và tài sản gắn liền với đất  số: AA 00671595, Số vào sổ cấp GCN: CN-81 do Chi nhánh Văn phòng Đăng ký Đất đai Hà Nội - Quận Hà Đông cấp ngày 01/4/2025; chủ sử dụng đất là Ông Nguyễn Hải Long và vợ là Bà Trần Thị Vân.</w:t>
            </w:r>
            <w:r>
              <w:rPr>
                <w:b/>
                <w:bCs/>
              </w:rPr>
              <w:t xml:space="preserve">.</w:t>
            </w:r>
            <w:r>
              <w:rPr>
                <w:b/>
                <w:bCs/>
              </w:rPr>
            </w:r>
            <w:r>
              <w:rPr>
                <w:b/>
                <w:bCs/>
              </w:rPr>
            </w:r>
          </w:p>
        </w:tc>
        <w:tc>
          <w:tcPr>
            <w:shd w:val="clear" w:color="000000" w:fill="ffffff"/>
            <w:tcBorders/>
            <w:tcW w:w="1077" w:type="dxa"/>
            <w:vAlign w:val="center"/>
            <w:textDirection w:val="lrTb"/>
            <w:noWrap w:val="false"/>
          </w:tcPr>
          <w:p w14:paraId="09B2FE43">
            <w:pPr>
              <w:pBdr/>
              <w:spacing/>
              <w:ind/>
              <w:rPr>
                <w:b/>
                <w:bCs/>
              </w:rPr>
            </w:pPr>
            <w:r>
              <w:rPr>
                <w:b/>
                <w:bCs/>
              </w:rPr>
            </w:r>
            <w:r>
              <w:rPr>
                <w:b/>
                <w:bCs/>
              </w:rPr>
            </w:r>
            <w:r>
              <w:rPr>
                <w:b/>
                <w:bCs/>
              </w:rPr>
            </w:r>
          </w:p>
        </w:tc>
        <w:tc>
          <w:tcPr>
            <w:shd w:val="clear" w:color="000000" w:fill="ffffff"/>
            <w:tcBorders/>
            <w:tcW w:w="1758" w:type="dxa"/>
            <w:vAlign w:val="center"/>
            <w:textDirection w:val="lrTb"/>
            <w:noWrap w:val="false"/>
          </w:tcPr>
          <w:p w14:paraId="15BEA1A5">
            <w:pPr>
              <w:pBdr/>
              <w:spacing w:after="40" w:before="40" w:line="288" w:lineRule="auto"/>
              <w:ind/>
              <w:jc w:val="right"/>
              <w:rPr>
                <w:b/>
                <w:bCs/>
              </w:rPr>
            </w:pPr>
            <w:r>
              <w:rPr>
                <w:b/>
                <w:bCs/>
              </w:rPr>
              <w:t xml:space="preserve"> </w:t>
            </w:r>
            <w:r>
              <w:rPr>
                <w:b/>
                <w:bCs/>
              </w:rPr>
            </w:r>
            <w:r>
              <w:rPr>
                <w:b/>
                <w:bCs/>
              </w:rPr>
            </w:r>
          </w:p>
        </w:tc>
      </w:tr>
      <w:tr>
        <w:trPr>
          <w:trHeight w:val="20"/>
        </w:trPr>
        <w:tc>
          <w:tcPr>
            <w:gridSpan w:val="2"/>
            <w:shd w:val="clear" w:color="000000" w:fill="ffffff"/>
            <w:tcBorders/>
            <w:tcW w:w="799" w:type="dxa"/>
            <w:vAlign w:val="center"/>
            <w:textDirection w:val="lrTb"/>
            <w:noWrap w:val="false"/>
          </w:tcPr>
          <w:p w14:paraId="5CB33001">
            <w:pPr>
              <w:pBdr/>
              <w:spacing w:after="40" w:before="40" w:line="288" w:lineRule="auto"/>
              <w:ind/>
              <w:jc w:val="center"/>
              <w:rPr/>
            </w:pPr>
            <w:r>
              <w:rPr>
                <w:b/>
                <w:bCs/>
              </w:rPr>
              <w:t xml:space="preserve">1</w:t>
            </w:r>
            <w:r/>
          </w:p>
        </w:tc>
        <w:tc>
          <w:tcPr>
            <w:shd w:val="clear" w:color="000000" w:fill="ffffff"/>
            <w:tcBorders/>
            <w:tcW w:w="1649" w:type="dxa"/>
            <w:vAlign w:val="center"/>
            <w:textDirection w:val="lrTb"/>
            <w:noWrap w:val="false"/>
          </w:tcPr>
          <w:p w14:paraId="3D6874D0">
            <w:pPr>
              <w:pBdr/>
              <w:spacing w:after="40" w:before="40" w:line="288" w:lineRule="auto"/>
              <w:ind/>
              <w:rPr/>
            </w:pPr>
            <w:r>
              <w:rPr>
                <w:b/>
                <w:bCs/>
              </w:rPr>
              <w:t xml:space="preserve">Đất ở tại đô thị</w:t>
            </w:r>
            <w:r/>
          </w:p>
        </w:tc>
        <w:tc>
          <w:tcPr>
            <w:tcBorders/>
            <w:tcW w:w="1472" w:type="dxa"/>
            <w:vAlign w:val="center"/>
            <w:textDirection w:val="lrTb"/>
            <w:noWrap/>
          </w:tcPr>
          <w:p w14:paraId="305F3930">
            <w:pPr>
              <w:pBdr/>
              <w:spacing w:after="40" w:before="40" w:line="288" w:lineRule="auto"/>
              <w:ind/>
              <w:jc w:val="center"/>
              <w:rPr>
                <w:color w:val="000000"/>
              </w:rPr>
            </w:pPr>
            <w:r>
              <w:rPr>
                <w:color w:val="000000" w:themeColor="text1"/>
              </w:rPr>
              <w:t xml:space="preserve">50</w:t>
            </w:r>
            <w:r>
              <w:rPr>
                <w:color w:val="000000"/>
              </w:rPr>
            </w:r>
            <w:r>
              <w:rPr>
                <w:color w:val="000000"/>
              </w:rPr>
            </w:r>
          </w:p>
        </w:tc>
        <w:tc>
          <w:tcPr>
            <w:shd w:val="clear" w:color="000000" w:fill="ffffff"/>
            <w:tcBorders/>
            <w:tcW w:w="2770" w:type="dxa"/>
            <w:vAlign w:val="center"/>
            <w:textDirection w:val="lrTb"/>
            <w:noWrap w:val="false"/>
          </w:tcPr>
          <w:p w14:paraId="37D8F726">
            <w:pPr>
              <w:pBdr/>
              <w:spacing w:after="40" w:before="40" w:line="288" w:lineRule="auto"/>
              <w:ind/>
              <w:jc w:val="center"/>
              <w:rPr/>
            </w:pPr>
            <w:r>
              <w:rPr>
                <w:color w:val="000000" w:themeColor="text1"/>
              </w:rPr>
              <w:t xml:space="preserve">330.000.000</w:t>
            </w:r>
            <w:r/>
          </w:p>
        </w:tc>
        <w:tc>
          <w:tcPr>
            <w:shd w:val="clear" w:color="000000" w:fill="ffffff"/>
            <w:tcBorders/>
            <w:tcW w:w="1077" w:type="dxa"/>
            <w:vAlign w:val="center"/>
            <w:textDirection w:val="lrTb"/>
            <w:noWrap w:val="false"/>
          </w:tcPr>
          <w:p w14:paraId="5B137673">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shd w:val="clear" w:color="000000" w:fill="ffffff"/>
            <w:tcBorders/>
            <w:tcW w:w="1758" w:type="dxa"/>
            <w:vAlign w:val="center"/>
            <w:textDirection w:val="lrTb"/>
            <w:noWrap w:val="false"/>
          </w:tcPr>
          <w:p w14:paraId="6E6794CD">
            <w:pPr>
              <w:pBdr/>
              <w:spacing w:after="40" w:before="40" w:line="288" w:lineRule="auto"/>
              <w:ind/>
              <w:jc w:val="center"/>
              <w:rPr/>
            </w:pPr>
            <w:r>
              <w:rPr>
                <w:color w:val="000000" w:themeColor="text1"/>
              </w:rPr>
              <w:t xml:space="preserve">16.500.000.000</w:t>
            </w:r>
            <w:r/>
          </w:p>
        </w:tc>
      </w:tr>
      <w:tr>
        <w:trPr>
          <w:trHeight w:val="20"/>
        </w:trPr>
        <w:tc>
          <w:tcPr>
            <w:gridSpan w:val="2"/>
            <w:shd w:val="clear" w:color="000000" w:fill="ffffff"/>
            <w:tcBorders/>
            <w:tcW w:w="799" w:type="dxa"/>
            <w:vAlign w:val="center"/>
            <w:vMerge w:val="restart"/>
            <w:textDirection w:val="lrTb"/>
            <w:noWrap w:val="false"/>
          </w:tcPr>
          <w:p w14:paraId="4C5A49BD">
            <w:pPr>
              <w:pBdr/>
              <w:spacing w:after="40" w:before="40" w:line="288" w:lineRule="auto"/>
              <w:ind/>
              <w:jc w:val="center"/>
              <w:rPr>
                <w:b/>
                <w:bCs/>
              </w:rPr>
            </w:pPr>
            <w:r>
              <w:rPr>
                <w:b/>
                <w:bCs/>
              </w:rPr>
              <w:t xml:space="preserve">2</w:t>
            </w:r>
            <w:r>
              <w:rPr>
                <w:b/>
                <w:bCs/>
              </w:rPr>
            </w:r>
            <w:r>
              <w:rPr>
                <w:b/>
                <w:bCs/>
              </w:rPr>
            </w:r>
          </w:p>
        </w:tc>
        <w:tc>
          <w:tcPr>
            <w:shd w:val="clear" w:color="000000" w:fill="ffffff"/>
            <w:tcBorders/>
            <w:tcW w:w="1649" w:type="dxa"/>
            <w:vAlign w:val="center"/>
            <w:vMerge w:val="restart"/>
            <w:textDirection w:val="lrTb"/>
            <w:noWrap w:val="false"/>
          </w:tcPr>
          <w:p w14:paraId="62A5553A">
            <w:pPr>
              <w:pBdr/>
              <w:spacing w:after="40" w:before="40" w:line="288" w:lineRule="auto"/>
              <w:ind/>
              <w:rPr>
                <w:b/>
                <w:bCs/>
              </w:rPr>
            </w:pPr>
            <w:r>
              <w:rPr>
                <w:b/>
                <w:bCs/>
              </w:rPr>
              <w:t xml:space="preserve">Công trình xây dựng gắn liền với đất (nhà 6 tầng + 1 tum)</w:t>
            </w:r>
            <w:r>
              <w:rPr>
                <w:b/>
                <w:bCs/>
              </w:rPr>
            </w:r>
            <w:r>
              <w:rPr>
                <w:b/>
                <w:bCs/>
              </w:rPr>
            </w:r>
          </w:p>
        </w:tc>
        <w:tc>
          <w:tcPr>
            <w:tcBorders/>
            <w:tcW w:w="1472" w:type="dxa"/>
            <w:vAlign w:val="center"/>
            <w:vMerge w:val="restart"/>
            <w:textDirection w:val="lrTb"/>
            <w:noWrap/>
          </w:tcPr>
          <w:p w14:paraId="67E1D6D1">
            <w:pPr>
              <w:pBdr/>
              <w:spacing w:after="40" w:before="40" w:line="288" w:lineRule="auto"/>
              <w:ind/>
              <w:jc w:val="center"/>
              <w:rPr>
                <w:color w:val="000000" w:themeColor="text1"/>
              </w:rPr>
            </w:pPr>
            <w:r>
              <w:rPr>
                <w:color w:val="000000" w:themeColor="text1"/>
              </w:rPr>
              <w:t xml:space="preserve">341,9</w:t>
            </w:r>
            <w:r>
              <w:rPr>
                <w:color w:val="000000" w:themeColor="text1"/>
              </w:rPr>
            </w:r>
            <w:r>
              <w:rPr>
                <w:color w:val="000000" w:themeColor="text1"/>
              </w:rPr>
            </w:r>
          </w:p>
        </w:tc>
        <w:tc>
          <w:tcPr>
            <w:shd w:val="clear" w:color="000000" w:fill="ffffff"/>
            <w:tcBorders/>
            <w:tcW w:w="2770" w:type="dxa"/>
            <w:vAlign w:val="center"/>
            <w:vMerge w:val="restart"/>
            <w:textDirection w:val="lrTb"/>
            <w:noWrap w:val="false"/>
          </w:tcPr>
          <w:p w14:paraId="5A95D7F5">
            <w:pPr>
              <w:pBdr/>
              <w:spacing w:after="40" w:before="40" w:line="288" w:lineRule="auto"/>
              <w:ind/>
              <w:jc w:val="center"/>
              <w:rPr>
                <w:color w:val="000000" w:themeColor="text1"/>
              </w:rPr>
            </w:pPr>
            <w:r>
              <w:rPr>
                <w:color w:val="000000" w:themeColor="text1"/>
              </w:rPr>
              <w:t xml:space="preserve">7.949.200</w:t>
            </w:r>
            <w:r>
              <w:rPr>
                <w:color w:val="000000" w:themeColor="text1"/>
              </w:rPr>
            </w:r>
            <w:r>
              <w:rPr>
                <w:color w:val="000000" w:themeColor="text1"/>
              </w:rPr>
            </w:r>
          </w:p>
        </w:tc>
        <w:tc>
          <w:tcPr>
            <w:shd w:val="clear" w:color="000000" w:fill="ffffff"/>
            <w:tcBorders/>
            <w:tcW w:w="1077" w:type="dxa"/>
            <w:vAlign w:val="center"/>
            <w:textDirection w:val="lrTb"/>
            <w:noWrap w:val="false"/>
          </w:tcPr>
          <w:p w14:paraId="6BEA8EBF">
            <w:pPr>
              <w:pBdr/>
              <w:spacing/>
              <w:ind/>
              <w:jc w:val="center"/>
              <w:rPr>
                <w:color w:val="000000" w:themeColor="text1"/>
              </w:rPr>
            </w:pPr>
            <w:r>
              <w:rPr>
                <w:color w:val="000000" w:themeColor="text1"/>
              </w:rPr>
              <w:t xml:space="preserve">98%</w:t>
            </w:r>
            <w:r>
              <w:rPr>
                <w:color w:val="000000" w:themeColor="text1"/>
              </w:rPr>
            </w:r>
            <w:r>
              <w:rPr>
                <w:color w:val="000000" w:themeColor="text1"/>
              </w:rPr>
            </w:r>
          </w:p>
        </w:tc>
        <w:tc>
          <w:tcPr>
            <w:shd w:val="clear" w:color="000000" w:fill="ffffff"/>
            <w:tcBorders/>
            <w:tcW w:w="1758" w:type="dxa"/>
            <w:vAlign w:val="center"/>
            <w:vMerge w:val="restart"/>
            <w:textDirection w:val="lrTb"/>
            <w:noWrap w:val="false"/>
          </w:tcPr>
          <w:p w14:paraId="01999D40">
            <w:pPr>
              <w:pBdr/>
              <w:spacing w:after="40" w:before="40" w:line="288" w:lineRule="auto"/>
              <w:ind/>
              <w:jc w:val="center"/>
              <w:rPr>
                <w:color w:val="000000" w:themeColor="text1"/>
              </w:rPr>
            </w:pPr>
            <w:r>
              <w:rPr>
                <w:color w:val="000000" w:themeColor="text1"/>
              </w:rPr>
              <w:t xml:space="preserve">2.663.474.850</w:t>
            </w:r>
            <w:r>
              <w:rPr>
                <w:color w:val="000000" w:themeColor="text1"/>
              </w:rPr>
            </w:r>
            <w:r>
              <w:rPr>
                <w:color w:val="000000" w:themeColor="text1"/>
              </w:rPr>
            </w:r>
          </w:p>
        </w:tc>
      </w:tr>
      <w:tr>
        <w:trPr>
          <w:trHeight w:val="20"/>
        </w:trPr>
        <w:tc>
          <w:tcPr>
            <w:gridSpan w:val="5"/>
            <w:tcBorders/>
            <w:tcW w:w="6690" w:type="dxa"/>
            <w:vAlign w:val="center"/>
            <w:textDirection w:val="lrTb"/>
            <w:noWrap/>
          </w:tcPr>
          <w:p w14:paraId="027B21B2">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077" w:type="dxa"/>
            <w:vAlign w:val="center"/>
            <w:textDirection w:val="lrTb"/>
            <w:noWrap/>
          </w:tcPr>
          <w:p w14:paraId="344729FE">
            <w:pPr>
              <w:pBdr/>
              <w:spacing/>
              <w:ind/>
              <w:rPr/>
            </w:pPr>
            <w:r/>
            <w:r/>
          </w:p>
        </w:tc>
        <w:tc>
          <w:tcPr>
            <w:tcBorders/>
            <w:tcW w:w="1758" w:type="dxa"/>
            <w:vAlign w:val="center"/>
            <w:textDirection w:val="lrTb"/>
            <w:noWrap/>
          </w:tcPr>
          <w:p w14:paraId="244A624F">
            <w:pPr>
              <w:pBdr/>
              <w:spacing w:after="40" w:before="40" w:line="288" w:lineRule="auto"/>
              <w:ind/>
              <w:jc w:val="center"/>
              <w:rPr>
                <w:b/>
                <w:bCs/>
                <w:color w:val="000000"/>
              </w:rPr>
            </w:pPr>
            <w:r>
              <w:t xml:space="preserve">19.163.474.850</w:t>
            </w:r>
            <w:r>
              <w:rPr>
                <w:b/>
                <w:bCs/>
                <w:color w:val="000000"/>
              </w:rPr>
            </w:r>
            <w:r>
              <w:rPr>
                <w:b/>
                <w:bCs/>
                <w:color w:val="000000"/>
              </w:rPr>
            </w:r>
          </w:p>
        </w:tc>
      </w:tr>
      <w:tr>
        <w:trPr>
          <w:trHeight w:val="20"/>
        </w:trPr>
        <w:tc>
          <w:tcPr>
            <w:gridSpan w:val="5"/>
            <w:tcBorders/>
            <w:tcW w:w="6690" w:type="dxa"/>
            <w:vAlign w:val="center"/>
            <w:vMerge w:val="restart"/>
            <w:textDirection w:val="lrTb"/>
            <w:noWrap/>
          </w:tcPr>
          <w:p w14:paraId="51AD7620">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077" w:type="dxa"/>
            <w:vAlign w:val="center"/>
            <w:vMerge w:val="restart"/>
            <w:textDirection w:val="lrTb"/>
            <w:noWrap/>
          </w:tcPr>
          <w:p w14:paraId="37B318E5">
            <w:pPr>
              <w:pBdr/>
              <w:spacing/>
              <w:ind/>
              <w:rPr/>
            </w:pPr>
            <w:r/>
            <w:r/>
          </w:p>
        </w:tc>
        <w:tc>
          <w:tcPr>
            <w:tcBorders/>
            <w:tcW w:w="1758" w:type="dxa"/>
            <w:vAlign w:val="center"/>
            <w:vMerge w:val="restart"/>
            <w:textDirection w:val="lrTb"/>
            <w:noWrap/>
          </w:tcPr>
          <w:p w14:paraId="78B72007">
            <w:pPr>
              <w:pBdr/>
              <w:spacing w:after="40" w:before="40" w:line="288" w:lineRule="auto"/>
              <w:ind/>
              <w:jc w:val="center"/>
              <w:rPr/>
            </w:pPr>
            <w:r>
              <w:t xml:space="preserve">19.163.500.000</w:t>
            </w:r>
            <w:r/>
          </w:p>
        </w:tc>
      </w:tr>
      <w:tr>
        <w:trPr>
          <w:trHeight w:val="20"/>
        </w:trPr>
        <w:tc>
          <w:tcPr>
            <w:tcBorders/>
            <w:tcW w:w="737" w:type="dxa"/>
            <w:vAlign w:val="center"/>
            <w:textDirection w:val="lrTb"/>
            <w:noWrap w:val="false"/>
          </w:tcPr>
          <w:p w14:paraId="2A114850">
            <w:pPr>
              <w:pBdr/>
              <w:spacing/>
              <w:ind/>
              <w:rPr>
                <w:b/>
                <w:bCs/>
                <w:i/>
                <w:color w:val="000000"/>
              </w:rPr>
            </w:pPr>
            <w:r>
              <w:rPr>
                <w:b/>
                <w:bCs/>
                <w:i/>
                <w:iCs/>
                <w:color w:val="000000"/>
              </w:rPr>
            </w:r>
            <w:r>
              <w:rPr>
                <w:b/>
                <w:bCs/>
                <w:i/>
                <w:color w:val="000000"/>
              </w:rPr>
            </w:r>
            <w:r>
              <w:rPr>
                <w:b/>
                <w:bCs/>
                <w:i/>
                <w:color w:val="000000"/>
              </w:rPr>
            </w:r>
          </w:p>
        </w:tc>
        <w:tc>
          <w:tcPr>
            <w:gridSpan w:val="6"/>
            <w:tcBorders/>
            <w:tcW w:w="8788" w:type="dxa"/>
            <w:vAlign w:val="center"/>
            <w:textDirection w:val="lrTb"/>
            <w:noWrap w:val="false"/>
          </w:tcPr>
          <w:p w14:paraId="691A36DB">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chín tỷ một trăm sau mươi ba triệu năm trăm ngàn đồng</w:t>
            </w:r>
            <w:r>
              <w:rPr>
                <w:b/>
                <w:bCs/>
                <w:i/>
                <w:iCs/>
                <w:color w:val="000000"/>
              </w:rPr>
              <w:t xml:space="preserve">./.)</w:t>
            </w:r>
            <w:r>
              <w:rPr>
                <w:b/>
                <w:bCs/>
                <w:i/>
                <w:iCs/>
                <w:color w:val="000000"/>
              </w:rPr>
            </w:r>
            <w:r>
              <w:rPr>
                <w:b/>
                <w:bCs/>
                <w:i/>
                <w:iCs/>
                <w:color w:val="000000"/>
              </w:rPr>
            </w:r>
          </w:p>
        </w:tc>
      </w:tr>
    </w:tbl>
    <w:p w14:paraId="187E2E91" w14:textId="56B58432">
      <w:pPr>
        <w:pStyle w:val="1028"/>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8"/>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8"/>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8"/>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8"/>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8"/>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8"/>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8"/>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8"/>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8"/>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8"/>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8"/>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8"/>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8"/>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8"/>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8"/>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8"/>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8"/>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8"/>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8"/>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8"/>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14:paraId="0F9E384F" w14:textId="63102E36">
      <w:pPr>
        <w:pStyle w:val="1028"/>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8"/>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8"/>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8"/>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8"/>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8"/>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275/2026/0139/VFI-CT.63.A</w:t>
      </w:r>
      <w:r>
        <w:rPr>
          <w:color w:val="ff0000"/>
          <w:lang w:val="vi-VN"/>
        </w:rPr>
        <w:t xml:space="preserve"> </w:t>
      </w:r>
      <w:r>
        <w:rPr>
          <w:color w:val="000000" w:themeColor="text1"/>
        </w:rPr>
        <w:t xml:space="preserve">ngày 20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2838A8CA" w14:textId="77777777">
      <w:pPr>
        <w:pStyle w:val="1028"/>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275/2026/0139/VFI-BC.63.A</w:t>
      </w:r>
      <w:r>
        <w:rPr>
          <w:i/>
          <w:lang w:val="pt-BR"/>
        </w:rPr>
        <w:t xml:space="preserve">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56788" cy="231599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866427" name=""/>
                              <pic:cNvPicPr>
                                <a:picLocks noChangeAspect="1"/>
                              </pic:cNvPicPr>
                              <pic:nvPr/>
                            </pic:nvPicPr>
                            <pic:blipFill rotWithShape="1">
                              <a:blip r:embed="rId19"/>
                              <a:stretch/>
                            </pic:blipFill>
                            <pic:spPr bwMode="auto">
                              <a:xfrm flipH="0" flipV="0">
                                <a:off x="0" y="0"/>
                                <a:ext cx="1256788" cy="23159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8.96pt;height:182.36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9854" cy="200239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16623" name=""/>
                              <pic:cNvPicPr>
                                <a:picLocks noChangeAspect="1"/>
                              </pic:cNvPicPr>
                              <pic:nvPr/>
                            </pic:nvPicPr>
                            <pic:blipFill rotWithShape="1">
                              <a:blip r:embed="rId20"/>
                              <a:stretch/>
                            </pic:blipFill>
                            <pic:spPr bwMode="auto">
                              <a:xfrm flipH="0" flipV="0">
                                <a:off x="0" y="0"/>
                                <a:ext cx="2669853" cy="20023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0.22pt;height:157.6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6572" cy="215742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7735" name=""/>
                              <pic:cNvPicPr>
                                <a:picLocks noChangeAspect="1"/>
                              </pic:cNvPicPr>
                              <pic:nvPr/>
                            </pic:nvPicPr>
                            <pic:blipFill rotWithShape="1">
                              <a:blip r:embed="rId21"/>
                              <a:stretch/>
                            </pic:blipFill>
                            <pic:spPr bwMode="auto">
                              <a:xfrm flipH="0" flipV="0">
                                <a:off x="0" y="0"/>
                                <a:ext cx="2876572" cy="21574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50pt;height:169.8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3515" cy="217763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86531" name=""/>
                              <pic:cNvPicPr>
                                <a:picLocks noChangeAspect="1"/>
                              </pic:cNvPicPr>
                              <pic:nvPr/>
                            </pic:nvPicPr>
                            <pic:blipFill rotWithShape="1">
                              <a:blip r:embed="rId22"/>
                              <a:stretch/>
                            </pic:blipFill>
                            <pic:spPr bwMode="auto">
                              <a:xfrm flipH="0" flipV="0">
                                <a:off x="0" y="0"/>
                                <a:ext cx="2903514" cy="21776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62pt;height:171.4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28095" cy="234607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387616" name=""/>
                              <pic:cNvPicPr>
                                <a:picLocks noChangeAspect="1"/>
                              </pic:cNvPicPr>
                              <pic:nvPr/>
                            </pic:nvPicPr>
                            <pic:blipFill rotWithShape="1">
                              <a:blip r:embed="rId23"/>
                              <a:stretch/>
                            </pic:blipFill>
                            <pic:spPr bwMode="auto">
                              <a:xfrm flipH="0" flipV="0">
                                <a:off x="0" y="0"/>
                                <a:ext cx="3128093" cy="23460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6.31pt;height:184.7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97688" cy="217326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304967" name=""/>
                              <pic:cNvPicPr>
                                <a:picLocks noChangeAspect="1"/>
                              </pic:cNvPicPr>
                              <pic:nvPr/>
                            </pic:nvPicPr>
                            <pic:blipFill rotWithShape="1">
                              <a:blip r:embed="rId24"/>
                              <a:stretch/>
                            </pic:blipFill>
                            <pic:spPr bwMode="auto">
                              <a:xfrm flipH="0" flipV="0">
                                <a:off x="0" y="0"/>
                                <a:ext cx="2897687" cy="21732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16pt;height:171.12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275/2026/0139/VFI-BC.63.A</w:t>
      </w:r>
      <w:r>
        <w:rPr>
          <w:i/>
          <w:lang w:val="pt-BR"/>
        </w:rPr>
        <w:t xml:space="preserve"> </w:t>
      </w:r>
      <w:r>
        <w:rPr>
          <w:i/>
          <w:lang w:val="pt-BR"/>
        </w:rPr>
        <w:t xml:space="preserve">20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0847877997</w:t>
            </w:r>
            <w:r>
              <w:rPr>
                <w:sz w:val="22"/>
                <w:szCs w:val="22"/>
              </w:rPr>
              <w:t xml:space="preserve"> </w:t>
            </w:r>
            <w:r>
              <w:rPr>
                <w:sz w:val="22"/>
                <w:szCs w:val="22"/>
              </w:rPr>
              <w:br/>
              <w:t xml:space="preserve">(Hùng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21.900.000.000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19.710.000.000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Khu Văn Phú, phường Kiến Hưng,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820014"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382001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00.79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842956"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384295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02.5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83412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8341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01.9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486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14648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5.34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181596816" name="" descr=""/>
                              <pic:cNvPicPr/>
                              <pic:nvPr/>
                            </pic:nvPicPr>
                            <pic:blipFill rotWithShape="1">
                              <a:blip r:embed="rId29"/>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Chu Thế Hiển</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https://www.facebook.com/commerce/listing/1993577781204157?ref=share_attachment</w:t>
            </w:r>
            <w:r>
              <w:rPr>
                <w:color w:val="000000" w:themeColor="text1"/>
                <w:sz w:val="22"/>
                <w:szCs w:val="22"/>
              </w:rPr>
              <w:br/>
              <w:t xml:space="preserve">0847877997</w:t>
            </w:r>
            <w:r>
              <w:rPr>
                <w:sz w:val="22"/>
                <w:szCs w:val="22"/>
              </w:rPr>
              <w:t xml:space="preserve"> </w:t>
            </w:r>
            <w:r>
              <w:rPr>
                <w:sz w:val="22"/>
                <w:szCs w:val="22"/>
              </w:rPr>
              <w:br/>
              <w:t xml:space="preserve">(Hùng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22.500.000.000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20.250.000.000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Khu Văn Phú, phường Kiến Hưng,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highlight w:val="none"/>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4994304" cy="4164493"/>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19287" name=""/>
                              <pic:cNvPicPr>
                                <a:picLocks noChangeAspect="1"/>
                              </pic:cNvPicPr>
                              <pic:nvPr/>
                            </pic:nvPicPr>
                            <pic:blipFill rotWithShape="1">
                              <a:blip r:embed="rId30"/>
                              <a:stretch/>
                            </pic:blipFill>
                            <pic:spPr bwMode="auto">
                              <a:xfrm flipH="0" flipV="0">
                                <a:off x="0" y="0"/>
                                <a:ext cx="4994304" cy="41644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93.25pt;height:327.91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highlight w:val="none"/>
              </w:rPr>
            </w:r>
          </w:p>
          <w:p w14:paraId="1D6CE3E8">
            <w:pPr>
              <w:pBdr/>
              <w:spacing w:line="276" w:lineRule="auto"/>
              <w:ind/>
              <w:rPr>
                <w:highlight w:val="none"/>
              </w:rPr>
            </w:pPr>
            <w:r>
              <w:rPr>
                <w:highlight w:val="none"/>
              </w:rPr>
            </w:r>
            <w:r>
              <mc:AlternateContent>
                <mc:Choice Requires="wpg">
                  <w:drawing>
                    <wp:inline xmlns:wp="http://schemas.openxmlformats.org/drawingml/2006/wordprocessingDrawing" distT="0" distB="0" distL="0" distR="0">
                      <wp:extent cx="4978740" cy="262657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16488" name=""/>
                              <pic:cNvPicPr>
                                <a:picLocks noChangeAspect="1"/>
                              </pic:cNvPicPr>
                              <pic:nvPr/>
                            </pic:nvPicPr>
                            <pic:blipFill rotWithShape="1">
                              <a:blip r:embed="rId31"/>
                              <a:stretch/>
                            </pic:blipFill>
                            <pic:spPr bwMode="auto">
                              <a:xfrm flipH="0" flipV="0">
                                <a:off x="0" y="0"/>
                                <a:ext cx="4978739" cy="26265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92.03pt;height:206.82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highlight w:val="none"/>
              </w:rPr>
            </w:r>
          </w:p>
          <w:p w14:paraId="0CCBC96D">
            <w:pPr>
              <w:pBdr/>
              <w:spacing w:line="276" w:lineRule="auto"/>
              <w:ind/>
              <w:rPr>
                <w:color w:val="000000"/>
                <w:sz w:val="22"/>
                <w:szCs w:val="22"/>
              </w:rPr>
            </w:pPr>
            <w:r>
              <w:rPr>
                <w:highlight w:val="none"/>
              </w:rPr>
            </w:r>
            <w:r>
              <mc:AlternateContent>
                <mc:Choice Requires="wpg">
                  <w:drawing>
                    <wp:inline xmlns:wp="http://schemas.openxmlformats.org/drawingml/2006/wordprocessingDrawing" distT="0" distB="0" distL="0" distR="0">
                      <wp:extent cx="3530940" cy="4705682"/>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18989" name=""/>
                              <pic:cNvPicPr>
                                <a:picLocks noChangeAspect="1"/>
                              </pic:cNvPicPr>
                              <pic:nvPr/>
                            </pic:nvPicPr>
                            <pic:blipFill rotWithShape="1">
                              <a:blip r:embed="rId32"/>
                              <a:stretch/>
                            </pic:blipFill>
                            <pic:spPr bwMode="auto">
                              <a:xfrm flipH="0" flipV="0">
                                <a:off x="0" y="0"/>
                                <a:ext cx="3530939" cy="47056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78.03pt;height:370.53pt;mso-wrap-distance-left:0.00pt;mso-wrap-distance-top:0.00pt;mso-wrap-distance-right:0.00pt;mso-wrap-distance-bottom:0.00pt;z-index:1;" stroked="false">
                      <v:imagedata r:id="rId32" o:title=""/>
                      <o:lock v:ext="edit" rotation="t"/>
                    </v:shape>
                  </w:pict>
                </mc:Fallback>
              </mc:AlternateContent>
            </w:r>
            <w:r>
              <w:rPr>
                <w:highlight w:val="none"/>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619CB1AC" w14:textId="77777777">
            <w:pPr>
              <w:pBdr/>
              <w:spacing/>
              <w:ind/>
              <w:jc w:val="left"/>
              <w:rPr>
                <w:b/>
                <w:bCs/>
              </w:rPr>
            </w:pPr>
            <w:r>
              <w:rPr>
                <w:b/>
                <w:bCs/>
              </w:rPr>
            </w:r>
            <w:r>
              <w:rPr>
                <w:b/>
                <w:bCs/>
              </w:rPr>
            </w:r>
            <w:r>
              <w:rPr>
                <w:b/>
                <w:bCs/>
              </w:rPr>
            </w:r>
          </w:p>
          <w:p w14:paraId="53114EC7" w14:textId="77777777">
            <w:pPr>
              <w:pBdr/>
              <w:spacing/>
              <w:ind/>
              <w:jc w:val="center"/>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Chu Thế Hiển</w:t>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https://www.facebook.com/commerce/listing/1130772732377135?media_id=0&amp;ref=share_attachment</w:t>
            </w:r>
            <w:r>
              <w:rPr>
                <w:color w:val="000000" w:themeColor="text1"/>
                <w:sz w:val="22"/>
                <w:szCs w:val="22"/>
              </w:rPr>
              <w:br/>
            </w:r>
            <w:r>
              <w:rPr>
                <w:sz w:val="22"/>
                <w:szCs w:val="22"/>
              </w:rPr>
              <w:t xml:space="preserve">SĐT: </w:t>
            </w:r>
            <w:r>
              <w:rPr>
                <w:color w:val="000000" w:themeColor="text1"/>
                <w:sz w:val="22"/>
                <w:szCs w:val="22"/>
              </w:rPr>
              <w:t xml:space="preserve">0907803777</w:t>
            </w:r>
            <w:r>
              <w:rPr>
                <w:sz w:val="22"/>
                <w:szCs w:val="22"/>
              </w:rPr>
              <w:t xml:space="preserve"> </w:t>
            </w:r>
            <w:r>
              <w:rPr>
                <w:sz w:val="22"/>
                <w:szCs w:val="22"/>
              </w:rPr>
              <w:b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12.900.000.000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11.610.000.000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(27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Khu Văn Phú, phường Kiến Hưng,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27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1872AF4F"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6088604"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939744254" name="" descr=""/>
                              <pic:cNvPicPr/>
                              <pic:nvPr/>
                            </pic:nvPicPr>
                            <pic:blipFill rotWithShape="1">
                              <a:blip r:embed="rId33"/>
                              <a:stretch/>
                            </pic:blipFill>
                            <pic:spPr bwMode="auto">
                              <a:xfrm>
                                <a:off x="0" y="0"/>
                                <a:ext cx="608860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9.42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988140" cy="2098135"/>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3988139" cy="20981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14.03pt;height:165.2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49940" cy="2482978"/>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3149939" cy="24829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48.03pt;height:195.51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73915" cy="230505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4473914" cy="23050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52.28pt;height:181.5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9701A96">
            <w:pPr>
              <w:pBdr/>
              <w:spacing/>
              <w:ind/>
              <w:jc w:val="center"/>
              <w:rPr/>
            </w:pPr>
            <w:r>
              <w:rPr>
                <w:highlight w:val="none"/>
              </w:rPr>
            </w:r>
            <w:r>
              <w:rPr>
                <w:highlight w:val="none"/>
              </w:rPr>
            </w:r>
            <w:r/>
          </w:p>
          <w:p w14:paraId="4CB8AA04">
            <w:pPr>
              <w:pBdr/>
              <w:spacing/>
              <w:ind/>
              <w:jc w:val="center"/>
              <w:rPr>
                <w:highlight w:val="none"/>
              </w:rPr>
            </w:pPr>
            <w:r>
              <w:rPr>
                <w:highlight w:val="none"/>
              </w:rPr>
            </w:r>
            <w:r>
              <w:rPr>
                <w:highlight w:val="none"/>
              </w:rPr>
            </w:r>
            <w:r>
              <w:rPr>
                <w:highlight w:val="none"/>
              </w:rPr>
            </w:r>
          </w:p>
          <w:p w14:paraId="64A25982">
            <w:pPr>
              <w:pBdr/>
              <w:spacing/>
              <w:ind/>
              <w:jc w:val="center"/>
              <w:rPr>
                <w:highlight w:val="none"/>
              </w:rPr>
            </w:pPr>
            <w:r>
              <w:rPr>
                <w:highlight w:val="none"/>
              </w:rPr>
            </w:r>
            <w:r>
              <w:rPr>
                <w:highlight w:val="none"/>
              </w:rPr>
            </w:r>
            <w:r>
              <w:rPr>
                <w:highlight w:val="none"/>
              </w:rPr>
            </w:r>
          </w:p>
          <w:p w14:paraId="55176294">
            <w:pPr>
              <w:pBdr/>
              <w:spacing/>
              <w:ind/>
              <w:jc w:val="left"/>
              <w:rPr>
                <w:highlight w:val="none"/>
              </w:rPr>
            </w:pPr>
            <w:r>
              <w:rPr>
                <w:highlight w:val="none"/>
              </w:rPr>
            </w:r>
            <w:r>
              <w:rPr>
                <w:highlight w:val="none"/>
              </w:rPr>
            </w:r>
            <w:r>
              <w:rPr>
                <w:highlight w:val="none"/>
              </w:rPr>
            </w:r>
          </w:p>
          <w:p w14:paraId="3F4D190C">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Chu Thế Hiển</w:t>
            </w:r>
            <w:r>
              <w:rPr>
                <w:highlight w:val="none"/>
              </w:rPr>
            </w:r>
            <w:r>
              <w:rPr>
                <w:highlight w:val="none"/>
              </w:rPr>
            </w:r>
          </w:p>
        </w:tc>
      </w:tr>
    </w:tbl>
    <w:p w14:paraId="1EAD3878" w14:textId="77777777">
      <w:pPr>
        <w:pBdr/>
        <w:spacing w:after="200" w:line="276" w:lineRule="auto"/>
        <w:ind/>
        <w:jc w:val="center"/>
        <w:rPr>
          <w:b/>
          <w:bCs/>
          <w:iCs/>
          <w:highlight w:val="none"/>
          <w:lang w:val="pt-BR"/>
        </w:rPr>
      </w:pPr>
      <w:r>
        <w:rPr>
          <w:b/>
          <w:bCs/>
          <w:iCs/>
          <w:lang w:val="pt-BR"/>
        </w:rPr>
        <w:t xml:space="preserve">PHIẾU KHẢO SÁT </w:t>
      </w:r>
      <w:r>
        <w:rPr>
          <w:b/>
          <w:bCs/>
          <w:iCs/>
        </w:rPr>
      </w:r>
      <w:r>
        <w:rPr>
          <w:b/>
          <w:bCs/>
          <w:iCs/>
          <w:highlight w:val="none"/>
          <w:lang w:val="pt-BR"/>
        </w:rPr>
      </w:r>
    </w:p>
    <w:p w14:paraId="7655D538">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1441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81862" name=""/>
                        <pic:cNvPicPr>
                          <a:picLocks noChangeAspect="1"/>
                        </pic:cNvPicPr>
                        <pic:nvPr/>
                      </pic:nvPicPr>
                      <pic:blipFill rotWithShape="1">
                        <a:blip r:embed="rId37"/>
                        <a:stretch/>
                      </pic:blipFill>
                      <pic:spPr bwMode="auto">
                        <a:xfrm>
                          <a:off x="0" y="0"/>
                          <a:ext cx="6048374" cy="8014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1.06pt;mso-wrap-distance-left:0.00pt;mso-wrap-distance-top:0.00pt;mso-wrap-distance-right:0.00pt;mso-wrap-distance-bottom:0.00pt;z-index:1;" stroked="false">
                <v:imagedata r:id="rId37" o:title=""/>
                <o:lock v:ext="edit" rotation="t"/>
              </v:shape>
            </w:pict>
          </mc:Fallback>
        </mc:AlternateContent>
      </w:r>
      <w:r>
        <w:rPr>
          <w:b/>
          <w:bCs/>
          <w:iCs/>
          <w:highlight w:val="none"/>
          <w:lang w:val="pt-BR"/>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4"/>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4"/>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4"/>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4"/>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EBF7451"/>
    <w:lvl w:ilvl="0">
      <w:isLgl w:val="false"/>
      <w:lvlJc w:val="left"/>
      <w:lvlText w:val="·"/>
      <w:numFmt w:val="bullet"/>
      <w:pPr>
        <w:pBdr/>
        <w:spacing/>
        <w:ind w:hanging="360" w:left="1134"/>
      </w:pPr>
      <w:rPr>
        <w:rFonts w:hint="default" w:ascii="Symbol" w:hAnsi="Symbol" w:eastAsia="Symbol" w:cs="Symbol"/>
      </w:rPr>
      <w:start w:val="1"/>
      <w:suff w:val="tab"/>
    </w:lvl>
    <w:lvl w:ilvl="1">
      <w:isLgl w:val="false"/>
      <w:lvlJc w:val="left"/>
      <w:lvlText w:val="o"/>
      <w:numFmt w:val="bullet"/>
      <w:pPr>
        <w:pBdr/>
        <w:spacing/>
        <w:ind w:hanging="360" w:left="1854"/>
      </w:pPr>
      <w:rPr>
        <w:rFonts w:hint="default" w:ascii="Courier New" w:hAnsi="Courier New" w:eastAsia="Courier New" w:cs="Courier New"/>
      </w:rPr>
      <w:start w:val="1"/>
      <w:suff w:val="tab"/>
    </w:lvl>
    <w:lvl w:ilvl="2">
      <w:isLgl w:val="false"/>
      <w:lvlJc w:val="left"/>
      <w:lvlText w:val="§"/>
      <w:numFmt w:val="bullet"/>
      <w:pPr>
        <w:pBdr/>
        <w:spacing/>
        <w:ind w:hanging="360" w:left="2574"/>
      </w:pPr>
      <w:rPr>
        <w:rFonts w:hint="default" w:ascii="Wingdings" w:hAnsi="Wingdings" w:eastAsia="Wingdings" w:cs="Wingdings"/>
      </w:rPr>
      <w:start w:val="1"/>
      <w:suff w:val="tab"/>
    </w:lvl>
    <w:lvl w:ilvl="3">
      <w:isLgl w:val="false"/>
      <w:lvlJc w:val="left"/>
      <w:lvlText w:val="·"/>
      <w:numFmt w:val="bullet"/>
      <w:pPr>
        <w:pBdr/>
        <w:spacing/>
        <w:ind w:hanging="360" w:left="3294"/>
      </w:pPr>
      <w:rPr>
        <w:rFonts w:hint="default" w:ascii="Symbol" w:hAnsi="Symbol" w:eastAsia="Symbol" w:cs="Symbol"/>
      </w:rPr>
      <w:start w:val="1"/>
      <w:suff w:val="tab"/>
    </w:lvl>
    <w:lvl w:ilvl="4">
      <w:isLgl w:val="false"/>
      <w:lvlJc w:val="left"/>
      <w:lvlText w:val="o"/>
      <w:numFmt w:val="bullet"/>
      <w:pPr>
        <w:pBdr/>
        <w:spacing/>
        <w:ind w:hanging="360" w:left="4014"/>
      </w:pPr>
      <w:rPr>
        <w:rFonts w:hint="default" w:ascii="Courier New" w:hAnsi="Courier New" w:eastAsia="Courier New" w:cs="Courier New"/>
      </w:rPr>
      <w:start w:val="1"/>
      <w:suff w:val="tab"/>
    </w:lvl>
    <w:lvl w:ilvl="5">
      <w:isLgl w:val="false"/>
      <w:lvlJc w:val="left"/>
      <w:lvlText w:val="§"/>
      <w:numFmt w:val="bullet"/>
      <w:pPr>
        <w:pBdr/>
        <w:spacing/>
        <w:ind w:hanging="360" w:left="4734"/>
      </w:pPr>
      <w:rPr>
        <w:rFonts w:hint="default" w:ascii="Wingdings" w:hAnsi="Wingdings" w:eastAsia="Wingdings" w:cs="Wingdings"/>
      </w:rPr>
      <w:start w:val="1"/>
      <w:suff w:val="tab"/>
    </w:lvl>
    <w:lvl w:ilvl="6">
      <w:isLgl w:val="false"/>
      <w:lvlJc w:val="left"/>
      <w:lvlText w:val="·"/>
      <w:numFmt w:val="bullet"/>
      <w:pPr>
        <w:pBdr/>
        <w:spacing/>
        <w:ind w:hanging="360" w:left="5454"/>
      </w:pPr>
      <w:rPr>
        <w:rFonts w:hint="default" w:ascii="Symbol" w:hAnsi="Symbol" w:eastAsia="Symbol" w:cs="Symbol"/>
      </w:rPr>
      <w:start w:val="1"/>
      <w:suff w:val="tab"/>
    </w:lvl>
    <w:lvl w:ilvl="7">
      <w:isLgl w:val="false"/>
      <w:lvlJc w:val="left"/>
      <w:lvlText w:val="o"/>
      <w:numFmt w:val="bullet"/>
      <w:pPr>
        <w:pBdr/>
        <w:spacing/>
        <w:ind w:hanging="360" w:left="6174"/>
      </w:pPr>
      <w:rPr>
        <w:rFonts w:hint="default" w:ascii="Courier New" w:hAnsi="Courier New" w:eastAsia="Courier New" w:cs="Courier New"/>
      </w:rPr>
      <w:start w:val="1"/>
      <w:suff w:val="tab"/>
    </w:lvl>
    <w:lvl w:ilvl="8">
      <w:isLgl w:val="false"/>
      <w:lvlJc w:val="left"/>
      <w:lvlText w:val="§"/>
      <w:numFmt w:val="bullet"/>
      <w:pPr>
        <w:pBdr/>
        <w:spacing/>
        <w:ind w:hanging="360" w:left="6894"/>
      </w:pPr>
      <w:rPr>
        <w:rFonts w:hint="default" w:ascii="Wingdings" w:hAnsi="Wingdings" w:eastAsia="Wingdings" w:cs="Wingdings"/>
      </w:rPr>
      <w:start w:val="1"/>
      <w:suff w:val="tab"/>
    </w:lvl>
  </w:abstractNum>
  <w:abstractNum w:abstractNumId="38">
    <w:nsid w:val="4ED7A4F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0">
    <w:name w:val="Table Grid Light"/>
    <w:basedOn w:val="101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1"/>
    <w:basedOn w:val="101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2"/>
    <w:basedOn w:val="101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3"/>
    <w:basedOn w:val="10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4"/>
    <w:basedOn w:val="10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5"/>
    <w:basedOn w:val="101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w:basedOn w:val="101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1"/>
    <w:basedOn w:val="10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2"/>
    <w:basedOn w:val="10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3"/>
    <w:basedOn w:val="10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4"/>
    <w:basedOn w:val="10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5"/>
    <w:basedOn w:val="10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6"/>
    <w:basedOn w:val="10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w:basedOn w:val="101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1"/>
    <w:basedOn w:val="10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5"/>
    <w:basedOn w:val="10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6"/>
    <w:basedOn w:val="10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w:basedOn w:val="101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1"/>
    <w:basedOn w:val="101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5"/>
    <w:basedOn w:val="101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6"/>
    <w:basedOn w:val="101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w:basedOn w:val="101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1"/>
    <w:basedOn w:val="101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2"/>
    <w:basedOn w:val="101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3"/>
    <w:basedOn w:val="101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4"/>
    <w:basedOn w:val="101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5"/>
    <w:basedOn w:val="101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6"/>
    <w:basedOn w:val="101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1"/>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2"/>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3"/>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4"/>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5"/>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6"/>
    <w:basedOn w:val="101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6 Colorful"/>
    <w:basedOn w:val="101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2">
    <w:name w:val="Grid Table 6 Colorful - Accent 1"/>
    <w:basedOn w:val="101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3">
    <w:name w:val="Grid Table 6 Colorful - Accent 2"/>
    <w:basedOn w:val="10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4">
    <w:name w:val="Grid Table 6 Colorful - Accent 3"/>
    <w:basedOn w:val="101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5">
    <w:name w:val="Grid Table 6 Colorful - Accent 4"/>
    <w:basedOn w:val="10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6">
    <w:name w:val="Grid Table 6 Colorful - Accent 5"/>
    <w:basedOn w:val="101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6 Colorful - Accent 6"/>
    <w:basedOn w:val="101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7 Colorful"/>
    <w:basedOn w:val="101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1"/>
    <w:basedOn w:val="101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2"/>
    <w:basedOn w:val="101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3"/>
    <w:basedOn w:val="101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4"/>
    <w:basedOn w:val="101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5"/>
    <w:basedOn w:val="101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6"/>
    <w:basedOn w:val="101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1"/>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2"/>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3"/>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4"/>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5"/>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6"/>
    <w:basedOn w:val="101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w:basedOn w:val="101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1"/>
    <w:basedOn w:val="101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2"/>
    <w:basedOn w:val="101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3"/>
    <w:basedOn w:val="101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4"/>
    <w:basedOn w:val="101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5"/>
    <w:basedOn w:val="101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6"/>
    <w:basedOn w:val="101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w:basedOn w:val="101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1"/>
    <w:basedOn w:val="101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2"/>
    <w:basedOn w:val="101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3"/>
    <w:basedOn w:val="101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4"/>
    <w:basedOn w:val="101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5"/>
    <w:basedOn w:val="101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6"/>
    <w:basedOn w:val="101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w:basedOn w:val="101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1"/>
    <w:basedOn w:val="101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2"/>
    <w:basedOn w:val="101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3"/>
    <w:basedOn w:val="101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4"/>
    <w:basedOn w:val="101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5"/>
    <w:basedOn w:val="101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6"/>
    <w:basedOn w:val="101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5 Dark"/>
    <w:basedOn w:val="101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1"/>
    <w:basedOn w:val="101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2"/>
    <w:basedOn w:val="101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3"/>
    <w:basedOn w:val="101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4"/>
    <w:basedOn w:val="101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5"/>
    <w:basedOn w:val="101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6"/>
    <w:basedOn w:val="101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6 Colorful"/>
    <w:basedOn w:val="101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1"/>
    <w:basedOn w:val="101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2"/>
    <w:basedOn w:val="101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3"/>
    <w:basedOn w:val="101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4"/>
    <w:basedOn w:val="101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5"/>
    <w:basedOn w:val="101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6"/>
    <w:basedOn w:val="101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7 Colorful"/>
    <w:basedOn w:val="101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8">
    <w:name w:val="List Table 7 Colorful - Accent 1"/>
    <w:basedOn w:val="101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9">
    <w:name w:val="List Table 7 Colorful - Accent 2"/>
    <w:basedOn w:val="101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0">
    <w:name w:val="List Table 7 Colorful - Accent 3"/>
    <w:basedOn w:val="101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1">
    <w:name w:val="List Table 7 Colorful - Accent 4"/>
    <w:basedOn w:val="101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2">
    <w:name w:val="List Table 7 Colorful - Accent 5"/>
    <w:basedOn w:val="101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3">
    <w:name w:val="List Table 7 Colorful - Accent 6"/>
    <w:basedOn w:val="101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4">
    <w:name w:val="Lined - Accent"/>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1"/>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2"/>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3"/>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4"/>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5"/>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6"/>
    <w:basedOn w:val="101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w:basedOn w:val="101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1"/>
    <w:basedOn w:val="101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2"/>
    <w:basedOn w:val="101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3"/>
    <w:basedOn w:val="101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4"/>
    <w:basedOn w:val="101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5"/>
    <w:basedOn w:val="101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6"/>
    <w:basedOn w:val="101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w:basedOn w:val="101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1"/>
    <w:basedOn w:val="101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2"/>
    <w:basedOn w:val="101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3"/>
    <w:basedOn w:val="101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4"/>
    <w:basedOn w:val="101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5"/>
    <w:basedOn w:val="101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6"/>
    <w:basedOn w:val="101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5">
    <w:name w:val="Heading 5"/>
    <w:basedOn w:val="1006"/>
    <w:next w:val="1006"/>
    <w:link w:val="97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6">
    <w:name w:val="Heading 6"/>
    <w:basedOn w:val="1006"/>
    <w:next w:val="1006"/>
    <w:link w:val="97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7">
    <w:name w:val="Heading 7"/>
    <w:basedOn w:val="1006"/>
    <w:next w:val="1006"/>
    <w:link w:val="97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8">
    <w:name w:val="Heading 8"/>
    <w:basedOn w:val="1006"/>
    <w:next w:val="1006"/>
    <w:link w:val="97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9">
    <w:name w:val="Heading 9"/>
    <w:basedOn w:val="1006"/>
    <w:next w:val="1006"/>
    <w:link w:val="97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0">
    <w:name w:val="Heading 5 Char"/>
    <w:basedOn w:val="1011"/>
    <w:link w:val="965"/>
    <w:uiPriority w:val="9"/>
    <w:pPr>
      <w:pBdr/>
      <w:spacing/>
      <w:ind/>
    </w:pPr>
    <w:rPr>
      <w:rFonts w:ascii="Arial" w:hAnsi="Arial" w:eastAsia="Arial" w:cs="Arial"/>
      <w:color w:val="0f4761" w:themeColor="accent1" w:themeShade="BF"/>
    </w:rPr>
  </w:style>
  <w:style w:type="character" w:styleId="971">
    <w:name w:val="Heading 6 Char"/>
    <w:basedOn w:val="1011"/>
    <w:link w:val="966"/>
    <w:uiPriority w:val="9"/>
    <w:pPr>
      <w:pBdr/>
      <w:spacing/>
      <w:ind/>
    </w:pPr>
    <w:rPr>
      <w:rFonts w:ascii="Arial" w:hAnsi="Arial" w:eastAsia="Arial" w:cs="Arial"/>
      <w:i/>
      <w:iCs/>
      <w:color w:val="595959" w:themeColor="text1" w:themeTint="A6"/>
    </w:rPr>
  </w:style>
  <w:style w:type="character" w:styleId="972">
    <w:name w:val="Heading 7 Char"/>
    <w:basedOn w:val="1011"/>
    <w:link w:val="967"/>
    <w:uiPriority w:val="9"/>
    <w:pPr>
      <w:pBdr/>
      <w:spacing/>
      <w:ind/>
    </w:pPr>
    <w:rPr>
      <w:rFonts w:ascii="Arial" w:hAnsi="Arial" w:eastAsia="Arial" w:cs="Arial"/>
      <w:color w:val="595959" w:themeColor="text1" w:themeTint="A6"/>
    </w:rPr>
  </w:style>
  <w:style w:type="character" w:styleId="973">
    <w:name w:val="Heading 8 Char"/>
    <w:basedOn w:val="1011"/>
    <w:link w:val="968"/>
    <w:uiPriority w:val="9"/>
    <w:pPr>
      <w:pBdr/>
      <w:spacing/>
      <w:ind/>
    </w:pPr>
    <w:rPr>
      <w:rFonts w:ascii="Arial" w:hAnsi="Arial" w:eastAsia="Arial" w:cs="Arial"/>
      <w:i/>
      <w:iCs/>
      <w:color w:val="272727" w:themeColor="text1" w:themeTint="D8"/>
    </w:rPr>
  </w:style>
  <w:style w:type="character" w:styleId="974">
    <w:name w:val="Heading 9 Char"/>
    <w:basedOn w:val="1011"/>
    <w:link w:val="969"/>
    <w:uiPriority w:val="9"/>
    <w:pPr>
      <w:pBdr/>
      <w:spacing/>
      <w:ind/>
    </w:pPr>
    <w:rPr>
      <w:rFonts w:ascii="Arial" w:hAnsi="Arial" w:eastAsia="Arial" w:cs="Arial"/>
      <w:i/>
      <w:iCs/>
      <w:color w:val="272727" w:themeColor="text1" w:themeTint="D8"/>
    </w:rPr>
  </w:style>
  <w:style w:type="paragraph" w:styleId="975">
    <w:name w:val="Subtitle"/>
    <w:basedOn w:val="1006"/>
    <w:next w:val="1006"/>
    <w:link w:val="976"/>
    <w:uiPriority w:val="11"/>
    <w:qFormat/>
    <w:pPr>
      <w:numPr>
        <w:ilvl w:val="1"/>
      </w:numPr>
      <w:pBdr/>
      <w:spacing/>
      <w:ind/>
    </w:pPr>
    <w:rPr>
      <w:color w:val="595959" w:themeColor="text1" w:themeTint="A6"/>
      <w:spacing w:val="15"/>
      <w:sz w:val="28"/>
      <w:szCs w:val="28"/>
    </w:rPr>
  </w:style>
  <w:style w:type="character" w:styleId="976">
    <w:name w:val="Subtitle Char"/>
    <w:basedOn w:val="1011"/>
    <w:link w:val="975"/>
    <w:uiPriority w:val="11"/>
    <w:pPr>
      <w:pBdr/>
      <w:spacing/>
      <w:ind/>
    </w:pPr>
    <w:rPr>
      <w:color w:val="595959" w:themeColor="text1" w:themeTint="A6"/>
      <w:spacing w:val="15"/>
      <w:sz w:val="28"/>
      <w:szCs w:val="28"/>
    </w:rPr>
  </w:style>
  <w:style w:type="paragraph" w:styleId="977">
    <w:name w:val="Quote"/>
    <w:basedOn w:val="1006"/>
    <w:next w:val="1006"/>
    <w:link w:val="978"/>
    <w:uiPriority w:val="29"/>
    <w:qFormat/>
    <w:pPr>
      <w:pBdr/>
      <w:spacing w:before="160"/>
      <w:ind/>
      <w:jc w:val="center"/>
    </w:pPr>
    <w:rPr>
      <w:i/>
      <w:iCs/>
      <w:color w:val="404040" w:themeColor="text1" w:themeTint="BF"/>
    </w:rPr>
  </w:style>
  <w:style w:type="character" w:styleId="978">
    <w:name w:val="Quote Char"/>
    <w:basedOn w:val="1011"/>
    <w:link w:val="977"/>
    <w:uiPriority w:val="29"/>
    <w:pPr>
      <w:pBdr/>
      <w:spacing/>
      <w:ind/>
    </w:pPr>
    <w:rPr>
      <w:i/>
      <w:iCs/>
      <w:color w:val="404040" w:themeColor="text1" w:themeTint="BF"/>
    </w:rPr>
  </w:style>
  <w:style w:type="character" w:styleId="979">
    <w:name w:val="Intense Emphasis"/>
    <w:basedOn w:val="1011"/>
    <w:uiPriority w:val="21"/>
    <w:qFormat/>
    <w:pPr>
      <w:pBdr/>
      <w:spacing/>
      <w:ind/>
    </w:pPr>
    <w:rPr>
      <w:i/>
      <w:iCs/>
      <w:color w:val="0f4761" w:themeColor="accent1" w:themeShade="BF"/>
    </w:rPr>
  </w:style>
  <w:style w:type="paragraph" w:styleId="980">
    <w:name w:val="Intense Quote"/>
    <w:basedOn w:val="1006"/>
    <w:next w:val="1006"/>
    <w:link w:val="98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1">
    <w:name w:val="Intense Quote Char"/>
    <w:basedOn w:val="1011"/>
    <w:link w:val="980"/>
    <w:uiPriority w:val="30"/>
    <w:pPr>
      <w:pBdr/>
      <w:spacing/>
      <w:ind/>
    </w:pPr>
    <w:rPr>
      <w:i/>
      <w:iCs/>
      <w:color w:val="0f4761" w:themeColor="accent1" w:themeShade="BF"/>
    </w:rPr>
  </w:style>
  <w:style w:type="character" w:styleId="982">
    <w:name w:val="Intense Reference"/>
    <w:basedOn w:val="1011"/>
    <w:uiPriority w:val="32"/>
    <w:qFormat/>
    <w:pPr>
      <w:pBdr/>
      <w:spacing/>
      <w:ind/>
    </w:pPr>
    <w:rPr>
      <w:b/>
      <w:bCs/>
      <w:smallCaps/>
      <w:color w:val="0f4761" w:themeColor="accent1" w:themeShade="BF"/>
      <w:spacing w:val="5"/>
    </w:rPr>
  </w:style>
  <w:style w:type="paragraph" w:styleId="983">
    <w:name w:val="No Spacing"/>
    <w:basedOn w:val="1006"/>
    <w:uiPriority w:val="1"/>
    <w:qFormat/>
    <w:pPr>
      <w:pBdr/>
      <w:spacing w:after="0" w:line="240" w:lineRule="auto"/>
      <w:ind/>
    </w:pPr>
  </w:style>
  <w:style w:type="character" w:styleId="984">
    <w:name w:val="Subtle Emphasis"/>
    <w:basedOn w:val="1011"/>
    <w:uiPriority w:val="19"/>
    <w:qFormat/>
    <w:pPr>
      <w:pBdr/>
      <w:spacing/>
      <w:ind/>
    </w:pPr>
    <w:rPr>
      <w:i/>
      <w:iCs/>
      <w:color w:val="404040" w:themeColor="text1" w:themeTint="BF"/>
    </w:rPr>
  </w:style>
  <w:style w:type="character" w:styleId="985">
    <w:name w:val="Subtle Reference"/>
    <w:basedOn w:val="1011"/>
    <w:uiPriority w:val="31"/>
    <w:qFormat/>
    <w:pPr>
      <w:pBdr/>
      <w:spacing/>
      <w:ind/>
    </w:pPr>
    <w:rPr>
      <w:smallCaps/>
      <w:color w:val="5a5a5a" w:themeColor="text1" w:themeTint="A5"/>
    </w:rPr>
  </w:style>
  <w:style w:type="character" w:styleId="986">
    <w:name w:val="Book Title"/>
    <w:basedOn w:val="1011"/>
    <w:uiPriority w:val="33"/>
    <w:qFormat/>
    <w:pPr>
      <w:pBdr/>
      <w:spacing/>
      <w:ind/>
    </w:pPr>
    <w:rPr>
      <w:b/>
      <w:bCs/>
      <w:i/>
      <w:iCs/>
      <w:spacing w:val="5"/>
    </w:rPr>
  </w:style>
  <w:style w:type="paragraph" w:styleId="987">
    <w:name w:val="Caption"/>
    <w:basedOn w:val="1006"/>
    <w:next w:val="1006"/>
    <w:uiPriority w:val="35"/>
    <w:unhideWhenUsed/>
    <w:qFormat/>
    <w:pPr>
      <w:pBdr/>
      <w:spacing w:after="200" w:line="240" w:lineRule="auto"/>
      <w:ind/>
    </w:pPr>
    <w:rPr>
      <w:i/>
      <w:iCs/>
      <w:color w:val="0e2841" w:themeColor="text2"/>
      <w:sz w:val="18"/>
      <w:szCs w:val="18"/>
    </w:rPr>
  </w:style>
  <w:style w:type="paragraph" w:styleId="988">
    <w:name w:val="footnote text"/>
    <w:basedOn w:val="1006"/>
    <w:link w:val="989"/>
    <w:uiPriority w:val="99"/>
    <w:semiHidden/>
    <w:unhideWhenUsed/>
    <w:pPr>
      <w:pBdr/>
      <w:spacing w:after="0" w:line="240" w:lineRule="auto"/>
      <w:ind/>
    </w:pPr>
    <w:rPr>
      <w:sz w:val="20"/>
      <w:szCs w:val="20"/>
    </w:rPr>
  </w:style>
  <w:style w:type="character" w:styleId="989">
    <w:name w:val="Footnote Text Char"/>
    <w:basedOn w:val="1011"/>
    <w:link w:val="988"/>
    <w:uiPriority w:val="99"/>
    <w:semiHidden/>
    <w:pPr>
      <w:pBdr/>
      <w:spacing/>
      <w:ind/>
    </w:pPr>
    <w:rPr>
      <w:sz w:val="20"/>
      <w:szCs w:val="20"/>
    </w:rPr>
  </w:style>
  <w:style w:type="character" w:styleId="990">
    <w:name w:val="footnote reference"/>
    <w:basedOn w:val="1011"/>
    <w:uiPriority w:val="99"/>
    <w:semiHidden/>
    <w:unhideWhenUsed/>
    <w:pPr>
      <w:pBdr/>
      <w:spacing/>
      <w:ind/>
    </w:pPr>
    <w:rPr>
      <w:vertAlign w:val="superscript"/>
    </w:rPr>
  </w:style>
  <w:style w:type="paragraph" w:styleId="991">
    <w:name w:val="endnote text"/>
    <w:basedOn w:val="1006"/>
    <w:link w:val="992"/>
    <w:uiPriority w:val="99"/>
    <w:semiHidden/>
    <w:unhideWhenUsed/>
    <w:pPr>
      <w:pBdr/>
      <w:spacing w:after="0" w:line="240" w:lineRule="auto"/>
      <w:ind/>
    </w:pPr>
    <w:rPr>
      <w:sz w:val="20"/>
      <w:szCs w:val="20"/>
    </w:rPr>
  </w:style>
  <w:style w:type="character" w:styleId="992">
    <w:name w:val="Endnote Text Char"/>
    <w:basedOn w:val="1011"/>
    <w:link w:val="991"/>
    <w:uiPriority w:val="99"/>
    <w:semiHidden/>
    <w:pPr>
      <w:pBdr/>
      <w:spacing/>
      <w:ind/>
    </w:pPr>
    <w:rPr>
      <w:sz w:val="20"/>
      <w:szCs w:val="20"/>
    </w:rPr>
  </w:style>
  <w:style w:type="character" w:styleId="993">
    <w:name w:val="endnote reference"/>
    <w:basedOn w:val="1011"/>
    <w:uiPriority w:val="99"/>
    <w:semiHidden/>
    <w:unhideWhenUsed/>
    <w:pPr>
      <w:pBdr/>
      <w:spacing/>
      <w:ind/>
    </w:pPr>
    <w:rPr>
      <w:vertAlign w:val="superscript"/>
    </w:rPr>
  </w:style>
  <w:style w:type="paragraph" w:styleId="994">
    <w:name w:val="toc 1"/>
    <w:basedOn w:val="1006"/>
    <w:next w:val="1006"/>
    <w:uiPriority w:val="39"/>
    <w:unhideWhenUsed/>
    <w:pPr>
      <w:pBdr/>
      <w:spacing w:after="100"/>
      <w:ind/>
    </w:pPr>
  </w:style>
  <w:style w:type="paragraph" w:styleId="995">
    <w:name w:val="toc 2"/>
    <w:basedOn w:val="1006"/>
    <w:next w:val="1006"/>
    <w:uiPriority w:val="39"/>
    <w:unhideWhenUsed/>
    <w:pPr>
      <w:pBdr/>
      <w:spacing w:after="100"/>
      <w:ind w:left="220"/>
    </w:pPr>
  </w:style>
  <w:style w:type="paragraph" w:styleId="996">
    <w:name w:val="toc 3"/>
    <w:basedOn w:val="1006"/>
    <w:next w:val="1006"/>
    <w:uiPriority w:val="39"/>
    <w:unhideWhenUsed/>
    <w:pPr>
      <w:pBdr/>
      <w:spacing w:after="100"/>
      <w:ind w:left="440"/>
    </w:pPr>
  </w:style>
  <w:style w:type="paragraph" w:styleId="997">
    <w:name w:val="toc 4"/>
    <w:basedOn w:val="1006"/>
    <w:next w:val="1006"/>
    <w:uiPriority w:val="39"/>
    <w:unhideWhenUsed/>
    <w:pPr>
      <w:pBdr/>
      <w:spacing w:after="100"/>
      <w:ind w:left="660"/>
    </w:pPr>
  </w:style>
  <w:style w:type="paragraph" w:styleId="998">
    <w:name w:val="toc 5"/>
    <w:basedOn w:val="1006"/>
    <w:next w:val="1006"/>
    <w:uiPriority w:val="39"/>
    <w:unhideWhenUsed/>
    <w:pPr>
      <w:pBdr/>
      <w:spacing w:after="100"/>
      <w:ind w:left="880"/>
    </w:pPr>
  </w:style>
  <w:style w:type="paragraph" w:styleId="999">
    <w:name w:val="toc 6"/>
    <w:basedOn w:val="1006"/>
    <w:next w:val="1006"/>
    <w:uiPriority w:val="39"/>
    <w:unhideWhenUsed/>
    <w:pPr>
      <w:pBdr/>
      <w:spacing w:after="100"/>
      <w:ind w:left="1100"/>
    </w:pPr>
  </w:style>
  <w:style w:type="paragraph" w:styleId="1000">
    <w:name w:val="toc 7"/>
    <w:basedOn w:val="1006"/>
    <w:next w:val="1006"/>
    <w:uiPriority w:val="39"/>
    <w:unhideWhenUsed/>
    <w:pPr>
      <w:pBdr/>
      <w:spacing w:after="100"/>
      <w:ind w:left="1320"/>
    </w:pPr>
  </w:style>
  <w:style w:type="paragraph" w:styleId="1001">
    <w:name w:val="toc 8"/>
    <w:basedOn w:val="1006"/>
    <w:next w:val="1006"/>
    <w:uiPriority w:val="39"/>
    <w:unhideWhenUsed/>
    <w:pPr>
      <w:pBdr/>
      <w:spacing w:after="100"/>
      <w:ind w:left="1540"/>
    </w:pPr>
  </w:style>
  <w:style w:type="paragraph" w:styleId="1002">
    <w:name w:val="toc 9"/>
    <w:basedOn w:val="1006"/>
    <w:next w:val="1006"/>
    <w:uiPriority w:val="39"/>
    <w:unhideWhenUsed/>
    <w:pPr>
      <w:pBdr/>
      <w:spacing w:after="100"/>
      <w:ind w:left="1760"/>
    </w:pPr>
  </w:style>
  <w:style w:type="character" w:styleId="1003">
    <w:name w:val="Placeholder Text"/>
    <w:basedOn w:val="1011"/>
    <w:uiPriority w:val="99"/>
    <w:semiHidden/>
    <w:pPr>
      <w:pBdr/>
      <w:spacing/>
      <w:ind/>
    </w:pPr>
    <w:rPr>
      <w:color w:val="666666"/>
    </w:rPr>
  </w:style>
  <w:style w:type="paragraph" w:styleId="1004">
    <w:name w:val="TOC Heading"/>
    <w:uiPriority w:val="39"/>
    <w:unhideWhenUsed/>
    <w:pPr>
      <w:pBdr/>
      <w:spacing/>
      <w:ind/>
    </w:pPr>
  </w:style>
  <w:style w:type="paragraph" w:styleId="1005">
    <w:name w:val="table of figures"/>
    <w:basedOn w:val="1006"/>
    <w:next w:val="1006"/>
    <w:uiPriority w:val="99"/>
    <w:unhideWhenUsed/>
    <w:pPr>
      <w:pBdr/>
      <w:spacing w:after="0" w:afterAutospacing="0"/>
      <w:ind/>
    </w:pPr>
  </w:style>
  <w:style w:type="paragraph" w:styleId="1006" w:default="1">
    <w:name w:val="Normal"/>
    <w:qFormat/>
    <w:pPr>
      <w:pBdr/>
      <w:spacing w:after="0" w:line="240" w:lineRule="auto"/>
      <w:ind/>
    </w:pPr>
    <w:rPr>
      <w:rFonts w:ascii="Times New Roman" w:hAnsi="Times New Roman" w:eastAsia="Times New Roman" w:cs="Times New Roman"/>
      <w:sz w:val="24"/>
      <w:szCs w:val="24"/>
    </w:rPr>
  </w:style>
  <w:style w:type="paragraph" w:styleId="1007">
    <w:name w:val="Heading 1"/>
    <w:basedOn w:val="1006"/>
    <w:next w:val="1006"/>
    <w:link w:val="1014"/>
    <w:qFormat/>
    <w:pPr>
      <w:keepNext w:val="true"/>
      <w:pBdr/>
      <w:spacing w:after="120" w:before="120"/>
      <w:ind/>
      <w:jc w:val="center"/>
      <w:outlineLvl w:val="0"/>
    </w:pPr>
    <w:rPr>
      <w:b/>
      <w:bCs/>
      <w:sz w:val="27"/>
      <w:szCs w:val="27"/>
    </w:rPr>
  </w:style>
  <w:style w:type="paragraph" w:styleId="1008">
    <w:name w:val="Heading 2"/>
    <w:basedOn w:val="1006"/>
    <w:next w:val="1006"/>
    <w:link w:val="1015"/>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9">
    <w:name w:val="Heading 3"/>
    <w:basedOn w:val="1006"/>
    <w:next w:val="1006"/>
    <w:link w:val="1016"/>
    <w:qFormat/>
    <w:pPr>
      <w:keepNext w:val="true"/>
      <w:pBdr/>
      <w:spacing w:before="60"/>
      <w:ind/>
      <w:outlineLvl w:val="2"/>
    </w:pPr>
    <w:rPr>
      <w:sz w:val="28"/>
      <w:szCs w:val="28"/>
    </w:rPr>
  </w:style>
  <w:style w:type="paragraph" w:styleId="1010">
    <w:name w:val="Heading 4"/>
    <w:basedOn w:val="1006"/>
    <w:next w:val="1006"/>
    <w:link w:val="1017"/>
    <w:qFormat/>
    <w:pPr>
      <w:keepNext w:val="true"/>
      <w:pBdr/>
      <w:spacing/>
      <w:ind/>
      <w:jc w:val="center"/>
      <w:outlineLvl w:val="3"/>
    </w:pPr>
    <w:rPr>
      <w:b/>
      <w:bCs/>
    </w:rPr>
  </w:style>
  <w:style w:type="character" w:styleId="1011" w:default="1">
    <w:name w:val="Default Paragraph Font"/>
    <w:uiPriority w:val="1"/>
    <w:semiHidden/>
    <w:unhideWhenUsed/>
    <w:pPr>
      <w:pBdr/>
      <w:spacing/>
      <w:ind/>
    </w:pPr>
  </w:style>
  <w:style w:type="table" w:styleId="101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3" w:default="1">
    <w:name w:val="No List"/>
    <w:uiPriority w:val="99"/>
    <w:semiHidden/>
    <w:unhideWhenUsed/>
    <w:pPr>
      <w:pBdr/>
      <w:spacing/>
      <w:ind/>
    </w:pPr>
  </w:style>
  <w:style w:type="character" w:styleId="1014" w:customStyle="1">
    <w:name w:val="Heading 1 Char"/>
    <w:basedOn w:val="1011"/>
    <w:link w:val="1007"/>
    <w:pPr>
      <w:pBdr/>
      <w:spacing/>
      <w:ind/>
    </w:pPr>
    <w:rPr>
      <w:rFonts w:ascii="Times New Roman" w:hAnsi="Times New Roman" w:eastAsia="Times New Roman" w:cs="Times New Roman"/>
      <w:b/>
      <w:bCs/>
      <w:sz w:val="27"/>
      <w:szCs w:val="27"/>
    </w:rPr>
  </w:style>
  <w:style w:type="character" w:styleId="1015" w:customStyle="1">
    <w:name w:val="Heading 2 Char"/>
    <w:basedOn w:val="1011"/>
    <w:link w:val="1008"/>
    <w:uiPriority w:val="9"/>
    <w:pPr>
      <w:pBdr/>
      <w:spacing/>
      <w:ind/>
    </w:pPr>
    <w:rPr>
      <w:rFonts w:asciiTheme="majorHAnsi" w:hAnsiTheme="majorHAnsi" w:eastAsiaTheme="majorEastAsia" w:cstheme="majorBidi"/>
      <w:color w:val="365f91" w:themeColor="accent1" w:themeShade="BF"/>
      <w:sz w:val="26"/>
      <w:szCs w:val="26"/>
    </w:rPr>
  </w:style>
  <w:style w:type="character" w:styleId="1016" w:customStyle="1">
    <w:name w:val="Heading 3 Char"/>
    <w:basedOn w:val="1011"/>
    <w:link w:val="1009"/>
    <w:pPr>
      <w:pBdr/>
      <w:spacing/>
      <w:ind/>
    </w:pPr>
    <w:rPr>
      <w:rFonts w:ascii="Times New Roman" w:hAnsi="Times New Roman" w:eastAsia="Times New Roman" w:cs="Times New Roman"/>
      <w:sz w:val="28"/>
      <w:szCs w:val="28"/>
    </w:rPr>
  </w:style>
  <w:style w:type="character" w:styleId="1017" w:customStyle="1">
    <w:name w:val="Heading 4 Char"/>
    <w:basedOn w:val="1011"/>
    <w:link w:val="1010"/>
    <w:pPr>
      <w:pBdr/>
      <w:spacing/>
      <w:ind/>
    </w:pPr>
    <w:rPr>
      <w:rFonts w:ascii="Times New Roman" w:hAnsi="Times New Roman" w:eastAsia="Times New Roman" w:cs="Times New Roman"/>
      <w:b/>
      <w:bCs/>
      <w:sz w:val="24"/>
      <w:szCs w:val="24"/>
    </w:rPr>
  </w:style>
  <w:style w:type="character" w:styleId="1018">
    <w:name w:val="Hyperlink"/>
    <w:uiPriority w:val="99"/>
    <w:pPr>
      <w:pBdr/>
      <w:spacing/>
      <w:ind/>
    </w:pPr>
    <w:rPr>
      <w:color w:val="000000"/>
      <w:u w:val="single"/>
    </w:rPr>
  </w:style>
  <w:style w:type="character" w:styleId="1019">
    <w:name w:val="Strong"/>
    <w:uiPriority w:val="22"/>
    <w:qFormat/>
    <w:pPr>
      <w:pBdr/>
      <w:spacing/>
      <w:ind/>
    </w:pPr>
    <w:rPr>
      <w:b/>
      <w:bCs/>
    </w:rPr>
  </w:style>
  <w:style w:type="paragraph" w:styleId="1020">
    <w:name w:val="Balloon Text"/>
    <w:basedOn w:val="1006"/>
    <w:link w:val="1021"/>
    <w:uiPriority w:val="99"/>
    <w:semiHidden/>
    <w:unhideWhenUsed/>
    <w:pPr>
      <w:pBdr/>
      <w:spacing/>
      <w:ind/>
    </w:pPr>
    <w:rPr>
      <w:rFonts w:ascii="Tahoma" w:hAnsi="Tahoma" w:cs="Tahoma"/>
      <w:sz w:val="16"/>
      <w:szCs w:val="16"/>
    </w:rPr>
  </w:style>
  <w:style w:type="character" w:styleId="1021" w:customStyle="1">
    <w:name w:val="Balloon Text Char"/>
    <w:basedOn w:val="1011"/>
    <w:link w:val="1020"/>
    <w:uiPriority w:val="99"/>
    <w:semiHidden/>
    <w:pPr>
      <w:pBdr/>
      <w:spacing/>
      <w:ind/>
    </w:pPr>
    <w:rPr>
      <w:rFonts w:ascii="Tahoma" w:hAnsi="Tahoma" w:eastAsia="Times New Roman" w:cs="Tahoma"/>
      <w:sz w:val="16"/>
      <w:szCs w:val="16"/>
    </w:rPr>
  </w:style>
  <w:style w:type="paragraph" w:styleId="1022">
    <w:name w:val="Header"/>
    <w:basedOn w:val="1006"/>
    <w:link w:val="1023"/>
    <w:unhideWhenUsed/>
    <w:pPr>
      <w:pBdr/>
      <w:tabs>
        <w:tab w:val="center" w:leader="none" w:pos="4680"/>
        <w:tab w:val="right" w:leader="none" w:pos="9360"/>
      </w:tabs>
      <w:spacing/>
      <w:ind/>
    </w:pPr>
  </w:style>
  <w:style w:type="character" w:styleId="1023" w:customStyle="1">
    <w:name w:val="Header Char"/>
    <w:basedOn w:val="1011"/>
    <w:link w:val="1022"/>
    <w:pPr>
      <w:pBdr/>
      <w:spacing/>
      <w:ind/>
    </w:pPr>
    <w:rPr>
      <w:rFonts w:ascii="Times New Roman" w:hAnsi="Times New Roman" w:eastAsia="Times New Roman" w:cs="Times New Roman"/>
      <w:sz w:val="24"/>
      <w:szCs w:val="24"/>
    </w:rPr>
  </w:style>
  <w:style w:type="paragraph" w:styleId="1024">
    <w:name w:val="Footer"/>
    <w:basedOn w:val="1006"/>
    <w:link w:val="1025"/>
    <w:uiPriority w:val="99"/>
    <w:unhideWhenUsed/>
    <w:pPr>
      <w:pBdr/>
      <w:tabs>
        <w:tab w:val="center" w:leader="none" w:pos="4680"/>
        <w:tab w:val="right" w:leader="none" w:pos="9360"/>
      </w:tabs>
      <w:spacing/>
      <w:ind/>
    </w:pPr>
  </w:style>
  <w:style w:type="character" w:styleId="1025" w:customStyle="1">
    <w:name w:val="Footer Char"/>
    <w:basedOn w:val="1011"/>
    <w:link w:val="1024"/>
    <w:uiPriority w:val="99"/>
    <w:pPr>
      <w:pBdr/>
      <w:spacing/>
      <w:ind/>
    </w:pPr>
    <w:rPr>
      <w:rFonts w:ascii="Times New Roman" w:hAnsi="Times New Roman" w:eastAsia="Times New Roman" w:cs="Times New Roman"/>
      <w:sz w:val="24"/>
      <w:szCs w:val="24"/>
    </w:rPr>
  </w:style>
  <w:style w:type="character" w:styleId="1026" w:customStyle="1">
    <w:name w:val="normal-h1"/>
    <w:pPr>
      <w:pBdr/>
      <w:spacing/>
      <w:ind/>
    </w:pPr>
    <w:rPr>
      <w:rFonts w:hint="default" w:ascii=".VnTime" w:hAnsi=".VnTime"/>
      <w:color w:val="0000ff"/>
      <w:sz w:val="24"/>
      <w:szCs w:val="24"/>
    </w:rPr>
  </w:style>
  <w:style w:type="paragraph" w:styleId="1027" w:customStyle="1">
    <w:name w:val="normal-p"/>
    <w:basedOn w:val="1006"/>
    <w:pPr>
      <w:pBdr/>
      <w:spacing/>
      <w:ind/>
      <w:jc w:val="both"/>
    </w:pPr>
    <w:rPr>
      <w:sz w:val="20"/>
      <w:szCs w:val="20"/>
    </w:rPr>
  </w:style>
  <w:style w:type="paragraph" w:styleId="1028">
    <w:name w:val="List Paragraph"/>
    <w:basedOn w:val="1006"/>
    <w:link w:val="1115"/>
    <w:uiPriority w:val="34"/>
    <w:qFormat/>
    <w:pPr>
      <w:pBdr/>
      <w:spacing/>
      <w:ind w:left="720"/>
    </w:pPr>
  </w:style>
  <w:style w:type="paragraph" w:styleId="1029">
    <w:name w:val="Normal (Web)"/>
    <w:basedOn w:val="1006"/>
    <w:uiPriority w:val="99"/>
    <w:pPr>
      <w:pBdr/>
      <w:spacing w:after="100" w:afterAutospacing="1" w:before="100" w:beforeAutospacing="1"/>
      <w:ind/>
    </w:pPr>
  </w:style>
  <w:style w:type="paragraph" w:styleId="1030">
    <w:name w:val="Body Text"/>
    <w:basedOn w:val="1006"/>
    <w:link w:val="1031"/>
    <w:pPr>
      <w:pBdr/>
      <w:spacing w:after="120"/>
      <w:ind/>
      <w:jc w:val="both"/>
    </w:pPr>
  </w:style>
  <w:style w:type="character" w:styleId="1031" w:customStyle="1">
    <w:name w:val="Body Text Char"/>
    <w:basedOn w:val="1011"/>
    <w:link w:val="1030"/>
    <w:pPr>
      <w:pBdr/>
      <w:spacing/>
      <w:ind/>
    </w:pPr>
    <w:rPr>
      <w:rFonts w:ascii="Times New Roman" w:hAnsi="Times New Roman" w:eastAsia="Times New Roman" w:cs="Times New Roman"/>
      <w:sz w:val="24"/>
      <w:szCs w:val="24"/>
    </w:rPr>
  </w:style>
  <w:style w:type="table" w:styleId="1032">
    <w:name w:val="Table Grid"/>
    <w:basedOn w:val="1012"/>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3"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4">
    <w:name w:val="annotation reference"/>
    <w:basedOn w:val="1011"/>
    <w:uiPriority w:val="99"/>
    <w:semiHidden/>
    <w:unhideWhenUsed/>
    <w:pPr>
      <w:pBdr/>
      <w:spacing/>
      <w:ind/>
    </w:pPr>
    <w:rPr>
      <w:sz w:val="16"/>
      <w:szCs w:val="16"/>
    </w:rPr>
  </w:style>
  <w:style w:type="paragraph" w:styleId="1035">
    <w:name w:val="annotation text"/>
    <w:basedOn w:val="1006"/>
    <w:link w:val="1036"/>
    <w:uiPriority w:val="99"/>
    <w:unhideWhenUsed/>
    <w:pPr>
      <w:pBdr/>
      <w:spacing/>
      <w:ind/>
    </w:pPr>
    <w:rPr>
      <w:sz w:val="20"/>
      <w:szCs w:val="20"/>
    </w:rPr>
  </w:style>
  <w:style w:type="character" w:styleId="1036" w:customStyle="1">
    <w:name w:val="Comment Text Char"/>
    <w:basedOn w:val="1011"/>
    <w:link w:val="1035"/>
    <w:uiPriority w:val="99"/>
    <w:pPr>
      <w:pBdr/>
      <w:spacing/>
      <w:ind/>
    </w:pPr>
    <w:rPr>
      <w:rFonts w:ascii="Times New Roman" w:hAnsi="Times New Roman" w:eastAsia="Times New Roman" w:cs="Times New Roman"/>
      <w:sz w:val="20"/>
      <w:szCs w:val="20"/>
    </w:rPr>
  </w:style>
  <w:style w:type="paragraph" w:styleId="1037">
    <w:name w:val="annotation subject"/>
    <w:basedOn w:val="1035"/>
    <w:next w:val="1035"/>
    <w:link w:val="1038"/>
    <w:uiPriority w:val="99"/>
    <w:semiHidden/>
    <w:unhideWhenUsed/>
    <w:pPr>
      <w:pBdr/>
      <w:spacing/>
      <w:ind/>
    </w:pPr>
    <w:rPr>
      <w:b/>
      <w:bCs/>
    </w:rPr>
  </w:style>
  <w:style w:type="character" w:styleId="1038" w:customStyle="1">
    <w:name w:val="Comment Subject Char"/>
    <w:basedOn w:val="1036"/>
    <w:link w:val="1037"/>
    <w:uiPriority w:val="99"/>
    <w:semiHidden/>
    <w:pPr>
      <w:pBdr/>
      <w:spacing/>
      <w:ind/>
    </w:pPr>
    <w:rPr>
      <w:rFonts w:ascii="Times New Roman" w:hAnsi="Times New Roman" w:eastAsia="Times New Roman" w:cs="Times New Roman"/>
      <w:b/>
      <w:bCs/>
      <w:sz w:val="20"/>
      <w:szCs w:val="20"/>
    </w:rPr>
  </w:style>
  <w:style w:type="paragraph" w:styleId="1039" w:customStyle="1">
    <w:name w:val="font5"/>
    <w:basedOn w:val="1006"/>
    <w:pPr>
      <w:pBdr/>
      <w:spacing w:after="100" w:afterAutospacing="1" w:before="100" w:beforeAutospacing="1"/>
      <w:ind/>
    </w:pPr>
    <w:rPr>
      <w:rFonts w:ascii="Tahoma" w:hAnsi="Tahoma" w:cs="Tahoma"/>
      <w:color w:val="000000"/>
      <w:sz w:val="18"/>
      <w:szCs w:val="18"/>
    </w:rPr>
  </w:style>
  <w:style w:type="paragraph" w:styleId="1040" w:customStyle="1">
    <w:name w:val="font6"/>
    <w:basedOn w:val="1006"/>
    <w:pPr>
      <w:pBdr/>
      <w:spacing w:after="100" w:afterAutospacing="1" w:before="100" w:beforeAutospacing="1"/>
      <w:ind/>
    </w:pPr>
    <w:rPr>
      <w:rFonts w:ascii="Tahoma" w:hAnsi="Tahoma" w:cs="Tahoma"/>
      <w:b/>
      <w:bCs/>
      <w:color w:val="000000"/>
      <w:sz w:val="18"/>
      <w:szCs w:val="18"/>
    </w:rPr>
  </w:style>
  <w:style w:type="paragraph" w:styleId="1041" w:customStyle="1">
    <w:name w:val="xl233"/>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2" w:customStyle="1">
    <w:name w:val="xl234"/>
    <w:basedOn w:val="1006"/>
    <w:pPr>
      <w:pBdr/>
      <w:spacing w:after="100" w:afterAutospacing="1" w:before="100" w:beforeAutospacing="1"/>
      <w:ind/>
      <w:jc w:val="center"/>
    </w:pPr>
  </w:style>
  <w:style w:type="paragraph" w:styleId="1043" w:customStyle="1">
    <w:name w:val="xl235"/>
    <w:basedOn w:val="1006"/>
    <w:pPr>
      <w:pBdr/>
      <w:spacing w:after="100" w:afterAutospacing="1" w:before="100" w:beforeAutospacing="1"/>
      <w:ind/>
      <w:jc w:val="center"/>
    </w:pPr>
    <w:rPr>
      <w:b/>
      <w:bCs/>
    </w:rPr>
  </w:style>
  <w:style w:type="paragraph" w:styleId="1044" w:customStyle="1">
    <w:name w:val="xl236"/>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5" w:customStyle="1">
    <w:name w:val="xl237"/>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38"/>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7" w:customStyle="1">
    <w:name w:val="xl239"/>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8" w:customStyle="1">
    <w:name w:val="xl240"/>
    <w:basedOn w:val="1006"/>
    <w:pPr>
      <w:pBdr/>
      <w:spacing w:after="100" w:afterAutospacing="1" w:before="100" w:beforeAutospacing="1"/>
      <w:ind/>
    </w:pPr>
  </w:style>
  <w:style w:type="paragraph" w:styleId="1049" w:customStyle="1">
    <w:name w:val="xl241"/>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0" w:customStyle="1">
    <w:name w:val="xl242"/>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3"/>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2" w:customStyle="1">
    <w:name w:val="xl244"/>
    <w:basedOn w:val="1006"/>
    <w:pPr>
      <w:pBdr/>
      <w:spacing w:after="100" w:afterAutospacing="1" w:before="100" w:beforeAutospacing="1"/>
      <w:ind/>
    </w:pPr>
    <w:rPr>
      <w:b/>
      <w:bCs/>
    </w:rPr>
  </w:style>
  <w:style w:type="paragraph" w:styleId="1053" w:customStyle="1">
    <w:name w:val="xl245"/>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6"/>
    <w:basedOn w:val="100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5" w:customStyle="1">
    <w:name w:val="xl247"/>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48"/>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7" w:customStyle="1">
    <w:name w:val="xl249"/>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8" w:customStyle="1">
    <w:name w:val="xl250"/>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9" w:customStyle="1">
    <w:name w:val="xl251"/>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2"/>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3"/>
    <w:basedOn w:val="100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4"/>
    <w:basedOn w:val="1006"/>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5"/>
    <w:basedOn w:val="100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6"/>
    <w:basedOn w:val="1006"/>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7"/>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8"/>
    <w:basedOn w:val="1006"/>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9"/>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0"/>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1"/>
    <w:basedOn w:val="1006"/>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2"/>
    <w:basedOn w:val="1006"/>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1" w:customStyle="1">
    <w:name w:val="xl263"/>
    <w:basedOn w:val="1006"/>
    <w:pPr>
      <w:pBdr/>
      <w:shd w:val="clear" w:color="000000" w:fill="ffffff"/>
      <w:spacing w:after="100" w:afterAutospacing="1" w:before="100" w:beforeAutospacing="1"/>
      <w:ind/>
    </w:pPr>
  </w:style>
  <w:style w:type="paragraph" w:styleId="1072" w:customStyle="1">
    <w:name w:val="xl264"/>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5"/>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4" w:customStyle="1">
    <w:name w:val="xl266"/>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5" w:customStyle="1">
    <w:name w:val="xl267"/>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68"/>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69"/>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70"/>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1"/>
    <w:basedOn w:val="1006"/>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0" w:customStyle="1">
    <w:name w:val="xl272"/>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73"/>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2" w:customStyle="1">
    <w:name w:val="xl274"/>
    <w:basedOn w:val="1006"/>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3" w:customStyle="1">
    <w:name w:val="xl275"/>
    <w:basedOn w:val="1006"/>
    <w:pPr>
      <w:pBdr/>
      <w:spacing w:after="100" w:afterAutospacing="1" w:before="100" w:beforeAutospacing="1"/>
      <w:ind/>
    </w:pPr>
  </w:style>
  <w:style w:type="paragraph" w:styleId="1084" w:customStyle="1">
    <w:name w:val="xl276"/>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5" w:customStyle="1">
    <w:name w:val="xl277"/>
    <w:basedOn w:val="1006"/>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6" w:customStyle="1">
    <w:name w:val="xl278"/>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79"/>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80"/>
    <w:basedOn w:val="1006"/>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81"/>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0" w:customStyle="1">
    <w:name w:val="xl282"/>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3"/>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4"/>
    <w:basedOn w:val="1006"/>
    <w:pPr>
      <w:pBdr>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5"/>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6"/>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7"/>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8"/>
    <w:basedOn w:val="1006"/>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89"/>
    <w:basedOn w:val="1006"/>
    <w:pPr>
      <w:pBdr>
        <w:left w:val="single" w:color="000000" w:sz="4" w:space="0"/>
        <w:right w:val="single" w:color="000000" w:sz="4" w:space="0"/>
      </w:pBdr>
      <w:spacing w:after="100" w:afterAutospacing="1" w:before="100" w:beforeAutospacing="1"/>
      <w:ind/>
    </w:pPr>
    <w:rPr>
      <w:b/>
      <w:bCs/>
    </w:rPr>
  </w:style>
  <w:style w:type="paragraph" w:styleId="1098" w:customStyle="1">
    <w:name w:val="xl290"/>
    <w:basedOn w:val="1006"/>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9" w:customStyle="1">
    <w:name w:val="xl291"/>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92"/>
    <w:basedOn w:val="1006"/>
    <w:pPr>
      <w:pBdr>
        <w:top w:val="single" w:color="000000" w:sz="4" w:space="0"/>
        <w:left w:val="single" w:color="000000" w:sz="4" w:space="0"/>
        <w:right w:val="single" w:color="000000" w:sz="4" w:space="0"/>
      </w:pBdr>
      <w:spacing w:after="100" w:afterAutospacing="1" w:before="100" w:beforeAutospacing="1"/>
      <w:ind/>
    </w:pPr>
  </w:style>
  <w:style w:type="paragraph" w:styleId="1101" w:customStyle="1">
    <w:name w:val="xl293"/>
    <w:basedOn w:val="1006"/>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94"/>
    <w:basedOn w:val="1006"/>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name w:val="Title"/>
    <w:basedOn w:val="1006"/>
    <w:link w:val="1104"/>
    <w:qFormat/>
    <w:pPr>
      <w:pBdr/>
      <w:spacing/>
      <w:ind/>
      <w:jc w:val="center"/>
    </w:pPr>
    <w:rPr>
      <w:b/>
      <w:bCs/>
      <w:sz w:val="32"/>
      <w:szCs w:val="26"/>
    </w:rPr>
  </w:style>
  <w:style w:type="character" w:styleId="1104" w:customStyle="1">
    <w:name w:val="Title Char"/>
    <w:basedOn w:val="1011"/>
    <w:link w:val="1103"/>
    <w:pPr>
      <w:pBdr/>
      <w:spacing/>
      <w:ind/>
    </w:pPr>
    <w:rPr>
      <w:rFonts w:ascii="Times New Roman" w:hAnsi="Times New Roman" w:eastAsia="Times New Roman" w:cs="Times New Roman"/>
      <w:b/>
      <w:bCs/>
      <w:sz w:val="32"/>
      <w:szCs w:val="26"/>
    </w:rPr>
  </w:style>
  <w:style w:type="character" w:styleId="1105" w:customStyle="1">
    <w:name w:val="Unresolved Mention1"/>
    <w:basedOn w:val="1011"/>
    <w:uiPriority w:val="99"/>
    <w:semiHidden/>
    <w:unhideWhenUsed/>
    <w:pPr>
      <w:pBdr/>
      <w:spacing/>
      <w:ind/>
    </w:pPr>
    <w:rPr>
      <w:color w:val="605e5c"/>
      <w:shd w:val="clear" w:color="auto" w:fill="e1dfdd"/>
    </w:rPr>
  </w:style>
  <w:style w:type="character" w:styleId="1106" w:customStyle="1">
    <w:name w:val="Body text (3)_"/>
    <w:link w:val="1107"/>
    <w:pPr>
      <w:pBdr/>
      <w:spacing/>
      <w:ind/>
    </w:pPr>
    <w:rPr>
      <w:rFonts w:ascii="Times New Roman" w:hAnsi="Times New Roman" w:cs="Times New Roman"/>
      <w:i/>
      <w:iCs/>
      <w:spacing w:val="4"/>
      <w:shd w:val="clear" w:color="auto" w:fill="ffffff"/>
    </w:rPr>
  </w:style>
  <w:style w:type="paragraph" w:styleId="1107" w:customStyle="1">
    <w:name w:val="Body text (3)1"/>
    <w:basedOn w:val="1006"/>
    <w:link w:val="1106"/>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8" w:customStyle="1">
    <w:name w:val="t-j"/>
    <w:basedOn w:val="1006"/>
    <w:pPr>
      <w:pBdr/>
      <w:spacing w:after="100" w:afterAutospacing="1" w:before="100" w:beforeAutospacing="1"/>
      <w:ind/>
    </w:pPr>
  </w:style>
  <w:style w:type="character" w:styleId="1109" w:customStyle="1">
    <w:name w:val="Unresolved Mention2"/>
    <w:basedOn w:val="1011"/>
    <w:uiPriority w:val="99"/>
    <w:semiHidden/>
    <w:unhideWhenUsed/>
    <w:pPr>
      <w:pBdr/>
      <w:spacing/>
      <w:ind/>
    </w:pPr>
    <w:rPr>
      <w:color w:val="605e5c"/>
      <w:shd w:val="clear" w:color="auto" w:fill="e1dfdd"/>
    </w:rPr>
  </w:style>
  <w:style w:type="character" w:styleId="1110">
    <w:name w:val="FollowedHyperlink"/>
    <w:basedOn w:val="1011"/>
    <w:uiPriority w:val="99"/>
    <w:semiHidden/>
    <w:unhideWhenUsed/>
    <w:pPr>
      <w:pBdr/>
      <w:spacing/>
      <w:ind/>
    </w:pPr>
    <w:rPr>
      <w:color w:val="800080" w:themeColor="followedHyperlink"/>
      <w:u w:val="single"/>
    </w:rPr>
  </w:style>
  <w:style w:type="character" w:styleId="1111" w:customStyle="1">
    <w:name w:val="text"/>
    <w:basedOn w:val="1011"/>
    <w:pPr>
      <w:pBdr/>
      <w:spacing/>
      <w:ind/>
    </w:pPr>
  </w:style>
  <w:style w:type="character" w:styleId="1112" w:customStyle="1">
    <w:name w:val="card-send-time__sendtime"/>
    <w:basedOn w:val="1011"/>
    <w:pPr>
      <w:pBdr/>
      <w:spacing/>
      <w:ind/>
    </w:pPr>
  </w:style>
  <w:style w:type="character" w:styleId="1113" w:customStyle="1">
    <w:name w:val="Đề cập Chưa giải quyết1"/>
    <w:basedOn w:val="1011"/>
    <w:uiPriority w:val="99"/>
    <w:semiHidden/>
    <w:unhideWhenUsed/>
    <w:pPr>
      <w:pBdr/>
      <w:spacing/>
      <w:ind/>
    </w:pPr>
    <w:rPr>
      <w:color w:val="605e5c"/>
      <w:shd w:val="clear" w:color="auto" w:fill="e1dfdd"/>
    </w:rPr>
  </w:style>
  <w:style w:type="paragraph" w:styleId="1114" w:customStyle="1">
    <w:name w:val="nqtitle"/>
    <w:basedOn w:val="1006"/>
    <w:pPr>
      <w:pBdr/>
      <w:spacing w:after="100" w:afterAutospacing="1" w:before="100" w:beforeAutospacing="1"/>
      <w:ind/>
    </w:pPr>
    <w:rPr>
      <w:lang w:val="vi-VN" w:eastAsia="vi-VN"/>
    </w:rPr>
  </w:style>
  <w:style w:type="character" w:styleId="1115" w:customStyle="1">
    <w:name w:val="List Paragraph Char"/>
    <w:link w:val="1028"/>
    <w:uiPriority w:val="34"/>
    <w:qFormat/>
    <w:pPr>
      <w:pBdr/>
      <w:spacing/>
      <w:ind/>
    </w:pPr>
    <w:rPr>
      <w:rFonts w:ascii="Times New Roman" w:hAnsi="Times New Roman" w:eastAsia="Times New Roman" w:cs="Times New Roman"/>
      <w:sz w:val="24"/>
      <w:szCs w:val="24"/>
    </w:rPr>
  </w:style>
  <w:style w:type="character" w:styleId="1116" w:customStyle="1">
    <w:name w:val="Đề cập Chưa giải quyết2"/>
    <w:basedOn w:val="1011"/>
    <w:uiPriority w:val="99"/>
    <w:semiHidden/>
    <w:unhideWhenUsed/>
    <w:pPr>
      <w:pBdr/>
      <w:spacing/>
      <w:ind/>
    </w:pPr>
    <w:rPr>
      <w:color w:val="605e5c"/>
      <w:shd w:val="clear" w:color="auto" w:fill="e1dfdd"/>
    </w:rPr>
  </w:style>
  <w:style w:type="character" w:styleId="1117" w:customStyle="1">
    <w:name w:val="Unresolved Mention3"/>
    <w:basedOn w:val="1011"/>
    <w:uiPriority w:val="99"/>
    <w:semiHidden/>
    <w:unhideWhenUsed/>
    <w:pPr>
      <w:pBdr/>
      <w:spacing/>
      <w:ind/>
    </w:pPr>
    <w:rPr>
      <w:color w:val="605e5c"/>
      <w:shd w:val="clear" w:color="auto" w:fill="e1dfdd"/>
    </w:rPr>
  </w:style>
  <w:style w:type="character" w:styleId="1118" w:customStyle="1">
    <w:name w:val="copy"/>
    <w:basedOn w:val="1011"/>
    <w:pPr>
      <w:pBdr/>
      <w:spacing/>
      <w:ind/>
    </w:pPr>
  </w:style>
  <w:style w:type="paragraph" w:styleId="1119" w:customStyle="1">
    <w:name w:val="align-justify"/>
    <w:basedOn w:val="1006"/>
    <w:pPr>
      <w:pBdr/>
      <w:spacing w:after="100" w:afterAutospacing="1" w:before="100" w:beforeAutospacing="1"/>
      <w:ind/>
    </w:pPr>
  </w:style>
  <w:style w:type="character" w:styleId="1120" w:customStyle="1">
    <w:name w:val="btn"/>
    <w:basedOn w:val="1011"/>
    <w:pPr>
      <w:pBdr/>
      <w:spacing/>
      <w:ind/>
    </w:pPr>
  </w:style>
  <w:style w:type="character" w:styleId="1121" w:customStyle="1">
    <w:name w:val="hide_mobile"/>
    <w:basedOn w:val="1011"/>
    <w:pPr>
      <w:pBdr/>
      <w:spacing/>
      <w:ind/>
    </w:pPr>
  </w:style>
  <w:style w:type="character" w:styleId="1122">
    <w:name w:val="Emphasis"/>
    <w:basedOn w:val="1011"/>
    <w:uiPriority w:val="20"/>
    <w:qFormat/>
    <w:pPr>
      <w:pBdr/>
      <w:spacing/>
      <w:ind/>
    </w:pPr>
    <w:rPr>
      <w:i/>
      <w:iCs/>
    </w:rPr>
  </w:style>
  <w:style w:type="character" w:styleId="1123" w:customStyle="1">
    <w:name w:val="t1"/>
    <w:basedOn w:val="1011"/>
    <w:pPr>
      <w:pBdr/>
      <w:spacing/>
      <w:ind/>
    </w:pPr>
  </w:style>
  <w:style w:type="character" w:styleId="1124" w:customStyle="1">
    <w:name w:val="Unresolved Mention4"/>
    <w:basedOn w:val="1011"/>
    <w:uiPriority w:val="99"/>
    <w:semiHidden/>
    <w:unhideWhenUsed/>
    <w:pPr>
      <w:pBdr/>
      <w:spacing/>
      <w:ind/>
    </w:pPr>
    <w:rPr>
      <w:color w:val="605e5c"/>
      <w:shd w:val="clear" w:color="auto" w:fill="e1dfdd"/>
    </w:rPr>
  </w:style>
  <w:style w:type="character" w:styleId="1125">
    <w:name w:val="Unresolved Mention"/>
    <w:basedOn w:val="1011"/>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image" Target="media/image3.jpg"/><Relationship Id="rId17" Type="http://schemas.openxmlformats.org/officeDocument/2006/relationships/hyperlink" Target="mailto:ilotus.contact@gmail.com" TargetMode="External"/><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Chu Thế Hiển</cp:lastModifiedBy>
  <cp:revision>271</cp:revision>
  <dcterms:created xsi:type="dcterms:W3CDTF">2025-09-15T09:58:00Z</dcterms:created>
  <dcterms:modified xsi:type="dcterms:W3CDTF">2026-01-20T10:01:07Z</dcterms:modified>
</cp:coreProperties>
</file>