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document.xml" ContentType="application/vnd.openxmlformats-officedocument.wordprocessingml.document.main+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color w:val="000000"/>
          <w:sz w:val="24"/>
        </w:rPr>
        <w:t xml:space="preserve"> </w:t>
      </w:r>
      <w:r/>
    </w:p>
    <w:tbl>
      <w:tblPr>
        <w:tblStyle w:val="860"/>
        <w:tblInd w:w="0" w:type="dxa"/>
        <w:tblW w:w="5000" w:type="pct"/>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525"/>
      </w:tblGrid>
      <w:tr>
        <w:trPr/>
        <w:tc>
          <w:tcPr>
            <w:tcBorders/>
            <w:tcMar>
              <w:left w:w="0" w:type="dxa"/>
              <w:top w:w="0" w:type="dxa"/>
              <w:right w:w="0" w:type="dxa"/>
              <w:bottom w:w="0" w:type="dxa"/>
            </w:tcMar>
            <w:tcW w:w="952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color w:val="17365d"/>
                <w:sz w:val="30"/>
              </w:rPr>
              <w:t xml:space="preserve">CHỨNG THƯ, BÁO CÁO THẨM ĐỊNH GIÁ</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Số: 275/2026/0081/VFI-CT.24.A</w:t>
            </w:r>
            <w:r/>
          </w:p>
          <w:p>
            <w:pPr>
              <w:pBdr>
                <w:top w:val="none" w:color="000000" w:sz="4" w:space="0"/>
                <w:left w:val="none" w:color="000000" w:sz="4" w:space="0"/>
                <w:bottom w:val="none" w:color="000000" w:sz="4" w:space="0"/>
                <w:right w:val="none" w:color="000000" w:sz="4" w:space="0"/>
              </w:pBdr>
              <w:tabs>
                <w:tab w:val="left" w:leader="none" w:pos="3002"/>
              </w:tabs>
              <w:spacing w:after="120" w:before="120" w:line="276" w:lineRule="auto"/>
              <w:ind w:right="0" w:firstLine="0" w:left="0"/>
              <w:jc w:val="center"/>
              <w:rPr/>
            </w:pPr>
            <w:r>
              <w:rPr>
                <w:rFonts w:ascii="Times New Roman" w:hAnsi="Times New Roman" w:eastAsia="Times New Roman" w:cs="Times New Roman"/>
                <w:b/>
                <w:color w:val="000000"/>
                <w:sz w:val="24"/>
              </w:rPr>
              <w:t xml:space="preserve">Khách hàng yêu cầu: Ông Nguyễn Văn Vương</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w:t>
            </w:r>
            <w:r>
              <w:rPr>
                <w:rFonts w:ascii="Times New Roman" w:hAnsi="Times New Roman" w:eastAsia="Times New Roman" w:cs="Times New Roman"/>
                <w:color w:val="000000"/>
                <w:sz w:val="24"/>
              </w:rPr>
              <w:t xml:space="preserve">Giá trị quyền sử dụng đất tại thửa đất số 512, có địa chỉ Xã Phong Khê, Thành phố Bắc Ninh, Tỉnh Bắc Ninh (Nay là phường Võ Cường, thành phố Bắc Ninh) theo Giấy chứng nhận quyền sửu dụng đất số R461077, vào sổ cấp GCN Quyền sử dụng đất số 00177/QSDĐ/1201do</w:t>
            </w:r>
            <w:r>
              <w:rPr>
                <w:rFonts w:ascii="Times New Roman" w:hAnsi="Times New Roman" w:eastAsia="Times New Roman" w:cs="Times New Roman"/>
                <w:color w:val="000000"/>
                <w:sz w:val="24"/>
              </w:rPr>
              <w:t xml:space="preserve"> UBND huyện Yên Phong cấp 10/10/2022 chủ sử dụng đất ông Nguyễn Văn Vương (cập nhật ngày 21/01/2019)</w:t>
            </w:r>
            <w:r>
              <w:rPr>
                <w:rFonts w:ascii="Times New Roman" w:hAnsi="Times New Roman" w:eastAsia="Times New Roman" w:cs="Times New Roman"/>
                <w:i/>
                <w:color w:val="000000"/>
                <w:sz w:val="24"/>
              </w:rPr>
              <w:t xml:space="preserve">.</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b/>
                <w:color w:val="000000"/>
                <w:sz w:val="24"/>
              </w:rPr>
              <w:t xml:space="preserve">Thời điểm thẩm định: </w:t>
            </w:r>
            <w:r>
              <w:rPr>
                <w:rFonts w:ascii="Times New Roman" w:hAnsi="Times New Roman" w:eastAsia="Times New Roman" w:cs="Times New Roman"/>
                <w:color w:val="000000"/>
                <w:sz w:val="24"/>
              </w:rPr>
              <w:t xml:space="preserve">Tháng 01/2026.</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70c0"/>
                <w:sz w:val="26"/>
              </w:rPr>
              <w:t xml:space="preserve"> </w:t>
            </w:r>
            <w:r/>
          </w:p>
        </w:tc>
      </w:tr>
    </w:tbl>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0" w:firstLine="0" w:left="0"/>
        <w:rPr/>
      </w:pPr>
      <w:r>
        <w:br w:type="page" w:clear="all"/>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MỤC LỤC</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bl>
      <w:tblPr>
        <w:tblStyle w:val="860"/>
        <w:tblInd w:w="93" w:type="dxa"/>
        <w:tblW w:w="0" w:type="auto"/>
        <w:tblCellMar>
          <w:left w:w="10" w:type="dxa"/>
          <w:top w:w="0" w:type="dxa"/>
          <w:right w:w="1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280"/>
        <w:gridCol w:w="1520"/>
      </w:tblGrid>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u w:val="single"/>
              </w:rPr>
              <w:t xml:space="preserve">NỘI DUNG</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u w:val="single"/>
              </w:rPr>
              <w:t xml:space="preserve">TRANG</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 </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Chứng thư thẩm định giá</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1-3</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Báo cáo thẩm định giá</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4-22</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Các phụ lục chi tiết kèm theo</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color w:val="000000"/>
                <w:sz w:val="24"/>
              </w:rPr>
              <w:t xml:space="preserve"> </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1: Thông tin hiện trạng</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23-24</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2: Thông tin thu thập thị trường</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25-30</w:t>
            </w:r>
            <w:r/>
          </w:p>
        </w:tc>
      </w:tr>
    </w:tbl>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spacing/>
        <w:ind w:right="0" w:firstLine="0" w:left="0"/>
        <w:rPr/>
      </w:pPr>
      <w:r>
        <w:br w:type="page" w:clear="all"/>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 </w:t>
      </w:r>
      <w:r/>
    </w:p>
    <w:tbl>
      <w:tblPr>
        <w:tblStyle w:val="860"/>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728"/>
        <w:gridCol w:w="1815"/>
        <w:gridCol w:w="6375"/>
        <w:gridCol w:w="30"/>
      </w:tblGrid>
      <w:tr>
        <w:trPr>
          <w:gridAfter w:val="1"/>
          <w:trHeight w:val="1152"/>
        </w:trPr>
        <w:tc>
          <w:tcPr>
            <w:tcBorders/>
            <w:tcMar>
              <w:left w:w="108" w:type="dxa"/>
              <w:top w:w="0" w:type="dxa"/>
              <w:right w:w="108" w:type="dxa"/>
              <w:bottom w:w="0" w:type="dxa"/>
            </w:tcMar>
            <w:tcW w:w="1728" w:type="dxa"/>
            <w:vAlign w:val="top"/>
            <w:textDirection w:val="lrTb"/>
            <w:noWrap w:val="false"/>
          </w:tcPr>
          <w:p>
            <w:pPr>
              <w:pBdr/>
              <w:spacing w:after="0" w:before="0" w:line="240"/>
              <w:ind/>
              <w:rPr/>
            </w:pPr>
            <w:r/>
            <w:r>
              <mc:AlternateContent>
                <mc:Choice Requires="wpg">
                  <w:drawing>
                    <wp:inline xmlns:wp="http://schemas.openxmlformats.org/drawingml/2006/wordprocessingDrawing" distT="0" distB="0" distL="0" distR="0">
                      <wp:extent cx="912200" cy="824803"/>
                      <wp:effectExtent l="0" t="0" r="0" b="0"/>
                      <wp:docPr id="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338850" name=""/>
                              <pic:cNvPicPr>
                                <a:picLocks noChangeAspect="1"/>
                              </pic:cNvPicPr>
                              <pic:nvPr/>
                            </pic:nvPicPr>
                            <pic:blipFill rotWithShape="1">
                              <a:blip r:embed="rId11"/>
                              <a:stretch/>
                            </pic:blipFill>
                            <pic:spPr bwMode="auto">
                              <a:xfrm flipH="0" flipV="0">
                                <a:off x="0" y="0"/>
                                <a:ext cx="912199" cy="8248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71.83pt;height:64.95pt;mso-wrap-distance-left:0.00pt;mso-wrap-distance-top:0.00pt;mso-wrap-distance-right:0.00pt;mso-wrap-distance-bottom:0.00pt;z-index:1;" stroked="false">
                      <v:imagedata r:id="rId11" o:title=""/>
                      <o:lock v:ext="edit" rotation="t"/>
                    </v:shape>
                  </w:pict>
                </mc:Fallback>
              </mc:AlternateContent>
            </w:r>
            <w:r/>
          </w:p>
        </w:tc>
        <w:tc>
          <w:tcPr>
            <w:gridSpan w:val="2"/>
            <w:tcBorders/>
            <w:tcMar>
              <w:left w:w="108" w:type="dxa"/>
              <w:top w:w="0" w:type="dxa"/>
              <w:right w:w="108" w:type="dxa"/>
              <w:bottom w:w="0" w:type="dxa"/>
            </w:tcMar>
            <w:tcW w:w="8190" w:type="dxa"/>
            <w:vAlign w:val="top"/>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Trụ sở: BT5 - 23, Khu đô thị mới Văn Phú, Phường Kiến Hưng, Thành phố Hà Nội</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Điện thoại:  085 329 3333/ 024 2264 4333</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Email: </w:t>
              <w:tab/>
            </w:r>
            <w:hyperlink r:id="rId12" w:tooltip="mailto:ilotus.contact@gmail.com" w:history="1">
              <w:r>
                <w:rPr>
                  <w:rStyle w:val="846"/>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p>
        </w:tc>
      </w:tr>
      <w:tr>
        <w:trPr>
          <w:trHeight w:val="482"/>
        </w:trPr>
        <w:tc>
          <w:tcPr>
            <w:gridSpan w:val="2"/>
            <w:tcBorders/>
            <w:tcMar>
              <w:left w:w="108" w:type="dxa"/>
              <w:top w:w="0" w:type="dxa"/>
              <w:right w:w="108" w:type="dxa"/>
              <w:bottom w:w="0" w:type="dxa"/>
            </w:tcMar>
            <w:tcW w:w="3543"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4"/>
              </w:rPr>
              <w:t xml:space="preserve">Số: 275/2026/0081/VFI-CT.24.A</w:t>
            </w:r>
            <w:r/>
          </w:p>
        </w:tc>
        <w:tc>
          <w:tcPr>
            <w:gridSpan w:val="2"/>
            <w:tcBorders/>
            <w:tcMar>
              <w:left w:w="108" w:type="dxa"/>
              <w:top w:w="0" w:type="dxa"/>
              <w:right w:w="108" w:type="dxa"/>
              <w:bottom w:w="0" w:type="dxa"/>
            </w:tcMar>
            <w:tcW w:w="6405"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right"/>
              <w:rPr/>
            </w:pPr>
            <w:r>
              <w:rPr>
                <w:rFonts w:ascii="Times New Roman" w:hAnsi="Times New Roman" w:eastAsia="Times New Roman" w:cs="Times New Roman"/>
                <w:i/>
                <w:color w:val="000000"/>
                <w:sz w:val="24"/>
              </w:rPr>
              <w:t xml:space="preserve">TP. Hà Nội, ngày 14 tháng 01 năm 2026</w:t>
            </w:r>
            <w:r/>
          </w:p>
        </w:tc>
      </w:tr>
      <w:tr>
        <w:trPr/>
        <w:tc>
          <w:tcPr>
            <w:tcBorders/>
            <w:tcMar>
              <w:left w:w="0" w:type="dxa"/>
              <w:top w:w="0" w:type="dxa"/>
              <w:right w:w="0" w:type="dxa"/>
              <w:bottom w:w="0" w:type="dxa"/>
            </w:tcMar>
            <w:tcW w:w="1728" w:type="dxa"/>
            <w:vAlign w:val="center"/>
            <w:textDirection w:val="lrTb"/>
            <w:noWrap w:val="false"/>
          </w:tcPr>
          <w:p>
            <w:pPr>
              <w:pBdr/>
              <w:spacing w:after="0" w:before="0" w:line="240"/>
              <w:ind/>
              <w:rPr/>
            </w:pPr>
            <w:r/>
          </w:p>
        </w:tc>
        <w:tc>
          <w:tcPr>
            <w:tcBorders/>
            <w:tcMar>
              <w:left w:w="0" w:type="dxa"/>
              <w:top w:w="0" w:type="dxa"/>
              <w:right w:w="0" w:type="dxa"/>
              <w:bottom w:w="0" w:type="dxa"/>
            </w:tcMar>
            <w:tcW w:w="1815" w:type="dxa"/>
            <w:vAlign w:val="center"/>
            <w:textDirection w:val="lrTb"/>
            <w:noWrap w:val="false"/>
          </w:tcPr>
          <w:p>
            <w:pPr>
              <w:pBdr/>
              <w:spacing w:after="0" w:before="0" w:line="240"/>
              <w:ind/>
              <w:rPr/>
            </w:pPr>
            <w:r/>
          </w:p>
        </w:tc>
        <w:tc>
          <w:tcPr>
            <w:tcBorders/>
            <w:tcMar>
              <w:left w:w="0" w:type="dxa"/>
              <w:top w:w="0" w:type="dxa"/>
              <w:right w:w="0" w:type="dxa"/>
              <w:bottom w:w="0" w:type="dxa"/>
            </w:tcMar>
            <w:tcW w:w="6375" w:type="dxa"/>
            <w:vAlign w:val="center"/>
            <w:textDirection w:val="lrTb"/>
            <w:noWrap w:val="false"/>
          </w:tcPr>
          <w:p>
            <w:pPr>
              <w:pBdr/>
              <w:spacing w:after="0" w:before="0" w:line="240"/>
              <w:ind/>
              <w:rPr/>
            </w:pPr>
            <w:r/>
          </w:p>
        </w:tc>
        <w:tc>
          <w:tcPr>
            <w:tcBorders/>
            <w:tcMar>
              <w:left w:w="0" w:type="dxa"/>
              <w:top w:w="0" w:type="dxa"/>
              <w:right w:w="0" w:type="dxa"/>
              <w:bottom w:w="0" w:type="dxa"/>
            </w:tcMar>
            <w:tcW w:w="30" w:type="dxa"/>
            <w:vAlign w:val="center"/>
            <w:textDirection w:val="lrTb"/>
            <w:noWrap w:val="false"/>
          </w:tcPr>
          <w:p>
            <w:pPr>
              <w:pBdr/>
              <w:spacing w:after="0" w:before="0" w:line="240"/>
              <w:ind/>
              <w:rPr/>
            </w:pPr>
            <w:r/>
          </w:p>
        </w:tc>
      </w:tr>
    </w:tbl>
    <w:p>
      <w:pPr>
        <w:pBdr>
          <w:top w:val="none" w:color="000000" w:sz="4" w:space="0"/>
          <w:left w:val="none" w:color="000000" w:sz="4" w:space="0"/>
          <w:bottom w:val="none" w:color="000000" w:sz="4" w:space="0"/>
          <w:right w:val="none" w:color="000000" w:sz="4" w:space="0"/>
        </w:pBdr>
        <w:spacing w:after="120" w:before="200" w:line="288" w:lineRule="auto"/>
        <w:ind w:right="0" w:firstLine="0" w:left="0"/>
        <w:jc w:val="center"/>
        <w:rPr/>
      </w:pPr>
      <w:r>
        <w:rPr>
          <w:rFonts w:ascii="Times New Roman" w:hAnsi="Times New Roman" w:eastAsia="Times New Roman" w:cs="Times New Roman"/>
          <w:b/>
          <w:color w:val="000000"/>
          <w:sz w:val="30"/>
        </w:rPr>
        <w:t xml:space="preserve">CHỨNG THƯ THẨM ĐỊNH GIÁ</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u w:val="single"/>
        </w:rPr>
        <w:t xml:space="preserve">Kính gửi</w:t>
      </w:r>
      <w:r>
        <w:rPr>
          <w:rFonts w:ascii="Times New Roman" w:hAnsi="Times New Roman" w:eastAsia="Times New Roman" w:cs="Times New Roman"/>
          <w:b/>
          <w:color w:val="000000"/>
          <w:sz w:val="24"/>
        </w:rPr>
        <w:t xml:space="preserve">: Ông Nguyễn Văn Vương</w:t>
      </w:r>
      <w:r/>
    </w:p>
    <w:p>
      <w:pPr>
        <w:pBdr>
          <w:top w:val="none" w:color="000000" w:sz="4" w:space="0"/>
          <w:left w:val="none" w:color="000000" w:sz="4" w:space="0"/>
          <w:bottom w:val="none" w:color="000000" w:sz="4" w:space="0"/>
          <w:right w:val="none" w:color="000000" w:sz="4" w:space="0"/>
        </w:pBdr>
        <w:tabs>
          <w:tab w:val="left" w:leader="none" w:pos="450"/>
        </w:tabs>
        <w:spacing w:after="120" w:before="120" w:line="288" w:lineRule="auto"/>
        <w:ind w:right="0" w:firstLine="0" w:left="-72"/>
        <w:jc w:val="both"/>
        <w:rPr/>
      </w:pPr>
      <w:r>
        <w:rPr>
          <w:rFonts w:ascii="Times New Roman" w:hAnsi="Times New Roman" w:eastAsia="Times New Roman" w:cs="Times New Roman"/>
          <w:color w:val="000000"/>
          <w:spacing w:val="-4"/>
          <w:sz w:val="24"/>
        </w:rPr>
        <w:tab/>
        <w:t xml:space="preserve">Căn cứ Hợp đồng dịch vụ thẩm định giá số: 275/2026/0063/VFI-HĐTĐ.24.A ký ngày 12 tháng 01 năm 2026 giữa Ông Nguyễn Văn Vương</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pacing w:val="-6"/>
          <w:sz w:val="24"/>
        </w:rPr>
        <w:t xml:space="preserve">với </w:t>
      </w:r>
      <w:r>
        <w:rPr>
          <w:rFonts w:ascii="Times New Roman" w:hAnsi="Times New Roman" w:eastAsia="Times New Roman" w:cs="Times New Roman"/>
          <w:color w:val="000000"/>
          <w:spacing w:val="-4"/>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pacing w:val="-2"/>
          <w:sz w:val="24"/>
        </w:rPr>
        <w:t xml:space="preserve">Căn cứ Báo cáo thẩm định giá số 275/2026/0081/VFI-BC.24.A ngày 14 tháng 01 năm 2026 của 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z w:val="24"/>
        </w:rPr>
        <w:t xml:space="preserve">Công ty Cổ phần Thẩm định và Đầu tư Tài chính Hoa Sen cung cấp Chứng thư thẩm định giá tài sản với nội dung sau:</w:t>
      </w:r>
      <w:r/>
    </w:p>
    <w:p>
      <w:pPr>
        <w:pBdr>
          <w:top w:val="none" w:color="000000" w:sz="4" w:space="0"/>
          <w:left w:val="none" w:color="000000" w:sz="4" w:space="0"/>
          <w:bottom w:val="none" w:color="000000" w:sz="4" w:space="0"/>
          <w:right w:val="none" w:color="000000" w:sz="4" w:space="0"/>
        </w:pBdr>
        <w:tabs>
          <w:tab w:val="left" w:leader="none" w:pos="851"/>
        </w:tabs>
        <w:spacing w:after="120" w:before="120" w:line="288" w:lineRule="auto"/>
        <w:ind w:right="0" w:firstLine="0" w:left="0"/>
        <w:jc w:val="both"/>
        <w:rPr/>
      </w:pPr>
      <w:r>
        <w:rPr>
          <w:rFonts w:ascii="Times New Roman" w:hAnsi="Times New Roman" w:eastAsia="Times New Roman" w:cs="Times New Roman"/>
          <w:b/>
          <w:color w:val="000000"/>
          <w:sz w:val="24"/>
        </w:rPr>
        <w:t xml:space="preserve">1. Khách hàng yêu cầu thẩm định giá:</w:t>
      </w:r>
      <w:r/>
    </w:p>
    <w:tbl>
      <w:tblPr>
        <w:tblStyle w:val="860"/>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871"/>
        <w:gridCol w:w="283"/>
        <w:gridCol w:w="7371"/>
      </w:tblGrid>
      <w:tr>
        <w:trPr>
          <w:trHeight w:val="20"/>
        </w:trPr>
        <w:tc>
          <w:tcPr>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3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b/>
                <w:color w:val="000000"/>
                <w:spacing w:val="-8"/>
                <w:sz w:val="24"/>
              </w:rPr>
              <w:t xml:space="preserve">Ông Nguyễn Văn Vương</w:t>
            </w:r>
            <w:r/>
          </w:p>
        </w:tc>
      </w:tr>
      <w:tr>
        <w:trPr>
          <w:trHeight w:val="20"/>
        </w:trPr>
        <w:tc>
          <w:tcPr>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CCCD</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3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027076013654</w:t>
            </w:r>
            <w:r/>
          </w:p>
        </w:tc>
      </w:tr>
      <w:tr>
        <w:trPr>
          <w:trHeight w:val="20"/>
        </w:trPr>
        <w:tc>
          <w:tcPr>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371"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Khu Dương Ổ, Phong Khê, thành phố Bắc Ninh, tỉnh Bắc Ninh.</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2. Thông tin về doanh nghiệp thẩm định giá:</w:t>
      </w:r>
      <w:r/>
    </w:p>
    <w:tbl>
      <w:tblPr>
        <w:tblStyle w:val="860"/>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72"/>
        <w:gridCol w:w="216"/>
        <w:gridCol w:w="7578"/>
      </w:tblGrid>
      <w:tr>
        <w:trPr>
          <w:trHeight w:val="20"/>
        </w:trPr>
        <w:tc>
          <w:tcPr>
            <w:tcBorders/>
            <w:tcMar>
              <w:left w:w="108" w:type="dxa"/>
              <w:top w:w="0" w:type="dxa"/>
              <w:right w:w="108"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2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5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108" w:firstLine="0" w:left="0"/>
              <w:rPr/>
            </w:pPr>
            <w:r>
              <w:rPr>
                <w:rFonts w:ascii="Times New Roman" w:hAnsi="Times New Roman" w:eastAsia="Times New Roman" w:cs="Times New Roman"/>
                <w:b/>
                <w:color w:val="000000"/>
                <w:spacing w:val="-4"/>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5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2"/>
                <w:sz w:val="24"/>
              </w:rPr>
              <w:t xml:space="preserve">BT5 - 23, Khu đô thị mới Văn Phú, Phường Kiến Hưng, Thành phố Hà Nội</w:t>
            </w:r>
            <w:r/>
          </w:p>
        </w:tc>
      </w:tr>
      <w:tr>
        <w:trPr>
          <w:trHeight w:val="20"/>
        </w:trPr>
        <w:tc>
          <w:tcPr>
            <w:tcBorders/>
            <w:tcMar>
              <w:left w:w="108" w:type="dxa"/>
              <w:top w:w="0" w:type="dxa"/>
              <w:right w:w="108"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2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7578"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40" w:before="40" w:line="276" w:lineRule="auto"/>
              <w:ind w:right="0" w:firstLine="0" w:left="0"/>
              <w:rPr/>
            </w:pPr>
            <w:r>
              <w:rPr>
                <w:rFonts w:ascii="Times New Roman" w:hAnsi="Times New Roman" w:eastAsia="Times New Roman" w:cs="Times New Roman"/>
                <w:color w:val="000000"/>
                <w:sz w:val="24"/>
              </w:rPr>
              <w:t xml:space="preserve">024 2264 4333</w:t>
            </w:r>
            <w:r/>
          </w:p>
        </w:tc>
      </w:tr>
      <w:tr>
        <w:trPr>
          <w:trHeight w:val="20"/>
        </w:trPr>
        <w:tc>
          <w:tcPr>
            <w:tcBorders/>
            <w:tcMar>
              <w:left w:w="108" w:type="dxa"/>
              <w:top w:w="0" w:type="dxa"/>
              <w:right w:w="108"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5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GCN đủ điều kiện hành nghề</w:t>
            </w:r>
            <w:r/>
          </w:p>
        </w:tc>
        <w:tc>
          <w:tcPr>
            <w:tcBorders/>
            <w:tcMar>
              <w:left w:w="108" w:type="dxa"/>
              <w:top w:w="0" w:type="dxa"/>
              <w:right w:w="108" w:type="dxa"/>
              <w:bottom w:w="0" w:type="dxa"/>
            </w:tcMar>
            <w:tcW w:w="2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5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275/TĐG</w:t>
            </w:r>
            <w:r/>
          </w:p>
        </w:tc>
      </w:tr>
      <w:tr>
        <w:trPr>
          <w:trHeight w:val="20"/>
        </w:trPr>
        <w:tc>
          <w:tcPr>
            <w:tcBorders/>
            <w:tcMar>
              <w:left w:w="108" w:type="dxa"/>
              <w:top w:w="0" w:type="dxa"/>
              <w:right w:w="108"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Thông báo</w:t>
            </w:r>
            <w:r/>
          </w:p>
        </w:tc>
        <w:tc>
          <w:tcPr>
            <w:tcBorders/>
            <w:tcMar>
              <w:left w:w="108" w:type="dxa"/>
              <w:top w:w="0" w:type="dxa"/>
              <w:right w:w="108" w:type="dxa"/>
              <w:bottom w:w="0" w:type="dxa"/>
            </w:tcMar>
            <w:tcW w:w="2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5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Số 1294/TB-BTC ngày 31/12/2025 về việc doanh nghiệp đủ điều kiện kinh doanh Dịch vụ thẩm định giá.</w:t>
            </w:r>
            <w:r/>
          </w:p>
        </w:tc>
      </w:tr>
      <w:tr>
        <w:trPr>
          <w:trHeight w:val="20"/>
        </w:trPr>
        <w:tc>
          <w:tcPr>
            <w:tcBorders/>
            <w:tcMar>
              <w:left w:w="108" w:type="dxa"/>
              <w:top w:w="0" w:type="dxa"/>
              <w:right w:w="108"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2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5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4"/>
                <w:sz w:val="24"/>
              </w:rPr>
              <w:t xml:space="preserve">1505112366666 tại Agribank Chi nhánh Hà Nội II</w:t>
            </w:r>
            <w:r/>
          </w:p>
        </w:tc>
      </w:tr>
      <w:tr>
        <w:trPr>
          <w:trHeight w:val="20"/>
        </w:trPr>
        <w:tc>
          <w:tcPr>
            <w:tcBorders/>
            <w:tcMar>
              <w:left w:w="108" w:type="dxa"/>
              <w:top w:w="0" w:type="dxa"/>
              <w:right w:w="108"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5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Ông Vũ Văn Quân</w:t>
              <w:tab/>
              <w:t xml:space="preserve">  Chức vụ: Chủ tịch HĐQT kiêm Tổng Giám Đốc</w:t>
            </w:r>
            <w:r/>
          </w:p>
        </w:tc>
      </w:tr>
    </w:tbl>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color w:val="000000"/>
          <w:sz w:val="24"/>
        </w:rPr>
        <w:t xml:space="preserve">3. Tài sản thẩm định:</w:t>
      </w:r>
      <w:r>
        <w:rPr>
          <w:rFonts w:ascii="Times New Roman" w:hAnsi="Times New Roman" w:eastAsia="Times New Roman" w:cs="Times New Roman"/>
          <w:color w:val="000000"/>
          <w:sz w:val="24"/>
        </w:rPr>
        <w:t xml:space="preserve"> Giá trị quyền sử dụng đất tại thửa đất số 512, có địa chỉ Xã Phong Khê, Thành phố Bắc Ninh, Tỉnh Bắc Ninh </w:t>
      </w:r>
      <w:r>
        <w:rPr>
          <w:rFonts w:ascii="Times New Roman" w:hAnsi="Times New Roman" w:eastAsia="Times New Roman" w:cs="Times New Roman"/>
          <w:i/>
          <w:color w:val="000000"/>
          <w:sz w:val="24"/>
        </w:rPr>
        <w:t xml:space="preserve">(Nay là phường Võ Cường, thành phố Bắc Ninh)</w:t>
      </w:r>
      <w:r>
        <w:rPr>
          <w:rFonts w:ascii="Times New Roman" w:hAnsi="Times New Roman" w:eastAsia="Times New Roman" w:cs="Times New Roman"/>
          <w:color w:val="000000"/>
          <w:sz w:val="24"/>
        </w:rPr>
        <w:t xml:space="preserve"> theo Giấy chứng nhận quyền sửu dụng đất số R461077, vào sổ cấp GCN Quyền sử dụng đất số 00177/QSDĐ/1201do UBND huyện Yên Phong cấp 10/10/2002 chủ sử dụng đất ông Nguyễn Văn Vương (cập nhật ngày 21/01/2019)</w:t>
      </w:r>
      <w:r>
        <w:rPr>
          <w:rFonts w:ascii="Times New Roman" w:hAnsi="Times New Roman" w:eastAsia="Times New Roman" w:cs="Times New Roman"/>
          <w:i/>
          <w:color w:val="000000"/>
          <w:sz w:val="24"/>
        </w:rPr>
        <w:t xml:space="preserve">.</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color w:val="000000"/>
          <w:sz w:val="24"/>
        </w:rPr>
        <w:t xml:space="preserve">4. Thời điểm thẩm định giá:</w:t>
      </w:r>
      <w:r>
        <w:rPr>
          <w:rFonts w:ascii="Times New Roman" w:hAnsi="Times New Roman" w:eastAsia="Times New Roman" w:cs="Times New Roman"/>
          <w:color w:val="000000"/>
          <w:sz w:val="24"/>
        </w:rPr>
        <w:t xml:space="preserve"> Tháng 01/2026.</w:t>
      </w:r>
      <w:r/>
    </w:p>
    <w:p>
      <w:pPr>
        <w:pBdr>
          <w:top w:val="none" w:color="000000" w:sz="4" w:space="0"/>
          <w:left w:val="none" w:color="000000" w:sz="4" w:space="0"/>
          <w:bottom w:val="none" w:color="000000" w:sz="4" w:space="0"/>
          <w:right w:val="none" w:color="000000" w:sz="4" w:space="0"/>
        </w:pBdr>
        <w:tabs>
          <w:tab w:val="left" w:leader="none" w:pos="851"/>
        </w:tabs>
        <w:spacing w:after="120" w:before="120" w:line="312" w:lineRule="auto"/>
        <w:ind w:right="0" w:firstLine="0" w:left="0"/>
        <w:jc w:val="both"/>
        <w:rPr/>
      </w:pPr>
      <w:r>
        <w:rPr>
          <w:rFonts w:ascii="Times New Roman" w:hAnsi="Times New Roman" w:eastAsia="Times New Roman" w:cs="Times New Roman"/>
          <w:b/>
          <w:color w:val="000000"/>
          <w:sz w:val="24"/>
        </w:rPr>
        <w:t xml:space="preserve">5. Mục đích thẩm định giá: </w:t>
      </w:r>
      <w:r>
        <w:rPr>
          <w:rFonts w:ascii="Times New Roman" w:hAnsi="Times New Roman" w:eastAsia="Times New Roman" w:cs="Times New Roman"/>
          <w:color w:val="000000"/>
          <w:spacing w:val="-4"/>
          <w:sz w:val="24"/>
        </w:rPr>
        <w:t xml:space="preserve">Kết quả thẩm định giá để khách hàng tham khảo giá trị tài sản phục vụ công tác  vay vốn tại tổ chức tín dụng</w:t>
      </w:r>
      <w:r>
        <w:rPr>
          <w:rFonts w:ascii="Times New Roman" w:hAnsi="Times New Roman" w:eastAsia="Times New Roman" w:cs="Times New Roman"/>
          <w:color w:val="000000"/>
          <w:sz w:val="24"/>
        </w:rPr>
        <w:t xml:space="preserve">.</w:t>
      </w:r>
      <w:r/>
    </w:p>
    <w:p>
      <w:pPr>
        <w:pBdr>
          <w:top w:val="none" w:color="000000" w:sz="4" w:space="0"/>
          <w:left w:val="none" w:color="000000" w:sz="4" w:space="0"/>
          <w:bottom w:val="none" w:color="000000" w:sz="4" w:space="0"/>
          <w:right w:val="none" w:color="000000" w:sz="4" w:space="0"/>
        </w:pBdr>
        <w:tabs>
          <w:tab w:val="left" w:leader="none" w:pos="851"/>
        </w:tabs>
        <w:spacing w:after="120" w:before="120" w:line="312" w:lineRule="auto"/>
        <w:ind w:right="0" w:firstLine="0" w:left="0"/>
        <w:jc w:val="both"/>
        <w:rPr/>
      </w:pPr>
      <w:r>
        <w:rPr>
          <w:rFonts w:ascii="Times New Roman" w:hAnsi="Times New Roman" w:eastAsia="Times New Roman" w:cs="Times New Roman"/>
          <w:b/>
          <w:color w:val="000000"/>
          <w:sz w:val="24"/>
        </w:rPr>
        <w:t xml:space="preserve">6. Cơ sở giá trị của tài sản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12" w:lineRule="auto"/>
        <w:ind w:right="0" w:firstLine="432" w:left="0"/>
        <w:jc w:val="both"/>
        <w:rPr/>
      </w:pPr>
      <w:r>
        <w:rPr>
          <w:rFonts w:ascii="Times New Roman" w:hAnsi="Times New Roman" w:eastAsia="Times New Roman" w:cs="Times New Roman"/>
          <w:i/>
          <w:color w:val="000000"/>
          <w:sz w:val="24"/>
        </w:rPr>
        <w:t xml:space="preserve">Chi tiết như Báo cáo kèm theo </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12" w:lineRule="auto"/>
        <w:ind w:right="0" w:firstLine="0" w:left="0"/>
        <w:jc w:val="both"/>
        <w:rPr/>
      </w:pPr>
      <w:r>
        <w:rPr>
          <w:rFonts w:ascii="Times New Roman" w:hAnsi="Times New Roman" w:eastAsia="Times New Roman" w:cs="Times New Roman"/>
          <w:b/>
          <w:color w:val="000000"/>
          <w:sz w:val="24"/>
        </w:rPr>
        <w:t xml:space="preserve">7. Giả thiết và giả thiết đặc biệt:</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12"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12" w:lineRule="auto"/>
        <w:ind w:right="0" w:firstLine="0" w:left="0"/>
        <w:jc w:val="both"/>
        <w:rPr/>
      </w:pPr>
      <w:r>
        <w:rPr>
          <w:rFonts w:ascii="Times New Roman" w:hAnsi="Times New Roman" w:eastAsia="Times New Roman" w:cs="Times New Roman"/>
          <w:b/>
          <w:color w:val="000000"/>
          <w:sz w:val="24"/>
        </w:rPr>
        <w:t xml:space="preserve">8. Cách tiếp cận và phương pháp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12"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12" w:lineRule="auto"/>
        <w:ind w:right="0" w:firstLine="0" w:left="0"/>
        <w:jc w:val="both"/>
        <w:rPr/>
      </w:pPr>
      <w:r>
        <w:rPr>
          <w:rFonts w:ascii="Times New Roman" w:hAnsi="Times New Roman" w:eastAsia="Times New Roman" w:cs="Times New Roman"/>
          <w:b/>
          <w:color w:val="000000"/>
          <w:sz w:val="24"/>
        </w:rPr>
        <w:t xml:space="preserve">9. Giá trị tài sản thẩm định giá:</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color w:val="000000"/>
          <w:sz w:val="24"/>
        </w:rPr>
        <w:t xml:space="preserve">Trên cơ sở các hồ sơ, tài liệu do Khách hàng cung cấp, qua điều tra thông tin thực tế trên thị trường với cách tiếp cận và phương pháp thẩm định được áp dụng trong tính toán, Công ty Cổ phần Thẩm định và Đầu tư Tài chính Hoa Sen thông báo giá trị tài sản c</w:t>
      </w:r>
      <w:r>
        <w:rPr>
          <w:rFonts w:ascii="Times New Roman" w:hAnsi="Times New Roman" w:eastAsia="Times New Roman" w:cs="Times New Roman"/>
          <w:color w:val="000000"/>
          <w:sz w:val="24"/>
        </w:rPr>
        <w:t xml:space="preserve">hưa bao gồm các loại thuế, phí và lệ phí liên quan đến việc chuyển nhượng tài sản của Quý khách hàng tại thời điểm Tháng 01/2026 ước tính như sau:</w:t>
      </w:r>
      <w:r/>
    </w:p>
    <w:tbl>
      <w:tblPr>
        <w:tblStyle w:val="860"/>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48"/>
        <w:gridCol w:w="2025"/>
        <w:gridCol w:w="1802"/>
        <w:gridCol w:w="2581"/>
        <w:gridCol w:w="2164"/>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72" w:before="72" w:line="288"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72" w:before="72" w:line="288"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72" w:before="72" w:line="288"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72" w:before="72" w:line="288"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72" w:before="72" w:line="288"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72" w:before="72" w:line="288" w:lineRule="auto"/>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4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72" w:before="72" w:line="288" w:lineRule="auto"/>
              <w:ind w:right="0" w:firstLine="0" w:left="0"/>
              <w:jc w:val="both"/>
              <w:rPr/>
            </w:pPr>
            <w:r>
              <w:rPr>
                <w:rFonts w:ascii="Times New Roman" w:hAnsi="Times New Roman" w:eastAsia="Times New Roman" w:cs="Times New Roman"/>
                <w:b/>
                <w:color w:val="000000"/>
                <w:sz w:val="24"/>
              </w:rPr>
              <w:t xml:space="preserve">Giá trị quyền sử dụng đất tại thửa đất số 512, có địa chỉ Xã Phong Khê, Thành phố Bắc Ninh, Tỉnh Bắc Ninh </w:t>
            </w:r>
            <w:r>
              <w:rPr>
                <w:rFonts w:ascii="Times New Roman" w:hAnsi="Times New Roman" w:eastAsia="Times New Roman" w:cs="Times New Roman"/>
                <w:b/>
                <w:i/>
                <w:color w:val="000000"/>
                <w:sz w:val="24"/>
              </w:rPr>
              <w:t xml:space="preserve">(Nay là phường Võ Cường, thành phố Bắc Ninh) </w:t>
            </w:r>
            <w:r>
              <w:rPr>
                <w:rFonts w:ascii="Times New Roman" w:hAnsi="Times New Roman" w:eastAsia="Times New Roman" w:cs="Times New Roman"/>
                <w:b/>
                <w:color w:val="000000"/>
                <w:sz w:val="24"/>
              </w:rPr>
              <w:t xml:space="preserve">theo Giấy chứng nhận quyền sửu dụng đất số R461077, vào sổ cấp GCN Quyền sử dụng đất số 00177/QSDĐ/1201do UBND huyện Yên Phong cấp 10/10/2002 chủ sử dụng đất ông Nguyễn Văn Vương (cập nhật ngày 21/01/2019).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72" w:before="72" w:line="288"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72" w:before="72" w:line="288" w:lineRule="auto"/>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12" w:lineRule="auto"/>
              <w:ind w:right="0" w:firstLine="0" w:left="0"/>
              <w:jc w:val="both"/>
              <w:rPr/>
            </w:pPr>
            <w:r>
              <w:rPr>
                <w:rFonts w:ascii="Times New Roman" w:hAnsi="Times New Roman" w:eastAsia="Times New Roman" w:cs="Times New Roman"/>
                <w:color w:val="000000"/>
                <w:sz w:val="24"/>
              </w:rPr>
              <w:t xml:space="preserve">Quyền sử dụng đất</w:t>
            </w:r>
            <w:r/>
          </w:p>
        </w:tc>
        <w:tc>
          <w:tcPr>
            <w:tcBorders>
              <w:bottom w:val="single" w:color="000000" w:sz="8" w:space="0"/>
              <w:right w:val="single" w:color="000000" w:sz="8" w:space="0"/>
            </w:tcBorders>
            <w:tcMar>
              <w:left w:w="108" w:type="dxa"/>
              <w:top w:w="0" w:type="dxa"/>
              <w:right w:w="108" w:type="dxa"/>
              <w:bottom w:w="0" w:type="dxa"/>
            </w:tcMar>
            <w:tcW w:w="1802" w:type="dxa"/>
            <w:vAlign w:val="center"/>
            <w:textDirection w:val="lrTb"/>
            <w:noWrap/>
          </w:tcPr>
          <w:p>
            <w:pPr>
              <w:pBdr>
                <w:top w:val="none" w:color="000000" w:sz="4" w:space="0"/>
                <w:left w:val="none" w:color="000000" w:sz="4" w:space="0"/>
                <w:bottom w:val="none" w:color="000000" w:sz="4" w:space="0"/>
                <w:right w:val="none" w:color="000000" w:sz="4" w:space="0"/>
              </w:pBdr>
              <w:spacing w:after="72" w:before="72" w:line="288" w:lineRule="auto"/>
              <w:ind w:right="0" w:firstLine="0" w:left="0"/>
              <w:jc w:val="center"/>
              <w:rPr/>
            </w:pPr>
            <w:r>
              <w:rPr>
                <w:rFonts w:ascii="Times New Roman" w:hAnsi="Times New Roman" w:eastAsia="Times New Roman" w:cs="Times New Roman"/>
                <w:color w:val="000000"/>
                <w:sz w:val="24"/>
              </w:rPr>
              <w:t xml:space="preserve">210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72" w:before="72" w:line="288" w:lineRule="auto"/>
              <w:ind w:right="0" w:firstLine="0" w:left="0"/>
              <w:jc w:val="center"/>
              <w:rPr/>
            </w:pPr>
            <w:r>
              <w:rPr>
                <w:rFonts w:ascii="Times New Roman" w:hAnsi="Times New Roman" w:eastAsia="Times New Roman" w:cs="Times New Roman"/>
                <w:color w:val="000000"/>
                <w:sz w:val="24"/>
              </w:rPr>
              <w:t xml:space="preserve">29.000.000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72" w:before="72" w:line="288" w:lineRule="auto"/>
              <w:ind w:right="0" w:firstLine="0" w:left="0"/>
              <w:jc w:val="right"/>
              <w:rPr/>
            </w:pPr>
            <w:r>
              <w:rPr>
                <w:rFonts w:ascii="Times New Roman" w:hAnsi="Times New Roman" w:eastAsia="Times New Roman" w:cs="Times New Roman"/>
                <w:color w:val="000000"/>
                <w:sz w:val="24"/>
              </w:rPr>
              <w:t xml:space="preserve">6.090.000.000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056" w:type="dxa"/>
            <w:vAlign w:val="center"/>
            <w:textDirection w:val="lrTb"/>
            <w:noWrap/>
          </w:tcPr>
          <w:p>
            <w:pPr>
              <w:pBdr>
                <w:top w:val="none" w:color="000000" w:sz="4" w:space="0"/>
                <w:left w:val="none" w:color="000000" w:sz="4" w:space="0"/>
                <w:bottom w:val="none" w:color="000000" w:sz="4" w:space="0"/>
                <w:right w:val="none" w:color="000000" w:sz="4" w:space="0"/>
              </w:pBdr>
              <w:spacing w:after="72" w:before="72" w:line="288"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2164" w:type="dxa"/>
            <w:vAlign w:val="center"/>
            <w:textDirection w:val="lrTb"/>
            <w:noWrap/>
          </w:tcPr>
          <w:p>
            <w:pPr>
              <w:pBdr>
                <w:top w:val="none" w:color="000000" w:sz="4" w:space="0"/>
                <w:left w:val="none" w:color="000000" w:sz="4" w:space="0"/>
                <w:bottom w:val="none" w:color="000000" w:sz="4" w:space="0"/>
                <w:right w:val="none" w:color="000000" w:sz="4" w:space="0"/>
              </w:pBdr>
              <w:spacing w:after="72" w:before="72" w:line="288" w:lineRule="auto"/>
              <w:ind w:right="0" w:firstLine="0" w:left="0"/>
              <w:jc w:val="right"/>
              <w:rPr/>
            </w:pPr>
            <w:r>
              <w:rPr>
                <w:rFonts w:ascii="Times New Roman" w:hAnsi="Times New Roman" w:eastAsia="Times New Roman" w:cs="Times New Roman"/>
                <w:color w:val="000000"/>
                <w:sz w:val="24"/>
              </w:rPr>
              <w:t xml:space="preserve">6.090.000.000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056" w:type="dxa"/>
            <w:vAlign w:val="center"/>
            <w:textDirection w:val="lrTb"/>
            <w:noWrap/>
          </w:tcPr>
          <w:p>
            <w:pPr>
              <w:pBdr>
                <w:top w:val="none" w:color="000000" w:sz="4" w:space="0"/>
                <w:left w:val="none" w:color="000000" w:sz="4" w:space="0"/>
                <w:bottom w:val="none" w:color="000000" w:sz="4" w:space="0"/>
                <w:right w:val="none" w:color="000000" w:sz="4" w:space="0"/>
              </w:pBdr>
              <w:spacing w:after="72" w:before="72" w:line="288"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164" w:type="dxa"/>
            <w:vAlign w:val="center"/>
            <w:textDirection w:val="lrTb"/>
            <w:noWrap/>
          </w:tcPr>
          <w:p>
            <w:pPr>
              <w:pBdr>
                <w:top w:val="none" w:color="000000" w:sz="4" w:space="0"/>
                <w:left w:val="none" w:color="000000" w:sz="4" w:space="0"/>
                <w:bottom w:val="none" w:color="000000" w:sz="4" w:space="0"/>
                <w:right w:val="none" w:color="000000" w:sz="4" w:space="0"/>
              </w:pBdr>
              <w:spacing w:after="72" w:before="72" w:line="288" w:lineRule="auto"/>
              <w:ind w:right="0" w:firstLine="0" w:left="0"/>
              <w:jc w:val="right"/>
              <w:rPr/>
            </w:pPr>
            <w:r>
              <w:rPr>
                <w:rFonts w:ascii="Times New Roman" w:hAnsi="Times New Roman" w:eastAsia="Times New Roman" w:cs="Times New Roman"/>
                <w:b/>
                <w:color w:val="000000"/>
                <w:sz w:val="24"/>
              </w:rPr>
              <w:t xml:space="preserve">6.090.000.000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92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72" w:before="72" w:line="288" w:lineRule="auto"/>
              <w:ind w:right="0" w:firstLine="0" w:left="0"/>
              <w:jc w:val="center"/>
              <w:rPr/>
            </w:pPr>
            <w:r>
              <w:rPr>
                <w:rFonts w:ascii="Times New Roman" w:hAnsi="Times New Roman" w:eastAsia="Times New Roman" w:cs="Times New Roman"/>
                <w:b/>
                <w:i/>
                <w:color w:val="000000"/>
                <w:sz w:val="24"/>
              </w:rPr>
              <w:t xml:space="preserve">(Bằng chữ: Sáu tỷ, không trăm chín mươi triệu đồng./.)</w:t>
            </w:r>
            <w:r/>
          </w:p>
        </w:tc>
      </w:tr>
    </w:tbl>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color w:val="000000"/>
          <w:sz w:val="24"/>
        </w:rPr>
        <w:t xml:space="preserve">10. Thời hạn hiệu lực của kết quả thẩm định giá:</w:t>
      </w:r>
      <w:r/>
    </w:p>
    <w:p>
      <w:pPr>
        <w:pBdr>
          <w:top w:val="none" w:color="000000" w:sz="4" w:space="0"/>
          <w:left w:val="none" w:color="000000" w:sz="4" w:space="0"/>
          <w:bottom w:val="none" w:color="000000" w:sz="4" w:space="0"/>
          <w:right w:val="none" w:color="000000" w:sz="4" w:space="0"/>
        </w:pBdr>
        <w:spacing w:after="120" w:before="120" w:line="312" w:lineRule="auto"/>
        <w:ind w:right="0" w:firstLine="360" w:left="0"/>
        <w:jc w:val="both"/>
        <w:rPr/>
      </w:pPr>
      <w:r>
        <w:rPr>
          <w:rFonts w:ascii="Times New Roman" w:hAnsi="Times New Roman" w:eastAsia="Times New Roman" w:cs="Times New Roman"/>
          <w:color w:val="000000"/>
          <w:sz w:val="24"/>
        </w:rPr>
        <w:t xml:space="preserve">- Tối đa 06 (sáu) tháng tính từ ngày ký đối với tài sản là Bất động sản.</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rPr/>
      </w:pPr>
      <w:r>
        <w:rPr>
          <w:rFonts w:ascii="Times New Roman" w:hAnsi="Times New Roman" w:eastAsia="Times New Roman" w:cs="Times New Roman"/>
          <w:b/>
          <w:color w:val="000000"/>
          <w:sz w:val="24"/>
        </w:rPr>
        <w:t xml:space="preserve">11. Những điều khoản loại trừ và hạn chế của kết quả thẩm định giá:</w:t>
      </w:r>
      <w:r/>
    </w:p>
    <w:p>
      <w:pPr>
        <w:pBdr>
          <w:top w:val="none" w:color="000000" w:sz="4" w:space="0"/>
          <w:left w:val="none" w:color="000000" w:sz="4" w:space="0"/>
          <w:bottom w:val="none" w:color="000000" w:sz="4" w:space="0"/>
          <w:right w:val="none" w:color="000000" w:sz="4" w:space="0"/>
        </w:pBdr>
        <w:spacing w:after="120" w:before="120" w:line="312" w:lineRule="auto"/>
        <w:ind w:right="0" w:firstLine="360" w:left="0"/>
        <w:rPr/>
      </w:pPr>
      <w:r>
        <w:rPr>
          <w:rFonts w:ascii="Times New Roman" w:hAnsi="Times New Roman" w:eastAsia="Times New Roman" w:cs="Times New Roman"/>
          <w:color w:val="000000"/>
          <w:sz w:val="24"/>
        </w:rPr>
        <w:t xml:space="preserve">- Chi tiết như Báo cáo kèm theo.</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rPr/>
      </w:pPr>
      <w:r>
        <w:rPr>
          <w:rFonts w:ascii="Times New Roman" w:hAnsi="Times New Roman" w:eastAsia="Times New Roman" w:cs="Times New Roman"/>
          <w:b/>
          <w:color w:val="000000"/>
          <w:spacing w:val="-4"/>
          <w:sz w:val="24"/>
        </w:rPr>
        <w:t xml:space="preserve">12. </w:t>
      </w:r>
      <w:r>
        <w:rPr>
          <w:rFonts w:ascii="Times New Roman" w:hAnsi="Times New Roman" w:eastAsia="Times New Roman" w:cs="Times New Roman"/>
          <w:b/>
          <w:color w:val="000000"/>
          <w:sz w:val="24"/>
        </w:rPr>
        <w:t xml:space="preserve">Các </w:t>
      </w:r>
      <w:r>
        <w:rPr>
          <w:rFonts w:ascii="Times New Roman" w:hAnsi="Times New Roman" w:eastAsia="Times New Roman" w:cs="Times New Roman"/>
          <w:b/>
          <w:color w:val="000000"/>
          <w:spacing w:val="-4"/>
          <w:sz w:val="24"/>
        </w:rPr>
        <w:t xml:space="preserve">tài liệu kèm theo:</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Báo cáo kết quả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Các phụ lục chi tiết kèm theo.</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Chứng thư thẩm định giá được phát hành 03 (ba) bản chính bằng tiếng Việt, cấp cho quý khách hàng 02 (hai) bản, lưu lại Công ty Cổ phần Thẩm định và Đầu tư Tài chính Hoa Sen 01 (một) bản có giá trị pháp lý như nhau.</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 Mọi hình thức sao chép báo cáo và chứng thư thẩm định giá không có sự đồng ý bằng văn bản của Công ty Cổ phần Thẩm định và Đầu tư Tài chính Hoa Sen đều là hành vi vi phạm pháp luật.</w:t>
      </w:r>
      <w:r/>
    </w:p>
    <w:tbl>
      <w:tblPr>
        <w:tblStyle w:val="860"/>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62"/>
        <w:gridCol w:w="4762"/>
      </w:tblGrid>
      <w:tr>
        <w:trPr>
          <w:trHeight w:val="20"/>
        </w:trPr>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THẨM ĐỊNH VIÊN VỀ GIÁ</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CHỦ TỊCH HĐQT KIÊM TỔNG GIÁM ĐỐC</w:t>
            </w:r>
            <w:r/>
          </w:p>
        </w:tc>
      </w:tr>
      <w:tr>
        <w:trPr>
          <w:trHeight w:val="143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Đặng Quang Bách</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color w:val="000000"/>
                <w:sz w:val="24"/>
              </w:rPr>
              <w:t xml:space="preserve">Số thẻ thẩm định viên về giá: VIII13.721</w:t>
            </w:r>
            <w:r/>
          </w:p>
        </w:tc>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Vũ Văn Quân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XII17.1825</w:t>
            </w:r>
            <w:r/>
          </w:p>
        </w:tc>
      </w:tr>
    </w:tbl>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rPr>
        <w:t xml:space="preserve"> </w:t>
      </w:r>
      <w:r/>
    </w:p>
    <w:tbl>
      <w:tblPr>
        <w:tblStyle w:val="860"/>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638"/>
        <w:gridCol w:w="2472"/>
        <w:gridCol w:w="5840"/>
      </w:tblGrid>
      <w:tr>
        <w:trPr>
          <w:trHeight w:val="1152"/>
        </w:trPr>
        <w:tc>
          <w:tcPr>
            <w:tcBorders/>
            <w:tcMar>
              <w:left w:w="108" w:type="dxa"/>
              <w:top w:w="0" w:type="dxa"/>
              <w:right w:w="108" w:type="dxa"/>
              <w:bottom w:w="0" w:type="dxa"/>
            </w:tcMar>
            <w:tcW w:w="1638" w:type="dxa"/>
            <w:vAlign w:val="top"/>
            <w:textDirection w:val="lrTb"/>
            <w:noWrap w:val="false"/>
          </w:tcPr>
          <w:p>
            <w:pPr>
              <w:pBdr/>
              <w:spacing w:after="0" w:before="0" w:line="240"/>
              <w:ind/>
              <w:rPr/>
            </w:pPr>
            <w:r/>
            <w:r>
              <mc:AlternateContent>
                <mc:Choice Requires="wpg">
                  <w:drawing>
                    <wp:inline xmlns:wp="http://schemas.openxmlformats.org/drawingml/2006/wordprocessingDrawing" distT="0" distB="0" distL="0" distR="0">
                      <wp:extent cx="941979" cy="851729"/>
                      <wp:effectExtent l="0" t="0" r="0" b="0"/>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159920" name=""/>
                              <pic:cNvPicPr>
                                <a:picLocks noChangeAspect="1"/>
                              </pic:cNvPicPr>
                              <pic:nvPr/>
                            </pic:nvPicPr>
                            <pic:blipFill rotWithShape="1">
                              <a:blip r:embed="rId13"/>
                              <a:stretch/>
                            </pic:blipFill>
                            <pic:spPr bwMode="auto">
                              <a:xfrm flipH="0" flipV="0">
                                <a:off x="0" y="0"/>
                                <a:ext cx="941978" cy="8517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74.17pt;height:67.07pt;mso-wrap-distance-left:0.00pt;mso-wrap-distance-top:0.00pt;mso-wrap-distance-right:0.00pt;mso-wrap-distance-bottom:0.00pt;z-index:1;" stroked="false">
                      <v:imagedata r:id="rId13" o:title=""/>
                      <o:lock v:ext="edit" rotation="t"/>
                    </v:shape>
                  </w:pict>
                </mc:Fallback>
              </mc:AlternateContent>
            </w:r>
            <w:r/>
          </w:p>
        </w:tc>
        <w:tc>
          <w:tcPr>
            <w:gridSpan w:val="2"/>
            <w:tcBorders/>
            <w:tcMar>
              <w:left w:w="108" w:type="dxa"/>
              <w:top w:w="0" w:type="dxa"/>
              <w:right w:w="108" w:type="dxa"/>
              <w:bottom w:w="0" w:type="dxa"/>
            </w:tcMar>
            <w:tcW w:w="8312" w:type="dxa"/>
            <w:vAlign w:val="top"/>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Trụ sở: BT5 - 23, Khu đô thị mới Văn Phú, Phường Kiến Hưng, Thành phố Hà Nội</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Điện thoại:  085 329 3333/ 024 2264 4333</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Email: </w:t>
              <w:tab/>
            </w:r>
            <w:hyperlink r:id="rId14" w:tooltip="mailto:ilotus.contact@gmail.com" w:history="1">
              <w:r>
                <w:rPr>
                  <w:rStyle w:val="846"/>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p>
        </w:tc>
      </w:tr>
      <w:tr>
        <w:trPr>
          <w:trHeight w:val="482"/>
        </w:trPr>
        <w:tc>
          <w:tcPr>
            <w:gridSpan w:val="2"/>
            <w:tcBorders/>
            <w:tcMar>
              <w:left w:w="108" w:type="dxa"/>
              <w:top w:w="0" w:type="dxa"/>
              <w:right w:w="108" w:type="dxa"/>
              <w:bottom w:w="0" w:type="dxa"/>
            </w:tcMar>
            <w:tcW w:w="4110"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4"/>
              </w:rPr>
              <w:t xml:space="preserve">Số: 275/2026/0081/VFI-CT.24.A</w:t>
            </w:r>
            <w:r/>
          </w:p>
        </w:tc>
        <w:tc>
          <w:tcPr>
            <w:tcBorders/>
            <w:tcMar>
              <w:left w:w="108" w:type="dxa"/>
              <w:top w:w="0" w:type="dxa"/>
              <w:right w:w="108" w:type="dxa"/>
              <w:bottom w:w="0" w:type="dxa"/>
            </w:tcMar>
            <w:tcW w:w="5840"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right"/>
              <w:rPr/>
            </w:pPr>
            <w:r>
              <w:rPr>
                <w:rFonts w:ascii="Times New Roman" w:hAnsi="Times New Roman" w:eastAsia="Times New Roman" w:cs="Times New Roman"/>
                <w:i/>
                <w:color w:val="000000"/>
                <w:sz w:val="24"/>
              </w:rPr>
              <w:t xml:space="preserve">TP. Hà Nội, ngày 14 tháng 01 năm 2026</w:t>
            </w:r>
            <w:r/>
          </w:p>
        </w:tc>
      </w:tr>
      <w:tr>
        <w:trPr/>
        <w:tc>
          <w:tcPr>
            <w:tcBorders/>
            <w:tcMar>
              <w:left w:w="0" w:type="dxa"/>
              <w:top w:w="0" w:type="dxa"/>
              <w:right w:w="0" w:type="dxa"/>
              <w:bottom w:w="0" w:type="dxa"/>
            </w:tcMar>
            <w:tcW w:w="1638" w:type="dxa"/>
            <w:vAlign w:val="center"/>
            <w:textDirection w:val="lrTb"/>
            <w:noWrap w:val="false"/>
          </w:tcPr>
          <w:p>
            <w:pPr>
              <w:pBdr/>
              <w:spacing w:after="0" w:before="0" w:line="240"/>
              <w:ind/>
              <w:rPr/>
            </w:pPr>
            <w:r/>
          </w:p>
        </w:tc>
        <w:tc>
          <w:tcPr>
            <w:tcBorders/>
            <w:tcMar>
              <w:left w:w="0" w:type="dxa"/>
              <w:top w:w="0" w:type="dxa"/>
              <w:right w:w="0" w:type="dxa"/>
              <w:bottom w:w="0" w:type="dxa"/>
            </w:tcMar>
            <w:tcW w:w="2472" w:type="dxa"/>
            <w:vAlign w:val="center"/>
            <w:textDirection w:val="lrTb"/>
            <w:noWrap w:val="false"/>
          </w:tcPr>
          <w:p>
            <w:pPr>
              <w:pBdr/>
              <w:spacing w:after="0" w:before="0" w:line="240"/>
              <w:ind/>
              <w:rPr/>
            </w:pPr>
            <w:r/>
          </w:p>
        </w:tc>
        <w:tc>
          <w:tcPr>
            <w:tcBorders/>
            <w:tcMar>
              <w:left w:w="0" w:type="dxa"/>
              <w:top w:w="0" w:type="dxa"/>
              <w:right w:w="0" w:type="dxa"/>
              <w:bottom w:w="0" w:type="dxa"/>
            </w:tcMar>
            <w:tcW w:w="5840" w:type="dxa"/>
            <w:vAlign w:val="center"/>
            <w:textDirection w:val="lrTb"/>
            <w:noWrap w:val="false"/>
          </w:tcPr>
          <w:p>
            <w:pPr>
              <w:pBdr/>
              <w:spacing w:after="0" w:before="0" w:line="240"/>
              <w:ind/>
              <w:rPr/>
            </w:pPr>
            <w:r/>
          </w:p>
        </w:tc>
      </w:tr>
    </w:tbl>
    <w:p>
      <w:pPr>
        <w:pBdr>
          <w:top w:val="none" w:color="000000" w:sz="4" w:space="0"/>
          <w:left w:val="none" w:color="000000" w:sz="4" w:space="0"/>
          <w:bottom w:val="none" w:color="000000" w:sz="4" w:space="0"/>
          <w:right w:val="none" w:color="000000" w:sz="4" w:space="0"/>
        </w:pBdr>
        <w:tabs>
          <w:tab w:val="left" w:leader="none" w:pos="5102"/>
        </w:tabs>
        <w:spacing w:before="200" w:line="340" w:lineRule="atLeast"/>
        <w:ind w:right="0" w:firstLine="0" w:left="0"/>
        <w:jc w:val="center"/>
        <w:rPr/>
      </w:pPr>
      <w:r>
        <w:rPr>
          <w:rFonts w:ascii="Times New Roman" w:hAnsi="Times New Roman" w:eastAsia="Times New Roman" w:cs="Times New Roman"/>
          <w:b/>
          <w:color w:val="000000"/>
          <w:sz w:val="30"/>
        </w:rPr>
        <w:t xml:space="preserve">BÁO CÁO KẾT QUẢ THẨM ĐỊNH GIÁ</w:t>
      </w:r>
      <w:r/>
    </w:p>
    <w:p>
      <w:pPr>
        <w:pStyle w:val="835"/>
        <w:pBdr>
          <w:top w:val="none" w:color="000000" w:sz="4" w:space="0"/>
          <w:left w:val="none" w:color="000000" w:sz="4" w:space="0"/>
          <w:bottom w:val="none" w:color="000000" w:sz="4" w:space="0"/>
          <w:right w:val="none" w:color="000000" w:sz="4" w:space="0"/>
        </w:pBdr>
        <w:tabs>
          <w:tab w:val="left" w:leader="none" w:pos="4820"/>
        </w:tabs>
        <w:spacing w:after="200" w:before="100" w:line="340" w:lineRule="atLeast"/>
        <w:ind w:right="0" w:hanging="180" w:left="0"/>
        <w:jc w:val="center"/>
        <w:rPr/>
      </w:pPr>
      <w:r>
        <w:rPr>
          <w:rFonts w:ascii="Times New Roman" w:hAnsi="Times New Roman" w:eastAsia="Times New Roman" w:cs="Times New Roman"/>
          <w:i/>
          <w:color w:val="000000"/>
          <w:spacing w:val="-6"/>
          <w:sz w:val="24"/>
        </w:rPr>
        <w:t xml:space="preserve">(Kèm theo Chứng thư thẩm định giá số: 275/2026/0081/VFI-CT.24.A ngày 14 tháng 01 năm 2026)</w:t>
      </w:r>
      <w:r/>
    </w:p>
    <w:p>
      <w:pPr>
        <w:pStyle w:val="835"/>
        <w:pBdr>
          <w:top w:val="none" w:color="000000" w:sz="4" w:space="0"/>
          <w:left w:val="none" w:color="000000" w:sz="4" w:space="0"/>
          <w:bottom w:val="none" w:color="000000" w:sz="4" w:space="0"/>
          <w:right w:val="none" w:color="000000" w:sz="4" w:space="0"/>
        </w:pBdr>
        <w:tabs>
          <w:tab w:val="left" w:leader="none" w:pos="4820"/>
        </w:tabs>
        <w:spacing w:after="200" w:before="0" w:line="340" w:lineRule="atLeast"/>
        <w:ind w:right="0" w:firstLine="0" w:left="0"/>
        <w:jc w:val="both"/>
        <w:rPr/>
      </w:pPr>
      <w:r>
        <w:rPr>
          <w:rFonts w:ascii="Times New Roman" w:hAnsi="Times New Roman" w:eastAsia="Times New Roman" w:cs="Times New Roman"/>
          <w:b/>
          <w:color w:val="000000"/>
          <w:sz w:val="24"/>
        </w:rPr>
        <w:t xml:space="preserve">I. THÔNG TIN VỀ DOANH NGHIỆP THẨM ĐỊNH GIÁ </w:t>
      </w:r>
      <w:r/>
    </w:p>
    <w:tbl>
      <w:tblPr>
        <w:tblStyle w:val="860"/>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46"/>
        <w:gridCol w:w="283"/>
        <w:gridCol w:w="7451"/>
      </w:tblGrid>
      <w:tr>
        <w:trPr>
          <w:trHeight w:val="20"/>
        </w:trPr>
        <w:tc>
          <w:tcPr>
            <w:tcBorders/>
            <w:tcMar>
              <w:left w:w="108" w:type="dxa"/>
              <w:top w:w="0" w:type="dxa"/>
              <w:right w:w="108" w:type="dxa"/>
              <w:bottom w:w="0" w:type="dxa"/>
            </w:tcMar>
            <w:tcW w:w="2046"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4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pacing w:val="-4"/>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2046"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4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pacing w:val="-2"/>
                <w:sz w:val="24"/>
              </w:rPr>
              <w:t xml:space="preserve">BT5 - 23, Khu đô thị mới Văn Phú, Phường Kiến Hưng, Thành phố Hà Nội</w:t>
            </w:r>
            <w:r/>
          </w:p>
        </w:tc>
      </w:tr>
      <w:tr>
        <w:trPr>
          <w:trHeight w:val="20"/>
        </w:trPr>
        <w:tc>
          <w:tcPr>
            <w:tcBorders/>
            <w:tcMar>
              <w:left w:w="108" w:type="dxa"/>
              <w:top w:w="0" w:type="dxa"/>
              <w:right w:w="108" w:type="dxa"/>
              <w:bottom w:w="0" w:type="dxa"/>
            </w:tcMar>
            <w:tcW w:w="2046"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7451"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60" w:before="60" w:line="276" w:lineRule="auto"/>
              <w:ind w:right="0" w:firstLine="0" w:left="0"/>
              <w:rPr/>
            </w:pPr>
            <w:r>
              <w:rPr>
                <w:rFonts w:ascii="Times New Roman" w:hAnsi="Times New Roman" w:eastAsia="Times New Roman" w:cs="Times New Roman"/>
                <w:color w:val="000000"/>
                <w:sz w:val="24"/>
              </w:rPr>
              <w:t xml:space="preserve">024 2264 4333</w:t>
            </w:r>
            <w:r/>
          </w:p>
        </w:tc>
      </w:tr>
      <w:tr>
        <w:trPr>
          <w:trHeight w:val="20"/>
        </w:trPr>
        <w:tc>
          <w:tcPr>
            <w:tcBorders/>
            <w:tcMar>
              <w:left w:w="108" w:type="dxa"/>
              <w:top w:w="0" w:type="dxa"/>
              <w:right w:w="108" w:type="dxa"/>
              <w:bottom w:w="0" w:type="dxa"/>
            </w:tcMar>
            <w:tcW w:w="2046"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4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2046"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GCN đủ điều kiện hành nghề</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4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275/TĐG</w:t>
            </w:r>
            <w:r/>
          </w:p>
        </w:tc>
      </w:tr>
      <w:tr>
        <w:trPr>
          <w:trHeight w:val="20"/>
        </w:trPr>
        <w:tc>
          <w:tcPr>
            <w:tcBorders/>
            <w:tcMar>
              <w:left w:w="108" w:type="dxa"/>
              <w:top w:w="0" w:type="dxa"/>
              <w:right w:w="108" w:type="dxa"/>
              <w:bottom w:w="0" w:type="dxa"/>
            </w:tcMar>
            <w:tcW w:w="2046"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4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4"/>
                <w:sz w:val="24"/>
              </w:rPr>
              <w:t xml:space="preserve">1505112366666 tại Agribank Chi nhánh Hà Nội II</w:t>
            </w:r>
            <w:r/>
          </w:p>
        </w:tc>
      </w:tr>
      <w:tr>
        <w:trPr>
          <w:trHeight w:val="20"/>
        </w:trPr>
        <w:tc>
          <w:tcPr>
            <w:tcBorders/>
            <w:tcMar>
              <w:left w:w="108" w:type="dxa"/>
              <w:top w:w="0" w:type="dxa"/>
              <w:right w:w="108" w:type="dxa"/>
              <w:bottom w:w="0" w:type="dxa"/>
            </w:tcMar>
            <w:tcW w:w="2046"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4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Ông Vũ Văn Quân </w:t>
              <w:tab/>
              <w:t xml:space="preserve">Chức vụ: Chủ tịch HĐQT kiêm Tổng Giám Đốc</w:t>
            </w:r>
            <w:r/>
          </w:p>
        </w:tc>
      </w:tr>
    </w:tbl>
    <w:p>
      <w:pPr>
        <w:pBdr>
          <w:top w:val="none" w:color="000000" w:sz="4" w:space="0"/>
          <w:left w:val="none" w:color="000000" w:sz="4" w:space="0"/>
          <w:bottom w:val="none" w:color="000000" w:sz="4" w:space="0"/>
          <w:right w:val="none" w:color="000000" w:sz="4" w:space="0"/>
        </w:pBdr>
        <w:tabs>
          <w:tab w:val="left" w:leader="none" w:pos="284"/>
        </w:tabs>
        <w:spacing w:after="120" w:before="0" w:line="320" w:lineRule="atLeast"/>
        <w:ind w:right="0" w:firstLine="0" w:left="0"/>
        <w:jc w:val="both"/>
        <w:rPr/>
      </w:pPr>
      <w:r>
        <w:rPr>
          <w:rFonts w:ascii="Times New Roman" w:hAnsi="Times New Roman" w:eastAsia="Times New Roman" w:cs="Times New Roman"/>
          <w:b/>
          <w:color w:val="000000"/>
          <w:sz w:val="24"/>
        </w:rPr>
        <w:t xml:space="preserve">II. THÔNG TIN CƠ BẢN VỀ CUỘC THẨM ĐỊNH GIÁ</w:t>
      </w:r>
      <w:r/>
    </w:p>
    <w:p>
      <w:pPr>
        <w:pBdr>
          <w:top w:val="none" w:color="000000" w:sz="4" w:space="0"/>
          <w:left w:val="none" w:color="000000" w:sz="4" w:space="0"/>
          <w:bottom w:val="none" w:color="000000" w:sz="4" w:space="0"/>
          <w:right w:val="none" w:color="000000" w:sz="4" w:space="0"/>
        </w:pBdr>
        <w:tabs>
          <w:tab w:val="left" w:leader="none" w:pos="284"/>
        </w:tabs>
        <w:spacing w:after="120" w:before="120" w:line="320" w:lineRule="atLeast"/>
        <w:ind w:right="0" w:firstLine="0" w:left="0"/>
        <w:jc w:val="both"/>
        <w:rPr/>
      </w:pPr>
      <w:r>
        <w:rPr>
          <w:rFonts w:ascii="Times New Roman" w:hAnsi="Times New Roman" w:eastAsia="Times New Roman" w:cs="Times New Roman"/>
          <w:b/>
          <w:color w:val="000000"/>
          <w:sz w:val="24"/>
        </w:rPr>
        <w:t xml:space="preserve">1. Thông tin cơ bản về cuộc thẩm định giá:</w:t>
      </w:r>
      <w:r/>
    </w:p>
    <w:tbl>
      <w:tblPr>
        <w:tblStyle w:val="86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18"/>
        <w:gridCol w:w="284"/>
        <w:gridCol w:w="6945"/>
      </w:tblGrid>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b/>
                <w:color w:val="000000"/>
                <w:spacing w:val="-8"/>
                <w:sz w:val="24"/>
              </w:rPr>
              <w:t xml:space="preserve">Ông Nguyễn Văn Vương</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CCCD</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027076013654</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Khu Dương Ổ, Phong Khê, thành phố Bắc Ninh, tỉnh Bắc Ninh.</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Hợp đồng số</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275/2026/0063/VFI-HĐTĐ.24.A</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Tài sản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Giá trị quyền sử dụng đất tại thửa đất số 512, có địa chỉ Xã Phong Khê, Thành phố Bắc Ninh, Tỉnh Bắc Ninh (Nay là phường Võ Cường, thành phố Bắc Ninh) theo Giấy chứng nhận quyền sửu dụng đất số R461077, vào sổ cấp GCN Quyền sử dụng đất số 00177/QSDĐ/1201do</w:t>
            </w:r>
            <w:r>
              <w:rPr>
                <w:rFonts w:ascii="Times New Roman" w:hAnsi="Times New Roman" w:eastAsia="Times New Roman" w:cs="Times New Roman"/>
                <w:color w:val="000000"/>
                <w:sz w:val="24"/>
              </w:rPr>
              <w:t xml:space="preserve"> UBND huyện Yên Phong cấp 10/10/2002 chủ sử dụng đất ông Nguyễn Văn Vương (cập nhật ngày 21/01/2019)</w:t>
            </w:r>
            <w:r>
              <w:rPr>
                <w:rFonts w:ascii="Times New Roman" w:hAnsi="Times New Roman" w:eastAsia="Times New Roman" w:cs="Times New Roman"/>
                <w:color w:val="000000"/>
                <w:spacing w:val="2"/>
                <w:sz w:val="24"/>
              </w:rPr>
              <w:t xml:space="preserve">.</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Mục đích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60" w:before="60" w:line="276" w:lineRule="auto"/>
              <w:ind w:right="0" w:firstLine="0" w:left="0"/>
              <w:jc w:val="both"/>
              <w:rPr/>
            </w:pPr>
            <w:r>
              <w:rPr>
                <w:rFonts w:ascii="Times New Roman" w:hAnsi="Times New Roman" w:eastAsia="Times New Roman" w:cs="Times New Roman"/>
                <w:color w:val="000000"/>
                <w:spacing w:val="-4"/>
                <w:sz w:val="24"/>
              </w:rPr>
              <w:t xml:space="preserve">Kết quả thẩm định giá để khách hàng tham khảo giá trị tài sản phục vụ công tác  vay vốn tại tổ chức tín dụng.</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12"/>
                <w:sz w:val="24"/>
              </w:rPr>
              <w:t xml:space="preserve">Cơ sở giá trị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60" w:before="60" w:line="276" w:lineRule="auto"/>
              <w:ind w:right="0" w:firstLine="0" w:left="0"/>
              <w:jc w:val="both"/>
              <w:rPr/>
            </w:pPr>
            <w:r>
              <w:rPr>
                <w:rFonts w:ascii="Times New Roman" w:hAnsi="Times New Roman" w:eastAsia="Times New Roman" w:cs="Times New Roman"/>
                <w:color w:val="000000"/>
                <w:spacing w:val="-4"/>
                <w:sz w:val="24"/>
              </w:rPr>
              <w:t xml:space="preserve">Giá trị thị trường.</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Thời điểm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Tháng 01/2026.</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Địa điểm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Phường Võ Cường, Tỉnh Bắc Ninh</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Thời điểm khảo sát</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Tháng 01/2026.</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color w:val="000000"/>
          <w:spacing w:val="-6"/>
          <w:sz w:val="24"/>
        </w:rPr>
        <w:t xml:space="preserve">2. Các nguồn thông tin được sử dụng trong quá trình thẩm định giá và xem xét đánh giá các thông tin thu thập</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6"/>
          <w:sz w:val="24"/>
        </w:rPr>
        <w:t xml:space="preserve">Tham khảo nguồn thông tin từ các trang giao bán bất động sản qua mạng Internet, gọi điện trực tiếp</w:t>
      </w:r>
      <w:r>
        <w:rPr>
          <w:rFonts w:ascii="Times New Roman" w:hAnsi="Times New Roman" w:eastAsia="Times New Roman" w:cs="Times New Roman"/>
          <w:color w:val="000000"/>
          <w:sz w:val="24"/>
        </w:rPr>
        <w:t xml:space="preserve">.</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Tham khảo nguồn thông tin trực tiếp từ những người dân sinh sống xung quanh trên địa bàn.</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Đánh giá nguồn thông tin thu thập: Nguồn thông tin thu thập khách quan và phổ biến trên thị trường.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 Căn cứ pháp lý</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3.1. Văn bản quy phạm pháp luật:</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    Luật Giá số 16/2023/QH15 ngày 19/6/2023;</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Đất đai số 31/2024/QH15 đã được Quốc hội nước Cộng hòa xã hội chủ nghĩa Việt Nam khóa XV, kỳ họp bất thường lần thứ 5 thông qua ngày 18 tháng 01 năm 2024;</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Xây dựng số 50/2014/QH13 đã được Quốc hội nước Cộng hòa xã hội chủ nghĩa Việt Nam khóa XIII, kỳ họp thứ 7 thông qua ngày 18 tháng 6 năm 2014;</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số 62/2020/QH14 đã được Quốc hội nước Cộng hòa xã hội chủ nghĩa Việt Nam khóa XIV, kỳ họp thứ 9 thông qua ngày 17 tháng 6 năm 2020 về việc Sửa đổi, bổ sung một số điều của Luật Xây dựng;</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Nhà ở số 27/2023/QH15 đã được Quốc hội nước Cộng hòa xã hội chủ nghĩa Việt Nam khóa XV, kỳ họp thứ 6 thông qua ngày 27 tháng 11 năm 2023;</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rPr/>
      </w:pPr>
      <w:r>
        <w:rPr>
          <w:rFonts w:ascii="Times New Roman" w:hAnsi="Times New Roman" w:eastAsia="Times New Roman" w:cs="Times New Roman"/>
          <w:color w:val="000000"/>
          <w:sz w:val="24"/>
        </w:rPr>
        <w:t xml:space="preserve">Nghị định số 71/2024/NĐ-CP ngày 27/6/2024 của Chính phủ Quy định về giá đất.</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Nghị định số 103/2024/NĐ-CP ngày 30/7/2024 của Chính phủ quy định về thu tiền sử dụng đất, tiền thuê đất;</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28/2024/TT-BTC ngày 16/5/2024 của Bộ Tài chính Quy định về trình tự, thủ tục kiểm tra việc chấp hành pháp luật về giá, thẩm định giá do Bộ trưởng Bộ Tài chính ban hành;</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30/2024/TT-BTC ngày 16/5/2024 của Bộ Tài chính ban hành các chuẩn mực thẩm định giá Việt Nam về quy tắc đạo đức nghề nghiệp thẩm định giá, phạm vi công việc thẩm định giá, cơ sở giá trị thẩm định giá, hồ sơ thẩm định giá;</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31/2024/TT-BTC ngày 16/5/2024 của Bộ Tài chính ban hành chuẩn mực thẩm định giá Việt Nam về thu thập và phân tích thông tin về tài sản thẩm định giá;</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32/2024/TT-BTC ngày 16/5/2024 của Bộ Tài chính ban hành các chuẩn mực thẩm định giá Việt Nam về cách tiếp cận từ thị trường, cách tiếp cận từ chi phí, cách tiếp cận từ thu nhập;</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36/2024/TT-BTC ngày 16/5/2024 của Bộ Tài chính ban hành chuẩn mực thẩm định giá Việt Nam về thẩm định giá doanh nghiệp;</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37/2024/TT-BTC ngày 16/5/2024 của Bộ Tài chính ban hành chuẩn mực thẩm định giá Việt Nam về thẩm định giá tài sản vô hình;</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42/2024/TT-BTC ngày 20/6/2024 của Bộ Tài chính ban hành chuẩn mực thẩm định giá Việt Nam về thẩm định giá bất động sản;</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45/2013/TT-BTC ngày 24/5/2013 của Bộ Tài chính về việc hướng dẫn chế độ quản lý, sử dụng và trích khấu hao tài sản cố định;</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4"/>
          <w:sz w:val="24"/>
        </w:rPr>
        <w:t xml:space="preserve">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w:t>
      </w:r>
      <w:r>
        <w:rPr>
          <w:rFonts w:ascii="Times New Roman" w:hAnsi="Times New Roman" w:eastAsia="Times New Roman" w:cs="Times New Roman"/>
          <w:color w:val="000000"/>
          <w:spacing w:val="-4"/>
          <w:sz w:val="24"/>
        </w:rPr>
        <w:t xml:space="preserve">ài sản cố định;</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pacing w:val="-4"/>
          <w:sz w:val="24"/>
        </w:rPr>
        <w:t xml:space="preserve">Quyết định số 409/QĐ-BXD ngày 11/4/2025 của Bộ Xây dựng về việc Công bố suất vốn đầu tư xây dựng công trình và giá xây dựng tổng hợp bộ phận kết cấu công trình năm 2024;</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Công văn số 1326/BXD-QLN của Bộ Xây dựng ban hành ngày 08/8/2011 về việc hướng dẫn kiểm kê, đánh giá lại giá trị tài sản cố định là nhà, vật kiến trúc;</w:t>
      </w: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Và các văn bản pháp luật có liên quan khác.</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3.2. Các văn bản liên quan khác:</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a. Hồ sơ pháp lý của tài sản: </w:t>
      </w: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Giấy chứng nhận quyền sử dụng đất số H 461077, Số vào sổ cấp GCN 00177/QSDĐ/1201 tại thửa đất số 512, có địa chỉ xã Phong Khê, Yên Phong, tỉnh Bắc Ninh do UBND huyện Yên Phong cấp 10/10/2002 chủ sử dụng đất ông Nguyễn Văn Vương (cập nhật ngày 21/01/2019).</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b. Hồ sơ khác:</w:t>
      </w: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Hợp đồng dịch vụ thẩm định giá số 275/2026/0063/VFI-HĐTĐ.24.A ngày 12/01/2026 giữa Ông Nguyễn Văn Vương với Công ty Cổ phần Thẩm định và Đầu tư Tài chính Hoa Sen.</w:t>
      </w: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Hồ sơ, tài liệu, chứng từ liên quan đến tài sản thẩm định giá.</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0" w:left="0"/>
        <w:jc w:val="both"/>
        <w:rPr/>
      </w:pPr>
      <w:r>
        <w:rPr>
          <w:rFonts w:ascii="Times New Roman" w:hAnsi="Times New Roman" w:eastAsia="Times New Roman" w:cs="Times New Roman"/>
          <w:b/>
          <w:color w:val="000000"/>
          <w:sz w:val="24"/>
        </w:rPr>
        <w:t xml:space="preserve">III. TỔNG QUAN VỀ THỊ TRƯỜNG CỦA TÀI SẢN THẨM ĐỊNH GIÁ</w:t>
      </w: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ab/>
        <w:t xml:space="preserve">Bắc</w:t>
      </w:r>
      <w:r>
        <w:rPr>
          <w:rFonts w:ascii="Times New Roman" w:hAnsi="Times New Roman" w:eastAsia="Times New Roman" w:cs="Times New Roman"/>
          <w:i/>
          <w:color w:val="000000"/>
          <w:sz w:val="24"/>
        </w:rPr>
        <w:t xml:space="preserve"> </w:t>
      </w:r>
      <w:r>
        <w:rPr>
          <w:rFonts w:ascii="Times New Roman" w:hAnsi="Times New Roman" w:eastAsia="Times New Roman" w:cs="Times New Roman"/>
          <w:color w:val="000000"/>
          <w:sz w:val="24"/>
        </w:rPr>
        <w:t xml:space="preserve">Ninh – Điểm sáng kinh tế phía Bắc. Bắc Ninh, một trong những tỉnh thành công nghiệp hóa nhanh nhất cả nước, đang trở thành tâm điểm của thị trường bất động sản phía Bắc. Đến năm 2025, kỳ vọng về sự bùng nổ của thị trường này ngày càng rõ nét. Bài viết phân</w:t>
      </w:r>
      <w:r>
        <w:rPr>
          <w:rFonts w:ascii="Times New Roman" w:hAnsi="Times New Roman" w:eastAsia="Times New Roman" w:cs="Times New Roman"/>
          <w:color w:val="000000"/>
          <w:sz w:val="24"/>
        </w:rPr>
        <w:t xml:space="preserve"> tích sâu về tiềm năng, thách thức, và xu hướng định hình thị trường bất động sản Bắc Ninh trong giai đoạn tới.</w:t>
      </w: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Bắc Ninh là tỉnh có quy mô GDP đứng thứ 6 cả nước (2023), đóng góp chính từ khu </w:t>
      </w:r>
      <w:r>
        <w:rPr>
          <w:rFonts w:ascii="Times New Roman" w:hAnsi="Times New Roman" w:eastAsia="Times New Roman" w:cs="Times New Roman"/>
          <w:i/>
          <w:color w:val="000000"/>
          <w:sz w:val="24"/>
        </w:rPr>
        <w:t xml:space="preserve">công </w:t>
      </w:r>
      <w:r>
        <w:rPr>
          <w:rFonts w:ascii="Times New Roman" w:hAnsi="Times New Roman" w:eastAsia="Times New Roman" w:cs="Times New Roman"/>
          <w:color w:val="000000"/>
          <w:sz w:val="24"/>
        </w:rPr>
        <w:t xml:space="preserve">nghiệp (KCN) và thu hút FDI. Với vị trí giáp Hà Nội, hạ tầng giao thông phát triển, tỉnh đang chuyển mình từ nông nghiệp sang công nghiệp – dịch vụ.</w:t>
      </w: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Với sự gia tăng mạnh mẽ của các dự án FDI, nhu cầu về đất công nghiệp tại Bắc Ninh đang tăng cao. Các khu công nghiệp như Yên Phong, Quế Võ và Tiên Sơn đã thu hút nhiều tập đoàn lớn, tạo động lực cho thị trường bất động sản công nghiệp phát triển. Dự kiến,</w:t>
      </w:r>
      <w:r>
        <w:rPr>
          <w:rFonts w:ascii="Times New Roman" w:hAnsi="Times New Roman" w:eastAsia="Times New Roman" w:cs="Times New Roman"/>
          <w:color w:val="000000"/>
          <w:sz w:val="24"/>
        </w:rPr>
        <w:t xml:space="preserve"> năm </w:t>
      </w:r>
      <w:r>
        <w:rPr>
          <w:rFonts w:ascii="Times New Roman" w:hAnsi="Times New Roman" w:eastAsia="Times New Roman" w:cs="Times New Roman"/>
          <w:i/>
          <w:color w:val="000000"/>
          <w:sz w:val="24"/>
        </w:rPr>
        <w:t xml:space="preserve">2025</w:t>
      </w:r>
      <w:r>
        <w:rPr>
          <w:rFonts w:ascii="Times New Roman" w:hAnsi="Times New Roman" w:eastAsia="Times New Roman" w:cs="Times New Roman"/>
          <w:color w:val="000000"/>
          <w:sz w:val="24"/>
        </w:rPr>
        <w:t xml:space="preserve">, Bắc Ninh sẽ tiếp tục mở rộng các khu công nghiệp và cải thiện hạ tầng để đáp ứng nhu cầu của các nhà đầu tư.</w:t>
      </w: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Sự phát triển của công nghiệp kéo theo nhu cầu về các dịch vụ thương mại và tiện ích. Các trung tâm thương mại, siêu thị và khu mua sắm đang được đầu tư mạnh mẽ tại thành phố Bắc Ninh và thị xã Từ Sơn. Điều này không chỉ đáp ứng nhu cầu mua sắm của người d</w:t>
      </w:r>
      <w:r>
        <w:rPr>
          <w:rFonts w:ascii="Times New Roman" w:hAnsi="Times New Roman" w:eastAsia="Times New Roman" w:cs="Times New Roman"/>
          <w:color w:val="000000"/>
          <w:sz w:val="24"/>
        </w:rPr>
        <w:t xml:space="preserve">ân mà còn tạo ra cơ hội kinh doanh cho các doanh nghiệp trong lĩnh vực bán lẻ và dịch vụ, bất động sản. (Senvangdata.com.vn)</w:t>
      </w: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Thị trường bất động sản Bắc Ninh hứa hẹn sôi động nhờ động lực công nghiệp và hạ tầng. Tuy nhiên, nhà đầu tư cần đánh giá kỹ rủi ro pháp lý, môi trường để tối ưu hóa lợi nhuận. Với chiến lược dài hạn và chọn lọc dự án, Bắc Ninh vẫn là “miền đất hứa” cho nh</w:t>
      </w:r>
      <w:r>
        <w:rPr>
          <w:rFonts w:ascii="Times New Roman" w:hAnsi="Times New Roman" w:eastAsia="Times New Roman" w:cs="Times New Roman"/>
          <w:color w:val="000000"/>
          <w:sz w:val="24"/>
        </w:rPr>
        <w:t xml:space="preserve">ững ai biết nắm bắt thời cơ.</w:t>
      </w:r>
      <w:r/>
    </w:p>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Nguồn:</w:t>
      </w:r>
      <w:r>
        <w:rPr>
          <w:rFonts w:ascii="Times New Roman" w:hAnsi="Times New Roman" w:eastAsia="Times New Roman" w:cs="Times New Roman"/>
          <w:i/>
          <w:color w:val="000000"/>
          <w:sz w:val="24"/>
        </w:rPr>
        <w:t xml:space="preserve">(https://datbacninh.com.vn/thi-truong-bat-dong-san-bac-ninh-2025-tiem-nang-va-thach-thuc/)</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IV. THÔNG TIN VỀ TÀI SẢN THẨM ĐỊNH GIÁ</w:t>
      </w:r>
      <w:r/>
    </w:p>
    <w:tbl>
      <w:tblPr>
        <w:tblStyle w:val="86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4"/>
        <w:gridCol w:w="2522"/>
        <w:gridCol w:w="2126"/>
        <w:gridCol w:w="2126"/>
        <w:gridCol w:w="2007"/>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Giá trị quyền sử dụng đất tại thửa đất số 512, có địa chỉ Xã Phong Khê, TP.Bắc Ninh, Tỉnh Bắc Ninh </w:t>
            </w:r>
            <w:r>
              <w:rPr>
                <w:rFonts w:ascii="Times New Roman" w:hAnsi="Times New Roman" w:eastAsia="Times New Roman" w:cs="Times New Roman"/>
                <w:b/>
                <w:i/>
                <w:color w:val="000000"/>
                <w:sz w:val="24"/>
              </w:rPr>
              <w:t xml:space="preserve">(Nay là phường Võ Cường, thành phố Bắc Ninh)</w:t>
            </w:r>
            <w:r>
              <w:rPr>
                <w:rFonts w:ascii="Times New Roman" w:hAnsi="Times New Roman" w:eastAsia="Times New Roman" w:cs="Times New Roman"/>
                <w:b/>
                <w:color w:val="000000"/>
                <w:sz w:val="24"/>
              </w:rPr>
              <w:t xml:space="preserve"> theo Giấy chứng nhận quyền sửu dụng đất số R461077, vào sổ cấp GCN Quyền sử dụng đất số 00177/QSDĐ/1201 do UBND huyện Yên Phong cấp 10/10/2002 chủ sử dụng đất ông Nguyễn Văn Vương (cập nhật ngày 21/01/2019).</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512</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Xã Phong Khê, Thành phố Bắc Ninh, Tỉnh Bắc Ninh </w:t>
            </w:r>
            <w:r>
              <w:rPr>
                <w:rFonts w:ascii="Times New Roman" w:hAnsi="Times New Roman" w:eastAsia="Times New Roman" w:cs="Times New Roman"/>
                <w:i/>
                <w:color w:val="000000"/>
                <w:sz w:val="24"/>
              </w:rPr>
              <w:t xml:space="preserve">(Nay là phường Võ Cường, thành phố Bắc Ninh)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210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Đất thổ cư</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Tại thời điểm thẩm định giá, tổ thẩm không thu thập được thông tin quy hoạch liên quan đến 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1,55m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 (m):</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Tiếp giáp đường quy đường ngõ bê tông, cách đường Nguyễn Văn Cừ khoảng 800m.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Hướng Đông: giáp ngõ bê tông  </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Các hướng khác: giáp các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(21.1643906, 106.0338939)</w:t>
            </w:r>
            <w:r/>
          </w:p>
        </w:tc>
      </w:tr>
      <w:tr>
        <w:trPr>
          <w:trHeight w:val="4394"/>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spacing w:after="0" w:before="0" w:line="240"/>
              <w:ind/>
              <w:rPr/>
            </w:pPr>
            <w:r/>
            <w:r>
              <mc:AlternateContent>
                <mc:Choice Requires="wpg">
                  <w:drawing>
                    <wp:inline xmlns:wp="http://schemas.openxmlformats.org/drawingml/2006/wordprocessingDrawing" distT="0" distB="0" distL="0" distR="0">
                      <wp:extent cx="5306428" cy="2863310"/>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656763" name=""/>
                              <pic:cNvPicPr>
                                <a:picLocks noChangeAspect="1"/>
                              </pic:cNvPicPr>
                              <pic:nvPr/>
                            </pic:nvPicPr>
                            <pic:blipFill rotWithShape="1">
                              <a:blip r:embed="rId15"/>
                              <a:stretch/>
                            </pic:blipFill>
                            <pic:spPr bwMode="auto">
                              <a:xfrm flipH="0" flipV="0">
                                <a:off x="0" y="0"/>
                                <a:ext cx="5306427" cy="28633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7.83pt;height:225.46pt;mso-wrap-distance-left:0.00pt;mso-wrap-distance-top:0.00pt;mso-wrap-distance-right:0.00pt;mso-wrap-distance-bottom:0.00pt;z-index:1;" stroked="false">
                      <v:imagedata r:id="rId15"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210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16,15</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Vuông vắn</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mặt tiền chính:</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Đông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Thích hợp để ở</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khảo sát công trình gồm: 01 nhà cấp IV, 01 nhà 2 tầng và công trình phụ. Tuy nhiên công trình trên chưa được chứng nhận trên Giấy chứng nhận quyền sử dụng đất số R461077. Do vậy, được sự đồng ý của Ngân hàng, khách hàng, Tổ thẩm định không xá</w:t>
            </w:r>
            <w:r>
              <w:rPr>
                <w:rFonts w:ascii="Times New Roman" w:hAnsi="Times New Roman" w:eastAsia="Times New Roman" w:cs="Times New Roman"/>
                <w:color w:val="000000"/>
                <w:sz w:val="24"/>
              </w:rPr>
              <w:t xml:space="preserve">c định giá trị của công trình xây dựng tuy nhiên vẫn coi công trình là phần không thể tách rời của tài sản thẩm định.</w:t>
            </w:r>
            <w:r/>
          </w:p>
        </w:tc>
      </w:tr>
    </w:tbl>
    <w:p>
      <w:pPr>
        <w:pBdr>
          <w:top w:val="none" w:color="000000" w:sz="4" w:space="0"/>
          <w:left w:val="none" w:color="000000" w:sz="4" w:space="0"/>
          <w:bottom w:val="none" w:color="000000" w:sz="4" w:space="0"/>
          <w:right w:val="none" w:color="000000" w:sz="4" w:space="0"/>
        </w:pBdr>
        <w:spacing w:line="233" w:lineRule="auto"/>
        <w:ind w:right="0" w:firstLine="0" w:left="646"/>
        <w:jc w:val="both"/>
        <w:rPr/>
      </w:pPr>
      <w:r>
        <w:rPr>
          <w:rFonts w:ascii="Times New Roman" w:hAnsi="Times New Roman" w:eastAsia="Times New Roman" w:cs="Times New Roman"/>
          <w:color w:val="000000"/>
          <w:sz w:val="24"/>
          <w:u w:val="none"/>
        </w:rPr>
        <w:t xml:space="preserve"> </w:t>
      </w:r>
      <w:r/>
    </w:p>
    <w:p>
      <w:pPr>
        <w:pBdr>
          <w:top w:val="none" w:color="000000" w:sz="4" w:space="0"/>
          <w:left w:val="none" w:color="000000" w:sz="4" w:space="0"/>
          <w:bottom w:val="none" w:color="000000" w:sz="4" w:space="0"/>
          <w:right w:val="none" w:color="000000" w:sz="4" w:space="0"/>
        </w:pBdr>
        <w:spacing w:line="233" w:lineRule="auto"/>
        <w:ind w:right="0" w:firstLine="0" w:left="646"/>
        <w:jc w:val="both"/>
        <w:rPr/>
      </w:pPr>
      <w:r>
        <w:rPr>
          <w:rFonts w:ascii="Times New Roman" w:hAnsi="Times New Roman" w:eastAsia="Times New Roman" w:cs="Times New Roman"/>
          <w:color w:val="000000"/>
          <w:sz w:val="24"/>
          <w:u w:val="none"/>
        </w:rPr>
        <w:t xml:space="preserve">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highlight w:val="white"/>
        </w:rPr>
        <w:t xml:space="preserve">Bảng ghi chú thay đổi giữa khảo sát thực trạng và pháp lý tài sản:</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highlight w:val="white"/>
        </w:rPr>
        <w:t xml:space="preserve"> </w:t>
      </w:r>
      <w:r/>
    </w:p>
    <w:tbl>
      <w:tblPr>
        <w:tblStyle w:val="86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167"/>
        <w:gridCol w:w="1663"/>
        <w:gridCol w:w="1560"/>
        <w:gridCol w:w="1605"/>
        <w:gridCol w:w="1371"/>
        <w:gridCol w:w="2149"/>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Các yếu tố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Thông tin 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Thông tin khảo sát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Chênh lệch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Nguyên nhân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Địa chỉ trên sổ</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Xã Phong Khê, Thành phố Bắc Ninh, Tỉnh Bắc Ninh </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Xã Phong Khê, Thành phố Bắc Ninh, Tỉnh Bắc Ninh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Địa chỉ thực tế</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Xã Phong Khê, Thành phố Bắc Ninh, Tỉnh Bắc Ninh</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Phường Kinh Bắc, Tỉnh Bắc Ninh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Có</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Thay đổi sau sáp nhập tỉnh</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Pháp lý</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Giấy chứng nhận quyền sử dụng đất, quyền sở hữu nhà ở và tài sản gắn liền với đất</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Giấy chứng nhận quyền sử dụng đất, quyền sở hữu nhà ở và tài sản gắn liền với đất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Loại đất</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Vị trí</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VT4</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VT4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Kết cấu mặt đường</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bê tông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Mặt cắt đường trước nhà</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Cơ sở hạ tầng kỹ thuật</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Hạ tầng khu dân cư thông thường</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Hạ tầng khu dân cư thông thường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Môi trường, an ninh</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Diện tích</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210</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210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Mặt tiền</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16,15</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16.15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Mặt tiếp giáp</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1 mặt tiền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dạng thửa đất</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chữ nhật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Cảnh quan</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View khu dân cư</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View khu dân cư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 có lợi thế kinh doanh</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 có lợi thế kinh doanh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bl>
    <w:p>
      <w:pPr>
        <w:pBdr>
          <w:top w:val="none" w:color="000000" w:sz="4" w:space="0"/>
          <w:left w:val="none" w:color="000000" w:sz="4" w:space="0"/>
          <w:bottom w:val="none" w:color="000000" w:sz="4" w:space="0"/>
          <w:right w:val="none" w:color="000000" w:sz="4" w:space="0"/>
        </w:pBdr>
        <w:spacing w:line="233" w:lineRule="auto"/>
        <w:ind w:right="0" w:firstLine="0" w:left="646"/>
        <w:jc w:val="both"/>
        <w:rPr/>
      </w:pPr>
      <w:r>
        <w:rPr>
          <w:rFonts w:ascii="Times New Roman" w:hAnsi="Times New Roman" w:eastAsia="Times New Roman" w:cs="Times New Roman"/>
          <w:color w:val="000000"/>
          <w:sz w:val="24"/>
          <w:u w:val="none"/>
        </w:rPr>
        <w:t xml:space="preserve"> </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single"/>
        </w:rPr>
        <w:t xml:space="preserve">Các lợi thế thương mại của thửa đất:</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none"/>
        </w:rPr>
        <w:t xml:space="preserve"> </w:t>
      </w:r>
      <w:r/>
    </w:p>
    <w:tbl>
      <w:tblPr>
        <w:tblStyle w:val="860"/>
        <w:tblInd w:w="0" w:type="dxa"/>
        <w:tblW w:w="5000" w:type="pct"/>
        <w:tblCellMar>
          <w:left w:w="0" w:type="dxa"/>
          <w:top w:w="0" w:type="dxa"/>
          <w:right w:w="0" w:type="dxa"/>
          <w:bottom w:w="0" w:type="dxa"/>
        </w:tblCellMa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Look w:val="04A0" w:firstRow="1" w:lastRow="0" w:firstColumn="1" w:lastColumn="0" w:noHBand="0" w:noVBand="1"/>
      </w:tblPr>
      <w:tblGrid>
        <w:gridCol w:w="1020"/>
        <w:gridCol w:w="3742"/>
        <w:gridCol w:w="2381"/>
        <w:gridCol w:w="2381"/>
      </w:tblGrid>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Nội dung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 </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Ghi chú</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Đất/Tài sản bám biển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bám hồ (Diện tích &gt;=5ha thì được coi là hồ)</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Bám đầm, ao lớn thuộc sở hữu nhà nước (ao lớn - S=0.5ha)&lt;5ha</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Thế đất tọa sơn hướng thủy 'hậu tựa núi, trước view sông, hồ, đầm', view thoáng, không bị che khuất, loại đất rất được ưa chuộng nghỉ dưỡng, nhà nghỉ cao cấp</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View hồ sông, sông, suối, đầm, ao lớn (S=0.5ha), ruộng lúa, đồi núi xa, ngắm hoàng hôn, bình minh xa soi mặt nước, thơ mộng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Đường vào thoáng không đâm thẳng cửa chính 'Thế tránh tiễn khí'</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Có yếu tố 'Linh' gắn với tiếng lành, tài lộc, đại danh, văn hóa, truyền thuyết được xem là khu địa linh nhân kiệt</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Đất/tài sản liền kề, đối diện vườn hoa, khu thể thao, bể bơi (không đối diện nhà ở) để được xe hơi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view công viên, vườn hoa, khu thể thao, bể bơi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bl>
    <w:p>
      <w:pPr>
        <w:pBdr>
          <w:top w:val="none" w:color="000000" w:sz="4" w:space="0"/>
          <w:left w:val="none" w:color="000000" w:sz="4" w:space="0"/>
          <w:bottom w:val="none" w:color="000000" w:sz="4" w:space="0"/>
          <w:right w:val="none" w:color="000000" w:sz="4" w:space="0"/>
        </w:pBdr>
        <w:spacing w:line="233" w:lineRule="auto"/>
        <w:ind w:right="0" w:firstLine="0" w:left="646"/>
        <w:jc w:val="both"/>
        <w:rPr/>
      </w:pPr>
      <w:r>
        <w:rPr>
          <w:rFonts w:ascii="Times New Roman" w:hAnsi="Times New Roman" w:eastAsia="Times New Roman" w:cs="Times New Roman"/>
          <w:color w:val="000000"/>
          <w:sz w:val="24"/>
          <w:u w:val="none"/>
        </w:rPr>
        <w:t xml:space="preserve"> </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single"/>
        </w:rPr>
        <w:t xml:space="preserve">Các bất lợi thương mại của thửa đất:</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none"/>
        </w:rPr>
        <w:t xml:space="preserve"> </w:t>
      </w:r>
      <w:r/>
    </w:p>
    <w:tbl>
      <w:tblPr>
        <w:tblStyle w:val="860"/>
        <w:tblInd w:w="0" w:type="dxa"/>
        <w:tblW w:w="5000" w:type="pct"/>
        <w:tblCellMar>
          <w:left w:w="0" w:type="dxa"/>
          <w:top w:w="0" w:type="dxa"/>
          <w:right w:w="0" w:type="dxa"/>
          <w:bottom w:w="0" w:type="dxa"/>
        </w:tblCellMa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Look w:val="04A0" w:firstRow="1" w:lastRow="0" w:firstColumn="1" w:lastColumn="0" w:noHBand="0" w:noVBand="1"/>
      </w:tblPr>
      <w:tblGrid>
        <w:gridCol w:w="1020"/>
        <w:gridCol w:w="3742"/>
        <w:gridCol w:w="2381"/>
        <w:gridCol w:w="2381"/>
      </w:tblGrid>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Nội dung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 </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Ghi chú</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(50m &lt;= 150m)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(150m &lt;= 300m)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(300m &lt;= 500m)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(Miếu thờ cúng tâm linh, đình, đền, chùa…) &lt;= 30m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(Miếu thờ cúng tâm linh, đình, đền, chùa…) (30m &lt;= 100m)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từng là nghĩa trang, khu tâm linh cũ (đền, đình, chùa, miếu mạo…) đã được san lấp làm khu dân cư</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Trên đất/Công trình có mộ không thể hoặc rất khó có khả năng di chuyển (Mộ tổ chi, tộc, mộ cổ, mộ tâm linh gắn với miếu mạo được nhân dân thờ cúng)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Trên đất/ Công trình có mộ gia đình hoặc vô chủ có thể di chuyển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10</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sát khu mộ phần hoặc liền kề mộ phần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Trên đất/ Công trình có điện thờ, nhà thợ họ dòng tộc</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sát hoặc liền kề nhà thờ họ</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gia tộc anh em, họ hàng sống xung quanh chung ngõ đi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Công trình có người tự sát/ án mạng/ tại nạn... bị ảnh hưởng truyền thông Nhẹ “Một vụ tự sát cá biệt không ồn ào, không truyền thông, trong nhà riêng, người Mua/Bán đông ít quan tâm: thị trường ít phản ứng, nếu có phản ứng chỉ là tâm lý tạm thời.”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Công trình có người tự sát/án mạng/ tai nạn... bị ảnh hưởng truyền thông Trung bình “Một vụ tự sát được biết trong khu vực nhưng có ít lời đồn, nhưng có thể che dấu/ khắc phục nhanh (sơn sửa, thay nội thất: phổ biến ở căn hộ chung cư, nhà phố ảnh hưởn</w:t>
            </w:r>
            <w:r>
              <w:rPr>
                <w:rFonts w:ascii="Times New Roman" w:hAnsi="Times New Roman" w:eastAsia="Times New Roman" w:cs="Times New Roman"/>
                <w:color w:val="000000"/>
                <w:sz w:val="24"/>
              </w:rPr>
              <w:t xml:space="preserve">g của nó giảm theo thời gian”.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Công trình có người tự sát/án mạng/ tai nạn... bị ảnh hưởng truyền thông Mạnh “Vụ có yếu tố bạo lực, hoặc được đăng báo địa phương; khu dân cư tỏ ra e ngại; mua ở chịu ảnh hưởng. Mức này thường dùng khi có giao dịch thực tế cho thấy có sự kiện bị bán </w:t>
            </w:r>
            <w:r>
              <w:rPr>
                <w:rFonts w:ascii="Times New Roman" w:hAnsi="Times New Roman" w:eastAsia="Times New Roman" w:cs="Times New Roman"/>
                <w:color w:val="000000"/>
                <w:sz w:val="24"/>
              </w:rPr>
              <w:t xml:space="preserve">rẻ hơn”.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Công trình có người tự sát/án mạng/ tai nạn... bị ảnh hưởng truyền thông Rất Mạnh “Vụ nổi tiếng, nhiều truyền thông, nhiều vụ tương tự tại cùng vị trí, hoặc địa điểm mang tính 'tăm tối' (ví dụ: nhiều vụ xảy ra liên tiếp hoặc lời đồn qua nhiều năm có m</w:t>
            </w:r>
            <w:r>
              <w:rPr>
                <w:rFonts w:ascii="Times New Roman" w:hAnsi="Times New Roman" w:eastAsia="Times New Roman" w:cs="Times New Roman"/>
                <w:color w:val="000000"/>
                <w:sz w:val="24"/>
              </w:rPr>
              <w:t xml:space="preserve">a, quỉ, hiện tượng tâm linh nhiều năm. Mức này dẫn tới tài sản rất khó bán thậm trí có thể loại trừ trong so sánh”.</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hoặc liên kế cây xăng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hoặc liên kế trạm thu phát sóng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20</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hoặc liên kế đường dây truyền tải điện cao thế 500 KV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hoặc liên kế đường dây truyền tải điện 220 KV &lt;= 30m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Mặt tiền bị che chắn (có cột điện, trạm biến áp…)</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đường sắt&lt;=50m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Đường vào thẳng tắp như mũi tên đâm thẳng cửa chính “Thế tiễn khí”.</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nằm dưới chân cầu, đường dốc cao (Thế bị xung : Hổ phục, Long phục) xe lao xuống, gió tạt thẳng sát khí, không tụ.</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3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Giao lộ Chữ “T”, bị đường đâm thẳng vào “Thế tiền đao sát”.</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bl>
    <w:p>
      <w:pPr>
        <w:pBdr>
          <w:top w:val="none" w:color="000000" w:sz="4" w:space="0"/>
          <w:left w:val="none" w:color="000000" w:sz="4" w:space="0"/>
          <w:bottom w:val="none" w:color="000000" w:sz="4" w:space="0"/>
          <w:right w:val="none" w:color="000000" w:sz="4" w:space="0"/>
        </w:pBdr>
        <w:spacing w:line="233" w:lineRule="auto"/>
        <w:ind w:right="0" w:firstLine="0" w:left="646"/>
        <w:jc w:val="both"/>
        <w:rPr/>
      </w:pPr>
      <w:r>
        <w:rPr>
          <w:rFonts w:ascii="Times New Roman" w:hAnsi="Times New Roman" w:eastAsia="Times New Roman" w:cs="Times New Roman"/>
          <w:color w:val="000000"/>
          <w:sz w:val="24"/>
          <w:u w:val="none"/>
        </w:rPr>
        <w:t xml:space="preserve"> </w:t>
      </w:r>
      <w:r/>
    </w:p>
    <w:p>
      <w:pPr>
        <w:pBdr>
          <w:top w:val="none" w:color="000000" w:sz="4" w:space="0"/>
          <w:left w:val="none" w:color="000000" w:sz="4" w:space="0"/>
          <w:bottom w:val="none" w:color="000000" w:sz="4" w:space="0"/>
          <w:right w:val="none" w:color="000000" w:sz="4" w:space="0"/>
        </w:pBdr>
        <w:tabs>
          <w:tab w:val="left" w:leader="none" w:pos="993"/>
        </w:tabs>
        <w:spacing w:after="120" w:before="240" w:line="276" w:lineRule="auto"/>
        <w:ind w:right="0" w:firstLine="0" w:left="0"/>
        <w:jc w:val="both"/>
        <w:rPr/>
      </w:pPr>
      <w:r>
        <w:rPr>
          <w:rFonts w:ascii="Times New Roman" w:hAnsi="Times New Roman" w:eastAsia="Times New Roman" w:cs="Times New Roman"/>
          <w:b/>
          <w:color w:val="000000"/>
          <w:sz w:val="24"/>
        </w:rPr>
        <w:t xml:space="preserve">V. CÁC GIẢ THIẾT VÀ GIẢ THIẾT ĐẶC BIỆT</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2"/>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spacing w:val="-2"/>
          <w:sz w:val="24"/>
        </w:rPr>
        <w:t xml:space="preserve"> trừ mọi trách nhiệm phát sinh, liên đới (nếu có) trong trường hợp này.</w:t>
      </w:r>
      <w:r>
        <w:rPr>
          <w:rFonts w:ascii="Times New Roman" w:hAnsi="Times New Roman" w:eastAsia="Times New Roman" w:cs="Times New Roman"/>
          <w:color w:val="000000"/>
          <w:sz w:val="24"/>
        </w:rPr>
        <w:t xml:space="preserve">Công trình gồm: 01 nhà cấp IV, 01 nhà 2 tầng và công trình phụ. Tuy nhiên công trình trên chưa được chứng nhận trên Giấy chứng nhận quyền sử dụng đất số R461077. Do vậy, được sự đồng ý của Ngân hàng, khách hàng, Tổ thẩm định không xác định giá trị của công</w:t>
      </w:r>
      <w:r>
        <w:rPr>
          <w:rFonts w:ascii="Times New Roman" w:hAnsi="Times New Roman" w:eastAsia="Times New Roman" w:cs="Times New Roman"/>
          <w:color w:val="000000"/>
          <w:sz w:val="24"/>
        </w:rPr>
        <w:t xml:space="preserve"> trình xây dựng tuy nhiên vẫn coi công trình là phần không thể tách rời của tài sản thẩm định.</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thẩm định giá</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z w:val="24"/>
        </w:rPr>
        <w:t xml:space="preserve">Giá trị tài sản thẩm định giá được ước tính dựa trên giả định không có bất kỳ yếu tố nào làm cản trở ảnh hưởng đến việc giao dịch bình thường của tài sản trên thị trường.</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color w:val="000000"/>
          <w:sz w:val="24"/>
        </w:rPr>
        <w:t xml:space="preserve">VI. CƠ SỞ GIÁ TRỊ THẨM ĐỊNH GIÁ</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b/>
          <w:color w:val="000000"/>
          <w:sz w:val="24"/>
        </w:rPr>
        <w:t xml:space="preserve">Giá trị thị trường:</w:t>
      </w:r>
      <w:r>
        <w:rPr>
          <w:rFonts w:ascii="Times New Roman" w:hAnsi="Times New Roman" w:eastAsia="Times New Roman" w:cs="Times New Roman"/>
          <w:color w:val="000000"/>
          <w:sz w:val="24"/>
        </w:rPr>
        <w:t xml:space="preserve"> Kết quả thẩm định giá trị tài sản được xác định dựa trên cơ sở giá trị thị trường tại thời điểm thẩm định theo Chuẩn mực thẩm định giá Việt Nam về Cơ sở giá trị thẩm định giá: </w:t>
      </w:r>
      <w:r>
        <w:rPr>
          <w:rFonts w:ascii="Times New Roman" w:hAnsi="Times New Roman" w:eastAsia="Times New Roman" w:cs="Times New Roman"/>
          <w:i/>
          <w:color w:val="000000"/>
          <w:sz w:val="24"/>
        </w:rPr>
        <w:t xml:space="preserve">“Giá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w:t>
      </w:r>
      <w:r>
        <w:rPr>
          <w:rFonts w:ascii="Times New Roman" w:hAnsi="Times New Roman" w:eastAsia="Times New Roman" w:cs="Times New Roman"/>
          <w:i/>
          <w:color w:val="000000"/>
          <w:sz w:val="24"/>
        </w:rPr>
        <w:t xml:space="preserve">u biết, thận trọng và không bị ép buộc”</w:t>
      </w: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VII. CÁCH TIẾP CẬN, PHƯƠNG PHÁP THẨM ĐỊNH GIÁ</w:t>
      </w: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Cách tiếp cận và phương pháp thẩm định:</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rPr>
        <w:t xml:space="preserve">Cách tiếp cận từ thị trường: </w:t>
      </w:r>
      <w:r>
        <w:rPr>
          <w:rFonts w:ascii="Times New Roman" w:hAnsi="Times New Roman" w:eastAsia="Times New Roman" w:cs="Times New Roman"/>
          <w:color w:val="000000"/>
          <w:sz w:val="24"/>
        </w:rPr>
        <w:t xml:space="preserve">Xác định giá trị của tài sản thẩm định giá thông qua việc so sánh tài sản thẩm định giá với các tài sản so sánh đã có các thông tin về giá trên thị trường.</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rPr>
        <w:t xml:space="preserve">Phương pháp so sánh:</w:t>
      </w:r>
      <w:r>
        <w:rPr>
          <w:rFonts w:ascii="Times New Roman" w:hAnsi="Times New Roman" w:eastAsia="Times New Roman" w:cs="Times New Roman"/>
          <w:color w:val="000000"/>
          <w:sz w:val="24"/>
        </w:rPr>
        <w:t xml:space="preserve"> Xác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w:t>
      </w:r>
      <w:r>
        <w:rPr>
          <w:rFonts w:ascii="Times New Roman" w:hAnsi="Times New Roman" w:eastAsia="Times New Roman" w:cs="Times New Roman"/>
          <w:color w:val="000000"/>
          <w:sz w:val="24"/>
        </w:rPr>
        <w:t xml:space="preserve">nh giá.</w:t>
      </w:r>
      <w:r/>
    </w:p>
    <w:p>
      <w:pPr>
        <w:numPr>
          <w:ilvl w:val="0"/>
          <w:numId w:val="42"/>
        </w:numPr>
        <w:pBdr>
          <w:top w:val="none" w:color="000000" w:sz="4" w:space="0"/>
          <w:left w:val="none" w:color="000000" w:sz="4" w:space="0"/>
          <w:bottom w:val="none" w:color="000000" w:sz="4" w:space="0"/>
          <w:right w:val="none" w:color="000000" w:sz="4" w:space="0"/>
        </w:pBdr>
        <w:spacing w:after="60" w:before="60" w:line="276" w:lineRule="auto"/>
        <w:ind/>
        <w:jc w:val="both"/>
        <w:rPr/>
      </w:pPr>
      <w:r>
        <w:rPr>
          <w:rFonts w:ascii="Times New Roman" w:hAnsi="Times New Roman" w:eastAsia="Times New Roman" w:cs="Times New Roman"/>
          <w:i/>
          <w:color w:val="000000"/>
          <w:sz w:val="24"/>
        </w:rPr>
        <w:t xml:space="preserve">Cách tiếp cận từ chi phí: </w:t>
      </w:r>
      <w:r>
        <w:rPr>
          <w:rFonts w:ascii="Times New Roman" w:hAnsi="Times New Roman" w:eastAsia="Times New Roman" w:cs="Times New Roman"/>
          <w:color w:val="000000"/>
          <w:sz w:val="24"/>
        </w:rPr>
        <w:t xml:space="preserve">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i/>
          <w:color w:val="000000"/>
          <w:sz w:val="24"/>
        </w:rPr>
        <w:t xml:space="preserve">Phương pháp chi phí thay thế:</w:t>
      </w:r>
      <w:r>
        <w:rPr>
          <w:rFonts w:ascii="Times New Roman" w:hAnsi="Times New Roman" w:eastAsia="Times New Roman" w:cs="Times New Roman"/>
          <w:color w:val="000000"/>
          <w:sz w:val="24"/>
        </w:rPr>
        <w:t xml:space="preserve"> Là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w:t>
      </w:r>
      <w:r>
        <w:rPr>
          <w:rFonts w:ascii="Times New Roman" w:hAnsi="Times New Roman" w:eastAsia="Times New Roman" w:cs="Times New Roman"/>
          <w:color w:val="000000"/>
          <w:sz w:val="24"/>
        </w:rPr>
        <w:t xml:space="preserve">tài sản thẩm định giá</w:t>
      </w:r>
      <w:r>
        <w:rPr>
          <w:rFonts w:ascii="Times New Roman" w:hAnsi="Times New Roman" w:eastAsia="Times New Roman" w:cs="Times New Roman"/>
          <w:color w:val="000000"/>
          <w:spacing w:val="-2"/>
          <w:sz w:val="24"/>
        </w:rPr>
        <w:t xml:space="preserve">.</w:t>
      </w: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cách tiếp cận và phương pháp đối với tài sản thẩm định giá:</w:t>
      </w:r>
      <w:r/>
    </w:p>
    <w:p>
      <w:pPr>
        <w:numPr>
          <w:ilvl w:val="0"/>
          <w:numId w:val="42"/>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pacing w:val="-4"/>
          <w:sz w:val="24"/>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 giá trị quyền sử dụng</w:t>
      </w:r>
      <w:r>
        <w:rPr>
          <w:rFonts w:ascii="Times New Roman" w:hAnsi="Times New Roman" w:eastAsia="Times New Roman" w:cs="Times New Roman"/>
          <w:color w:val="000000"/>
          <w:spacing w:val="-4"/>
          <w:sz w:val="24"/>
        </w:rPr>
        <w:t xml:space="preserve"> đất của tài sản thẩm định giá.</w:t>
      </w:r>
      <w:r/>
    </w:p>
    <w:p>
      <w:pPr>
        <w:numPr>
          <w:ilvl w:val="0"/>
          <w:numId w:val="42"/>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pacing w:val="-4"/>
          <w:sz w:val="24"/>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w:t>
      </w:r>
      <w:r>
        <w:rPr>
          <w:rFonts w:ascii="Times New Roman" w:hAnsi="Times New Roman" w:eastAsia="Times New Roman" w:cs="Times New Roman"/>
          <w:color w:val="000000"/>
          <w:spacing w:val="-4"/>
          <w:sz w:val="24"/>
        </w:rPr>
        <w:t xml:space="preserve">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w:t>
      </w:r>
      <w:r>
        <w:rPr>
          <w:rFonts w:ascii="Times New Roman" w:hAnsi="Times New Roman" w:eastAsia="Times New Roman" w:cs="Times New Roman"/>
          <w:color w:val="000000"/>
          <w:spacing w:val="-4"/>
          <w:sz w:val="24"/>
        </w:rPr>
        <w:t xml:space="preserve">ổ thẩm định sử dụng cách tiếp cận từ chi phí (phương pháp chi phí thay thế) để xác định giá trị công trình gắn liền trên đất của tài sản so sánh và tài sản thẩm định</w:t>
      </w:r>
      <w:r>
        <w:rPr>
          <w:rFonts w:ascii="Times New Roman" w:hAnsi="Times New Roman" w:eastAsia="Times New Roman" w:cs="Times New Roman"/>
          <w:color w:val="000000"/>
          <w:spacing w:val="-2"/>
          <w:sz w:val="24"/>
        </w:rPr>
        <w:t xml:space="preserve">.</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VIII. GIÁ TRỊ TÀI SẢN THẨM ĐỊNH</w:t>
      </w: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đơn giá quyền sử dụng đất:</w:t>
      </w:r>
      <w:r/>
    </w:p>
    <w:p>
      <w:pPr>
        <w:pBdr>
          <w:top w:val="none" w:color="000000" w:sz="4" w:space="0"/>
          <w:left w:val="none" w:color="000000" w:sz="4" w:space="0"/>
          <w:bottom w:val="none" w:color="000000" w:sz="4" w:space="0"/>
          <w:right w:val="none" w:color="000000" w:sz="4" w:space="0"/>
        </w:pBdr>
        <w:spacing w:after="120" w:before="120" w:line="276" w:lineRule="auto"/>
        <w:ind w:right="0" w:firstLine="357"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p>
    <w:p>
      <w:pPr>
        <w:numPr>
          <w:ilvl w:val="0"/>
          <w:numId w:val="43"/>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p>
    <w:tbl>
      <w:tblPr>
        <w:tblStyle w:val="860"/>
        <w:tblInd w:w="-184" w:type="dxa"/>
        <w:tblW w:w="515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78"/>
        <w:gridCol w:w="1998"/>
        <w:gridCol w:w="1728"/>
        <w:gridCol w:w="1728"/>
        <w:gridCol w:w="1800"/>
        <w:gridCol w:w="1710"/>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78" w:type="dxa"/>
            <w:vAlign w:val="top"/>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98" w:type="dxa"/>
            <w:vAlign w:val="top"/>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28" w:type="dxa"/>
            <w:vAlign w:val="top"/>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28" w:type="dxa"/>
            <w:vAlign w:val="top"/>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00" w:type="dxa"/>
            <w:vAlign w:val="top"/>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b/>
                <w:color w:val="000000"/>
                <w:sz w:val="22"/>
              </w:rPr>
              <w:t xml:space="preserve">TSSS3</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top"/>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998" w:type="dxa"/>
            <w:vAlign w:val="top"/>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728" w:type="dxa"/>
            <w:vAlign w:val="top"/>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top"/>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Arial" w:hAnsi="Arial" w:eastAsia="Arial" w:cs="Arial"/>
                <w:color w:val="0000ff"/>
                <w:sz w:val="22"/>
              </w:rPr>
              <w:t xml:space="preserve"> </w:t>
            </w:r>
            <w:r/>
          </w:p>
        </w:tc>
        <w:tc>
          <w:tcPr>
            <w:tcBorders>
              <w:bottom w:val="single" w:color="000000" w:sz="8" w:space="0"/>
              <w:right w:val="single" w:color="000000" w:sz="8" w:space="0"/>
            </w:tcBorders>
            <w:tcMar>
              <w:left w:w="108" w:type="dxa"/>
              <w:top w:w="0" w:type="dxa"/>
              <w:right w:w="108" w:type="dxa"/>
              <w:bottom w:w="0" w:type="dxa"/>
            </w:tcMar>
            <w:tcW w:w="1800" w:type="dxa"/>
            <w:vAlign w:val="top"/>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Arial" w:hAnsi="Arial" w:eastAsia="Arial" w:cs="Arial"/>
                <w:color w:val="0000ff"/>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Thửa đất số 512,địa chỉ: khu Dương Ổ, phường Yên Phong, Bắc Ninh </w:t>
            </w:r>
            <w:r>
              <w:rPr>
                <w:rFonts w:ascii="Times New Roman" w:hAnsi="Times New Roman" w:eastAsia="Times New Roman" w:cs="Times New Roman"/>
                <w:i/>
                <w:color w:val="000000"/>
                <w:sz w:val="22"/>
              </w:rPr>
              <w:t xml:space="preserve">(Nay phường Võ Cường, Bắc Ninh)</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Khu Dương Ổ, phường Yên Phong, Bắc Ninh (Nay phường Võ Cường, Bắc Ninh)</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Khu Dương Ổ, phường Yên Phong, Bắc Ninh (Nay phường Võ Cường, Bắc Ninh)</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Khu Dương Ổ, phường Yên Phong, Bắc Ninh (Nay phường Võ Cường, Bắc Ninh)</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Arial" w:hAnsi="Arial" w:eastAsia="Arial" w:cs="Arial"/>
                <w:color w:val="0000ff"/>
                <w:sz w:val="22"/>
                <w:u w:val="single"/>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Liên hệ trực tiếp</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Arial" w:hAnsi="Arial" w:eastAsia="Arial" w:cs="Arial"/>
                <w:color w:val="0000ff"/>
                <w:sz w:val="22"/>
                <w:u w:val="single"/>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SĐT: 0928776268</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SĐT: 0395.777.369</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SĐT: 0395.777.369</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Đã bán </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Đang giao dịch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Đang giao dịch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Tháng 12/2025 </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Tháng 12/2025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Tháng 12/2025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Đất ở tại đô thị</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58" w:before="58" w:line="276" w:lineRule="auto"/>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58" w:before="58"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58" w:before="58" w:line="276" w:lineRule="auto"/>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58" w:before="58" w:line="276" w:lineRule="auto"/>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58" w:before="58" w:line="276" w:lineRule="auto"/>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58" w:before="58" w:line="276" w:lineRule="auto"/>
              <w:ind w:right="0" w:firstLine="0" w:left="0"/>
              <w:jc w:val="center"/>
              <w:rPr/>
            </w:pPr>
            <w:r>
              <w:rPr>
                <w:rFonts w:ascii="Times New Roman" w:hAnsi="Times New Roman" w:eastAsia="Times New Roman" w:cs="Times New Roman"/>
                <w:color w:val="000000"/>
                <w:sz w:val="22"/>
              </w:rPr>
              <w:t xml:space="preserve">Lâu dài</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Tiếp giáp ngõ bê tông, cách đường Nguyễn Văn Cừ khoảng 800m.</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Tiếp giáp ngõ bê tông, cách đường Nguyễn Văn Cừ khoảng 1km.</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Tiếp giáp ngõ bê tông, cách đường Nguyễn Văn Cừ khoảng 30m.</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Tiếp giáp ngõ bê tông, cách đường Nguyễn Văn Cừ khoảng 200m.</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Đường tiếp giáp</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1,8m</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2,5m</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5m</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4m</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210</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88</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98</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182</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16,15</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5,00</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4,4</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7,00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1 mặt tiền</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1 mặt tiền</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1 mặt tiền</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1 mặt tiền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Vuông vắn</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Tương đối vuông vắn</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Vuông vắn</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Tương đối vuông vắn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Mặt cắt ngõ nhỏ nhất dẫn đến tài sản</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1,55m</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2,5m</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5m</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4m</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Tốt</w:t>
            </w:r>
            <w:r/>
          </w:p>
        </w:tc>
      </w:tr>
      <w:tr>
        <w:trPr>
          <w:trHeight w:val="474"/>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Đất trống</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Nhà cấp IV</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Đất trống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Số tầng</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Diện tích sàn sử dụng (m²)</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98</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2.800.000.000</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5.500.000.000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58" w:before="58" w:line="276" w:lineRule="auto"/>
              <w:ind w:right="0" w:firstLine="0" w:left="0"/>
              <w:jc w:val="center"/>
              <w:rPr/>
            </w:pPr>
            <w:r>
              <w:rPr>
                <w:rFonts w:ascii="Times New Roman" w:hAnsi="Times New Roman" w:eastAsia="Times New Roman" w:cs="Times New Roman"/>
                <w:color w:val="000000"/>
                <w:sz w:val="22"/>
              </w:rPr>
              <w:t xml:space="preserve">6.600.000.000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2.800.000.000</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4.950.000.000</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5.980.000.000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306.481.819</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Đơn giá xây dựng theo Quyết định số 409/QĐ-BXD của Bộ Xây Dựng (đồng/m²)</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4.467.665</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 Tỷ lệ % CLCL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70%</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b/>
                <w:color w:val="000000"/>
                <w:sz w:val="22"/>
              </w:rPr>
              <w:t xml:space="preserve">2.800.000.000</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b/>
                <w:color w:val="000000"/>
                <w:sz w:val="22"/>
              </w:rPr>
              <w:t xml:space="preserve">4.643.518.181</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b/>
                <w:color w:val="000000"/>
                <w:sz w:val="22"/>
              </w:rPr>
              <w:t xml:space="preserve">5.980.000.000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b/>
                <w:color w:val="000000"/>
                <w:sz w:val="22"/>
              </w:rPr>
              <w:t xml:space="preserve">31.818.182</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b/>
                <w:color w:val="000000"/>
                <w:sz w:val="22"/>
              </w:rPr>
              <w:t xml:space="preserve">47.382.839</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b/>
                <w:color w:val="000000"/>
                <w:sz w:val="22"/>
              </w:rPr>
              <w:t xml:space="preserve">32.857.143</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308"/>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Tương đồng</w:t>
            </w:r>
            <w:r/>
          </w:p>
        </w:tc>
      </w:tr>
      <w:tr>
        <w:trPr>
          <w:trHeight w:val="427"/>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Lợi thế hơn</w:t>
            </w:r>
            <w:r/>
          </w:p>
        </w:tc>
      </w:tr>
      <w:tr>
        <w:trPr>
          <w:trHeight w:val="405"/>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Đường tiếp giáp</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Lợi thế hơn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Kém lợi thế hơn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Kém lợi thế hơn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Tương đồng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Tương đồng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Mặt cắt ngõ nhỏ nhất dẫn đến tài sản</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Lợi thế hơn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58" w:before="58" w:line="276" w:lineRule="auto"/>
              <w:ind w:right="0" w:firstLine="0" w:left="0"/>
              <w:jc w:val="center"/>
              <w:rPr/>
            </w:pPr>
            <w:r>
              <w:rPr>
                <w:rFonts w:ascii="Times New Roman" w:hAnsi="Times New Roman" w:eastAsia="Times New Roman" w:cs="Times New Roman"/>
                <w:color w:val="000000"/>
                <w:sz w:val="22"/>
              </w:rPr>
              <w:t xml:space="preserve">Tương đồng</w:t>
            </w:r>
            <w:r/>
          </w:p>
        </w:tc>
      </w:tr>
    </w:tbl>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pPr>
        <w:numPr>
          <w:ilvl w:val="0"/>
          <w:numId w:val="43"/>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Bảng điều chỉnh:</w:t>
      </w:r>
      <w:r/>
    </w:p>
    <w:tbl>
      <w:tblPr>
        <w:tblStyle w:val="860"/>
        <w:tblInd w:w="0" w:type="dxa"/>
        <w:tblW w:w="5000" w:type="pct"/>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8797"/>
        <w:gridCol w:w="22636"/>
        <w:gridCol w:w="11189"/>
        <w:gridCol w:w="26672"/>
        <w:gridCol w:w="26672"/>
        <w:gridCol w:w="26672"/>
        <w:gridCol w:w="26672"/>
      </w:tblGrid>
      <w:tr>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87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11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TSSS3</w:t>
            </w:r>
            <w:r/>
          </w:p>
        </w:tc>
      </w:tr>
      <w:tr>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87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2.800.000.000</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4.643.518.181</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5.980.000.000</w:t>
            </w:r>
            <w:r/>
          </w:p>
        </w:tc>
      </w:tr>
      <w:tr>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87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31.818.182</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47.382.839</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32.857.143</w:t>
            </w:r>
            <w:r/>
          </w:p>
        </w:tc>
      </w:tr>
      <w:tr>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87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 </w:t>
            </w:r>
            <w:r/>
          </w:p>
        </w:tc>
      </w:tr>
      <w:tr>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879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0,00%</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0 </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31.818.182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47.382.839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32.857.143 </w:t>
            </w:r>
            <w:r/>
          </w:p>
        </w:tc>
      </w:tr>
      <w:tr>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879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Tiếp giáp ngõ bê tông, cách đường Nguyễn Văn Cừ khoảng 800m.</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Tiếp giáp ngõ bê tông, cách đường Nguyễn Văn Cừ khoảng 1km.</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Tiếp giáp ngõ bê tông, cách đường Nguyễn Văn Cừ khoảng 30m.</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Tiếp giáp ngõ bê tông, cách đường Nguyễn Văn Cừ khoảng 200m.</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-5,00%</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-4.738.284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-1.642.857 </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31.818.182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42.644.555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31.214.286 </w:t>
            </w:r>
            <w:r/>
          </w:p>
        </w:tc>
      </w:tr>
      <w:tr>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879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b/>
                <w:color w:val="000000"/>
                <w:sz w:val="22"/>
              </w:rPr>
              <w:t xml:space="preserve">Đường tiếp giáp</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1,8m</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2,5m</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5m</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4m</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-2,00%</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-12,00%</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-12,00%</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-636.364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-5.685.941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-3.942.857 </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31.181.818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36.958.614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27.271.429 </w:t>
            </w:r>
            <w:r/>
          </w:p>
        </w:tc>
      </w:tr>
      <w:tr>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879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210</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88</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98</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182</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-3,00%</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-3.181.818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-4.738.284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-985.714 </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28.000.000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32.220.330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26.285.714 </w:t>
            </w:r>
            <w:r/>
          </w:p>
        </w:tc>
      </w:tr>
      <w:tr>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879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16,15</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4,4</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7</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8,00%</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8,00%</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2.545.455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4.738.284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2.628.571 </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30.545.455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36.958.614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28.914.286 </w:t>
            </w:r>
            <w:r/>
          </w:p>
        </w:tc>
      </w:tr>
      <w:tr>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879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1 mặt tiền</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0,00%</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0 </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30.545.455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36.958.614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28.914.286 </w:t>
            </w:r>
            <w:r/>
          </w:p>
        </w:tc>
      </w:tr>
      <w:tr>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879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Vuông vắn</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Tương đối vuông vắn</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Vuông vắn</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Tương đối vuông vắn</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6,00%</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6,00%</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1.909.091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1.971.429 </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32.454.545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36.958.614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30.885.714 </w:t>
            </w:r>
            <w:r/>
          </w:p>
        </w:tc>
      </w:tr>
      <w:tr>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879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b/>
                <w:color w:val="000000"/>
                <w:sz w:val="22"/>
              </w:rPr>
              <w:t xml:space="preserve">Mặt cắt ngõ nhỏ nhất dẫn đến tài sản</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1,55m</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2,5m</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5m</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4m</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-15,00%</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-1.590.909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-7.107.426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-4.928.571 </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30.863.636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29.851.188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25.957.143 </w:t>
            </w:r>
            <w:r/>
          </w:p>
        </w:tc>
      </w:tr>
      <w:tr>
        <w:trPr>
          <w:trHeight w:val="1016"/>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879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Hệ thống cấp điện, cấp thoát nước đầy đủ.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Hệ thống cấp điện, cấp thoát nước đầy đủ.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Hệ thống cấp điện, cấp thoát nước đầy đủ.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Hệ thống cấp điện, cấp thoát nước đầy đủ. </w:t>
            </w:r>
            <w:r/>
          </w:p>
        </w:tc>
      </w:tr>
      <w:tr>
        <w:trPr>
          <w:trHeight w:val="421"/>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0,00%</w:t>
            </w:r>
            <w:r/>
          </w:p>
        </w:tc>
      </w:tr>
      <w:tr>
        <w:trPr>
          <w:trHeight w:val="413"/>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0 </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30.863.636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29.851.188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25.957.143 </w:t>
            </w:r>
            <w:r/>
          </w:p>
        </w:tc>
      </w:tr>
      <w:tr>
        <w:trPr>
          <w:trHeight w:val="488"/>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879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30.863.636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29.851.188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25.957.143 </w:t>
            </w:r>
            <w:r/>
          </w:p>
        </w:tc>
      </w:tr>
      <w:tr>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879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0" w:type="dxa"/>
              <w:top w:w="0" w:type="dxa"/>
              <w:right w:w="0" w:type="dxa"/>
              <w:bottom w:w="0" w:type="dxa"/>
            </w:tcMar>
            <w:tcW w:w="800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28.890.656 </w:t>
            </w:r>
            <w:r/>
          </w:p>
        </w:tc>
      </w:tr>
      <w:tr>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879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6,8%</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3,3%</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-10,2%</w:t>
            </w:r>
            <w:r/>
          </w:p>
        </w:tc>
      </w:tr>
      <w:tr>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879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 </w:t>
            </w:r>
            <w:r/>
          </w:p>
        </w:tc>
      </w:tr>
      <w:tr>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879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9.863.636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27.008.218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16.100.000 </w:t>
            </w:r>
            <w:r/>
          </w:p>
        </w:tc>
      </w:tr>
      <w:tr>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879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6</w:t>
            </w:r>
            <w:r/>
          </w:p>
        </w:tc>
      </w:tr>
      <w:tr>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879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2% - 10%</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10% - 15%</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3% - 15%</w:t>
            </w:r>
            <w:r/>
          </w:p>
        </w:tc>
      </w:tr>
      <w:tr>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879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0" w:type="dxa"/>
              <w:top w:w="0" w:type="dxa"/>
              <w:right w:w="0" w:type="dxa"/>
              <w:bottom w:w="0" w:type="dxa"/>
            </w:tcMar>
            <w:tcW w:w="22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0" w:type="dxa"/>
              <w:top w:w="0" w:type="dxa"/>
              <w:right w:w="0" w:type="dxa"/>
              <w:bottom w:w="0" w:type="dxa"/>
            </w:tcMar>
            <w:tcW w:w="111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954.545 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17.531.650 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6.900.000  </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i/>
          <w:color w:val="000000"/>
          <w:sz w:val="24"/>
          <w:u w:val="single"/>
        </w:rPr>
        <w:t xml:space="preserve"> </w:t>
      </w:r>
      <w:r>
        <w:rPr>
          <w:rFonts w:ascii="Times New Roman" w:hAnsi="Times New Roman" w:eastAsia="Times New Roman" w:cs="Times New Roman"/>
          <w:b/>
          <w:i/>
          <w:color w:val="000000"/>
          <w:sz w:val="24"/>
          <w:u w:val="single"/>
        </w:rPr>
        <w:t xml:space="preserve">Về nguyên tắc khống chế</w:t>
      </w:r>
      <w:r>
        <w:rPr>
          <w:rFonts w:ascii="Times New Roman" w:hAnsi="Times New Roman" w:eastAsia="Times New Roman" w:cs="Times New Roman"/>
          <w:b/>
          <w:i/>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-10.78% đến  6.8%, đảm bảo không quá 15% (theo Thông tư số 32/2024/TT-BTC ngày 16/5/2024 của Bộ Tài chính).</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i/>
          <w:color w:val="000000"/>
          <w:sz w:val="24"/>
          <w:u w:val="single"/>
        </w:rPr>
        <w:t xml:space="preserve">Về thống nhất mức giá chỉ dẫn:</w:t>
      </w:r>
      <w:r/>
    </w:p>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4"/>
        </w:rPr>
        <w:t xml:space="preserve">Đơn vị tính: Đồng/m²</w:t>
      </w:r>
      <w:r/>
    </w:p>
    <w:tbl>
      <w:tblPr>
        <w:tblStyle w:val="86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23"/>
        <w:gridCol w:w="1900"/>
        <w:gridCol w:w="2358"/>
        <w:gridCol w:w="2160"/>
        <w:gridCol w:w="2250"/>
      </w:tblGrid>
      <w:tr>
        <w:trPr>
          <w:trHeight w:val="9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72" w:before="72" w:line="276" w:lineRule="auto"/>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72" w:before="72" w:line="276" w:lineRule="auto"/>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3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72" w:before="72" w:line="276" w:lineRule="auto"/>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72" w:before="72" w:line="276" w:lineRule="auto"/>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after="72" w:before="72" w:line="276" w:lineRule="auto"/>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8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72" w:before="72" w:line="276" w:lineRule="auto"/>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9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72" w:before="72" w:line="276" w:lineRule="auto"/>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23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72" w:before="72" w:line="276" w:lineRule="auto"/>
              <w:ind w:right="0" w:firstLine="0" w:left="0"/>
              <w:jc w:val="center"/>
              <w:rPr/>
            </w:pPr>
            <w:r>
              <w:rPr>
                <w:rFonts w:ascii="Times New Roman" w:hAnsi="Times New Roman" w:eastAsia="Times New Roman" w:cs="Times New Roman"/>
                <w:color w:val="000000"/>
                <w:sz w:val="24"/>
              </w:rPr>
              <w:t xml:space="preserve">30.863.636</w:t>
            </w:r>
            <w:r/>
          </w:p>
        </w:tc>
        <w:tc>
          <w:tcPr>
            <w:tcBorders>
              <w:bottom w:val="single" w:color="000000" w:sz="8" w:space="0"/>
              <w:right w:val="single" w:color="000000" w:sz="8"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72" w:before="72" w:line="276" w:lineRule="auto"/>
              <w:ind w:right="0" w:firstLine="0" w:left="0"/>
              <w:jc w:val="center"/>
              <w:rPr/>
            </w:pPr>
            <w:r>
              <w:rPr>
                <w:rFonts w:ascii="Times New Roman" w:hAnsi="Times New Roman" w:eastAsia="Times New Roman" w:cs="Times New Roman"/>
                <w:color w:val="000000"/>
                <w:sz w:val="24"/>
              </w:rPr>
              <w:t xml:space="preserve">35%</w:t>
            </w:r>
            <w:r/>
          </w:p>
        </w:tc>
        <w:tc>
          <w:tcPr>
            <w:tcBorders>
              <w:bottom w:val="single" w:color="000000" w:sz="8" w:space="0"/>
              <w:right w:val="single" w:color="000000" w:sz="8"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after="72" w:before="72" w:line="276" w:lineRule="auto"/>
              <w:ind w:right="0" w:firstLine="0" w:left="0"/>
              <w:jc w:val="center"/>
              <w:rPr/>
            </w:pPr>
            <w:r>
              <w:rPr>
                <w:rFonts w:ascii="Times New Roman" w:hAnsi="Times New Roman" w:eastAsia="Times New Roman" w:cs="Times New Roman"/>
                <w:color w:val="000000"/>
                <w:sz w:val="24"/>
              </w:rPr>
              <w:t xml:space="preserve">10.802.273</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8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72" w:before="72" w:line="276" w:lineRule="auto"/>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9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72" w:before="72" w:line="276" w:lineRule="auto"/>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23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72" w:before="72" w:line="276" w:lineRule="auto"/>
              <w:ind w:right="0" w:firstLine="0" w:left="0"/>
              <w:jc w:val="center"/>
              <w:rPr/>
            </w:pPr>
            <w:r>
              <w:rPr>
                <w:rFonts w:ascii="Times New Roman" w:hAnsi="Times New Roman" w:eastAsia="Times New Roman" w:cs="Times New Roman"/>
                <w:color w:val="000000"/>
                <w:sz w:val="24"/>
              </w:rPr>
              <w:t xml:space="preserve">29.851.188</w:t>
            </w:r>
            <w:r/>
          </w:p>
        </w:tc>
        <w:tc>
          <w:tcPr>
            <w:tcBorders>
              <w:bottom w:val="single" w:color="000000" w:sz="8" w:space="0"/>
              <w:right w:val="single" w:color="000000" w:sz="8"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72" w:before="72" w:line="276" w:lineRule="auto"/>
              <w:ind w:right="0" w:firstLine="0" w:left="0"/>
              <w:jc w:val="center"/>
              <w:rPr/>
            </w:pPr>
            <w:r>
              <w:rPr>
                <w:rFonts w:ascii="Times New Roman" w:hAnsi="Times New Roman" w:eastAsia="Times New Roman" w:cs="Times New Roman"/>
                <w:color w:val="000000"/>
                <w:sz w:val="24"/>
              </w:rPr>
              <w:t xml:space="preserve">35%</w:t>
            </w:r>
            <w:r/>
          </w:p>
        </w:tc>
        <w:tc>
          <w:tcPr>
            <w:tcBorders>
              <w:bottom w:val="single" w:color="000000" w:sz="8" w:space="0"/>
              <w:right w:val="single" w:color="000000" w:sz="8"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after="72" w:before="72" w:line="276" w:lineRule="auto"/>
              <w:ind w:right="0" w:firstLine="0" w:left="0"/>
              <w:jc w:val="center"/>
              <w:rPr/>
            </w:pPr>
            <w:r>
              <w:rPr>
                <w:rFonts w:ascii="Times New Roman" w:hAnsi="Times New Roman" w:eastAsia="Times New Roman" w:cs="Times New Roman"/>
                <w:color w:val="000000"/>
                <w:sz w:val="24"/>
              </w:rPr>
              <w:t xml:space="preserve">10.447.916</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8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72" w:before="72" w:line="276" w:lineRule="auto"/>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9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72" w:before="72" w:line="276" w:lineRule="auto"/>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23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72" w:before="72" w:line="276" w:lineRule="auto"/>
              <w:ind w:right="0" w:firstLine="0" w:left="0"/>
              <w:jc w:val="center"/>
              <w:rPr/>
            </w:pPr>
            <w:r>
              <w:rPr>
                <w:rFonts w:ascii="Times New Roman" w:hAnsi="Times New Roman" w:eastAsia="Times New Roman" w:cs="Times New Roman"/>
                <w:color w:val="000000"/>
                <w:sz w:val="24"/>
              </w:rPr>
              <w:t xml:space="preserve">25.957.143</w:t>
            </w:r>
            <w:r/>
          </w:p>
        </w:tc>
        <w:tc>
          <w:tcPr>
            <w:tcBorders>
              <w:bottom w:val="single" w:color="000000" w:sz="8" w:space="0"/>
              <w:right w:val="single" w:color="000000" w:sz="8" w:space="0"/>
            </w:tcBorders>
            <w:tcMar>
              <w:left w:w="108" w:type="dxa"/>
              <w:top w:w="0" w:type="dxa"/>
              <w:right w:w="108" w:type="dxa"/>
              <w:bottom w:w="0" w:type="dxa"/>
            </w:tcMar>
            <w:tcW w:w="21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72" w:before="72" w:line="276" w:lineRule="auto"/>
              <w:ind w:right="0" w:firstLine="0" w:left="0"/>
              <w:jc w:val="center"/>
              <w:rPr/>
            </w:pPr>
            <w:r>
              <w:rPr>
                <w:rFonts w:ascii="Times New Roman" w:hAnsi="Times New Roman" w:eastAsia="Times New Roman" w:cs="Times New Roman"/>
                <w:color w:val="000000"/>
                <w:sz w:val="24"/>
              </w:rPr>
              <w:t xml:space="preserve">30%</w:t>
            </w:r>
            <w:r/>
          </w:p>
        </w:tc>
        <w:tc>
          <w:tcPr>
            <w:tcBorders>
              <w:bottom w:val="single" w:color="000000" w:sz="8" w:space="0"/>
              <w:right w:val="single" w:color="000000" w:sz="8"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after="72" w:before="72" w:line="276" w:lineRule="auto"/>
              <w:ind w:right="0" w:firstLine="0" w:left="0"/>
              <w:jc w:val="center"/>
              <w:rPr/>
            </w:pPr>
            <w:r>
              <w:rPr>
                <w:rFonts w:ascii="Times New Roman" w:hAnsi="Times New Roman" w:eastAsia="Times New Roman" w:cs="Times New Roman"/>
                <w:color w:val="000000"/>
                <w:sz w:val="24"/>
              </w:rPr>
              <w:t xml:space="preserve">7.787.143</w:t>
            </w:r>
            <w:r/>
          </w:p>
        </w:tc>
      </w:tr>
      <w:tr>
        <w:trPr>
          <w:trHeight w:val="31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2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72" w:before="72" w:line="276" w:lineRule="auto"/>
              <w:ind w:right="0" w:firstLine="0" w:left="0"/>
              <w:jc w:val="center"/>
              <w:rPr/>
            </w:pPr>
            <w:r>
              <w:rPr>
                <w:rFonts w:ascii="Times New Roman" w:hAnsi="Times New Roman" w:eastAsia="Times New Roman" w:cs="Times New Roman"/>
                <w:b/>
                <w:color w:val="000000"/>
                <w:sz w:val="24"/>
              </w:rPr>
              <w:t xml:space="preserve">Bình quân</w:t>
            </w:r>
            <w:r/>
          </w:p>
        </w:tc>
        <w:tc>
          <w:tcPr>
            <w:tcBorders>
              <w:bottom w:val="single" w:color="000000" w:sz="8" w:space="0"/>
              <w:right w:val="single" w:color="000000" w:sz="8"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after="72" w:before="72" w:line="276" w:lineRule="auto"/>
              <w:ind w:right="0" w:firstLine="0" w:left="0"/>
              <w:jc w:val="center"/>
              <w:rPr/>
            </w:pPr>
            <w:r>
              <w:rPr>
                <w:rFonts w:ascii="Times New Roman" w:hAnsi="Times New Roman" w:eastAsia="Times New Roman" w:cs="Times New Roman"/>
                <w:b/>
                <w:color w:val="000000"/>
                <w:sz w:val="24"/>
              </w:rPr>
              <w:t xml:space="preserve">29.037.331</w:t>
            </w:r>
            <w:r/>
          </w:p>
        </w:tc>
      </w:tr>
      <w:tr>
        <w:trPr>
          <w:trHeight w:val="30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2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72" w:before="72" w:line="276"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250" w:type="dxa"/>
            <w:vAlign w:val="center"/>
            <w:textDirection w:val="lrTb"/>
            <w:noWrap w:val="false"/>
          </w:tcPr>
          <w:p>
            <w:pPr>
              <w:pBdr>
                <w:top w:val="none" w:color="000000" w:sz="4" w:space="0"/>
                <w:left w:val="none" w:color="000000" w:sz="4" w:space="0"/>
                <w:bottom w:val="none" w:color="000000" w:sz="4" w:space="0"/>
                <w:right w:val="none" w:color="000000" w:sz="4" w:space="0"/>
              </w:pBdr>
              <w:spacing w:after="72" w:before="72" w:line="276" w:lineRule="auto"/>
              <w:ind w:right="0" w:firstLine="0" w:left="0"/>
              <w:jc w:val="center"/>
              <w:rPr/>
            </w:pPr>
            <w:r>
              <w:rPr>
                <w:rFonts w:ascii="Times New Roman" w:hAnsi="Times New Roman" w:eastAsia="Times New Roman" w:cs="Times New Roman"/>
                <w:b/>
                <w:color w:val="000000"/>
                <w:sz w:val="24"/>
              </w:rPr>
              <w:t xml:space="preserve">29.000.000</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tương ứng là: </w:t>
      </w:r>
      <w:r>
        <w:rPr>
          <w:rFonts w:ascii="Times New Roman" w:hAnsi="Times New Roman" w:eastAsia="Times New Roman" w:cs="Times New Roman"/>
          <w:b/>
          <w:color w:val="000000"/>
          <w:sz w:val="24"/>
        </w:rPr>
        <w:t xml:space="preserve">29.000.000 đồng/m².</w:t>
      </w: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Kết quả thẩm định giá:</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Dựa trên các lập luận trên, Tổ thẩm định ước tính giá trị tài sản thẩm định giá chưa bao gồm các loại thuế, phí và lệ phí liên quan đến việc chuyển nhượng tài sản tại thời điểm thẩm định giá Tháng 01/2026 ước tính như sau:</w:t>
      </w:r>
      <w:r/>
    </w:p>
    <w:tbl>
      <w:tblPr>
        <w:tblStyle w:val="860"/>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905"/>
        <w:gridCol w:w="1905"/>
        <w:gridCol w:w="1905"/>
        <w:gridCol w:w="1905"/>
        <w:gridCol w:w="1905"/>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57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b/>
                <w:color w:val="000000"/>
                <w:sz w:val="24"/>
              </w:rPr>
              <w:t xml:space="preserve">Giá trị quyền sử dụng đất tại thửa đất số 512, có địa chỉ Xã Phong Khê, Thành phố Bắc Ninh, Tỉnh Bắc Ninh (Nay là phường Võ Cường, thành phố Bắc Ninh) theo Giấy chứng nhận quyền sửu dụng đất số R461077, vào sổ cấp GCN Quyền sử dụng đất số 00177/QSDĐ/1201do</w:t>
            </w:r>
            <w:r>
              <w:rPr>
                <w:rFonts w:ascii="Times New Roman" w:hAnsi="Times New Roman" w:eastAsia="Times New Roman" w:cs="Times New Roman"/>
                <w:b/>
                <w:color w:val="000000"/>
                <w:sz w:val="24"/>
              </w:rPr>
              <w:t xml:space="preserve"> UBND huyện Yên Phong cấp 10/10/2002 chủ sử dụng đất ông Nguyễn Văn Vương (cập nhật ngày 21/01/2019).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29.000.000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6.090.000.000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62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4"/>
              </w:rPr>
              <w:t xml:space="preserve">6.090.000.000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62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6.090.000.000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95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(Bằng chữ: Sáu tỷ, không trăm chín mươi triệu đồng./.)</w:t>
            </w:r>
            <w:r/>
          </w:p>
        </w:tc>
      </w:tr>
    </w:tbl>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IX. THỜI HẠN HIỆU LỰC CỦA KẾT QUẢ THẨM ĐỊNH GIÁ</w:t>
      </w: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Tối đa 06 (sáu) tháng tính từ ngày ký đối với tài sản là Bất động sản.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right="0" w:firstLine="0" w:left="0"/>
        <w:jc w:val="both"/>
        <w:rPr/>
      </w:pPr>
      <w:r>
        <w:rPr>
          <w:rFonts w:ascii="Times New Roman" w:hAnsi="Times New Roman" w:eastAsia="Times New Roman" w:cs="Times New Roman"/>
          <w:b/>
          <w:color w:val="000000"/>
          <w:spacing w:val="-4"/>
          <w:sz w:val="24"/>
        </w:rPr>
        <w:t xml:space="preserve">X. TUYÊN BỐ CHUNG VÀ MIỄN TRỪ TRÁCH NHIỆM</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z w:val="24"/>
        </w:rPr>
        <w:t xml:space="preserve">Công ty Cổ phần Thẩm định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z w:val="24"/>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w:t>
      </w:r>
      <w:r>
        <w:rPr>
          <w:rFonts w:ascii="Times New Roman" w:hAnsi="Times New Roman" w:eastAsia="Times New Roman" w:cs="Times New Roman"/>
          <w:color w:val="000000"/>
          <w:sz w:val="24"/>
        </w:rPr>
        <w:t xml:space="preserve">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z w:val="24"/>
        </w:rPr>
        <w:t xml:space="preserve">Chứng thư, Báo cáo này được soạn thảo theo Hợp đồng được ký kết và tuân theo các điều khoản được nêu trong Hợp đồng. Chứng thư, báo cáo này chỉ nhằm phục vụ cho mục đích sử dụng được nêu trong Báo cáo và không nhằm mục đích sử dụng cho bất kỳ bên nào khác </w:t>
      </w:r>
      <w:r>
        <w:rPr>
          <w:rFonts w:ascii="Times New Roman" w:hAnsi="Times New Roman" w:eastAsia="Times New Roman" w:cs="Times New Roman"/>
          <w:color w:val="000000"/>
          <w:sz w:val="24"/>
        </w:rPr>
        <w:t xml:space="preserve">không được đề cập đến trong Hợp đồng (gọi tắt là “các bên liên quan”).</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z w:val="24"/>
        </w:rPr>
        <w:t xml:space="preserve">Các bên liên quan khi đọc và thực hiện sử dụng sản phẩm tư vấn này, tức là đã chấp nhận và đồng ý với những điều khoản sau:</w:t>
      </w:r>
      <w:r/>
    </w:p>
    <w:p>
      <w:pPr>
        <w:numPr>
          <w:ilvl w:val="0"/>
          <w:numId w:val="39"/>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w:t>
      </w:r>
      <w:r>
        <w:rPr>
          <w:rFonts w:ascii="Times New Roman" w:hAnsi="Times New Roman" w:eastAsia="Times New Roman" w:cs="Times New Roman"/>
          <w:color w:val="000000"/>
          <w:sz w:val="24"/>
        </w:rPr>
        <w:t xml:space="preserve">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w:t>
      </w:r>
      <w:r>
        <w:rPr>
          <w:rFonts w:ascii="Times New Roman" w:hAnsi="Times New Roman" w:eastAsia="Times New Roman" w:cs="Times New Roman"/>
          <w:color w:val="000000"/>
          <w:sz w:val="24"/>
        </w:rPr>
        <w:t xml:space="preserve">kỳ mục đích nào thì mọi trách nhiệm có liên quan đều thuộc Quý Khách hàng và các bên liên quan đó tham gia vào các giao dịch có liên quan.</w:t>
      </w:r>
      <w:r/>
    </w:p>
    <w:p>
      <w:pPr>
        <w:numPr>
          <w:ilvl w:val="0"/>
          <w:numId w:val="39"/>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w:t>
      </w:r>
      <w:r>
        <w:rPr>
          <w:rFonts w:ascii="Times New Roman" w:hAnsi="Times New Roman" w:eastAsia="Times New Roman" w:cs="Times New Roman"/>
          <w:color w:val="000000"/>
          <w:sz w:val="24"/>
        </w:rPr>
        <w:t xml:space="preserve">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w:t>
      </w:r>
      <w:r>
        <w:rPr>
          <w:rFonts w:ascii="Times New Roman" w:hAnsi="Times New Roman" w:eastAsia="Times New Roman" w:cs="Times New Roman"/>
          <w:color w:val="000000"/>
          <w:sz w:val="24"/>
        </w:rPr>
        <w:t xml:space="preserve">n của các bên liên quan, hoặc do hậu quả của việc cung cấp Chứng thư, Báo cáo cho các bên liên quan.</w:t>
      </w:r>
      <w:r/>
    </w:p>
    <w:p>
      <w:pPr>
        <w:numPr>
          <w:ilvl w:val="0"/>
          <w:numId w:val="39"/>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w:t>
      </w:r>
      <w:r>
        <w:rPr>
          <w:rFonts w:ascii="Times New Roman" w:hAnsi="Times New Roman" w:eastAsia="Times New Roman" w:cs="Times New Roman"/>
          <w:color w:val="000000"/>
          <w:sz w:val="24"/>
        </w:rPr>
        <w:t xml:space="preserve">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w:t>
      </w:r>
      <w:r>
        <w:rPr>
          <w:rFonts w:ascii="Times New Roman" w:hAnsi="Times New Roman" w:eastAsia="Times New Roman" w:cs="Times New Roman"/>
          <w:color w:val="000000"/>
          <w:sz w:val="24"/>
        </w:rPr>
        <w:t xml:space="preserve">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w:t>
      </w:r>
      <w:r>
        <w:rPr>
          <w:rFonts w:ascii="Times New Roman" w:hAnsi="Times New Roman" w:eastAsia="Times New Roman" w:cs="Times New Roman"/>
          <w:color w:val="000000"/>
          <w:sz w:val="24"/>
        </w:rPr>
        <w:t xml:space="preserve">gây tổn hại đến danh dự, trách nhiệm pháp lý, nghĩa vụ kinh tế… của các cá nhân và tập thể Lotus VFI.</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right="0" w:firstLine="0" w:left="0"/>
        <w:jc w:val="both"/>
        <w:rPr/>
      </w:pPr>
      <w:r>
        <w:rPr>
          <w:rFonts w:ascii="Times New Roman" w:hAnsi="Times New Roman" w:eastAsia="Times New Roman" w:cs="Times New Roman"/>
          <w:b/>
          <w:color w:val="000000"/>
          <w:spacing w:val="-4"/>
          <w:sz w:val="24"/>
        </w:rPr>
        <w:t xml:space="preserve">XI. NHỮNG ĐIỀU KHOẢN LOẠI TRỪ VÀ HẠN CHẾ CỦA KẾT QUẢ THẨM ĐỊNH GIÁ</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z w:val="24"/>
        </w:rPr>
        <w:t xml:space="preserve">Chứng thư này chỉ được cung cấp theo yêu cầu của khách hàng. Chỉ bản chính và bản sao Chứng thư thẩm định giá do Công ty Cổ phần Thẩm định và Đầu tư Tài chính Hoa Sen cấp mới có giá trị. Mọi hành vi sử dụng bản sao Chứng thư/Báo cáo kết quả thẩm định giá m</w:t>
      </w:r>
      <w:r>
        <w:rPr>
          <w:rFonts w:ascii="Times New Roman" w:hAnsi="Times New Roman" w:eastAsia="Times New Roman" w:cs="Times New Roman"/>
          <w:color w:val="000000"/>
          <w:sz w:val="24"/>
        </w:rPr>
        <w:t xml:space="preserve">à không có xác nhận của Công ty Cổ phần Thẩm định và Đầu tư Tài chính Hoa Sen đều vi phạm pháp luật và không có giá trị.</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z w:val="24"/>
        </w:rPr>
        <w:t xml:space="preserve">Kết quả thẩm định giá trên chỉ xác nhận khi khách hàng hoàn tất các thủ tục pháp lý và nghĩa vụ tài chính liên quan đến tài sản thẩm định theo quy định của pháp luật hiện hành.</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z w:val="24"/>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z w:val="24"/>
        </w:rPr>
        <w:t xml:space="preserve">Các phương pháp tính toán trên cơ sở tài liệu được cung cấp bởi khách hàng và dựa trên các tài liệu khác có liên quan do tổ thẩm định thu thập, cũng như các điều kiện và kỳ vọng tại thời điểm thẩm định giá phù hợp với các luật định, chính sách quản lý của </w:t>
      </w:r>
      <w:r>
        <w:rPr>
          <w:rFonts w:ascii="Times New Roman" w:hAnsi="Times New Roman" w:eastAsia="Times New Roman" w:cs="Times New Roman"/>
          <w:color w:val="000000"/>
          <w:sz w:val="24"/>
        </w:rPr>
        <w:t xml:space="preserve">Nhà nước hiện hành và các điều kiện, giả định theo quan điểm hợp lý của tổ thẩm định kèm theo báo cáo này. Một số vấn đề, sự kiện tương lai không có khả năng tính toán chính xác, hoặc nằm ngoài phạm vi chuyên môn nên cần vận dụng các giả định cho việc thẩm</w:t>
      </w:r>
      <w:r>
        <w:rPr>
          <w:rFonts w:ascii="Times New Roman" w:hAnsi="Times New Roman" w:eastAsia="Times New Roman" w:cs="Times New Roman"/>
          <w:color w:val="000000"/>
          <w:sz w:val="24"/>
        </w:rPr>
        <w:t xml:space="preserve"> định giá này, tổ thẩm định không đảm bảo là các giả định làm cơ sở thẩm định giá là chính xác hoàn toàn.</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pacing w:val="2"/>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pacing w:val="2"/>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spacing w:val="2"/>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z w:val="24"/>
        </w:rPr>
        <w:t xml:space="preserve">Khách hàng yêu cầu thẩm định giá và người hướng dẫn tổ thẩm định thực hiện thẩm định hiện trạng tài sản phải chịu hoàn toàn trách nhiệm về thông tin liên quan đến đặc điểm kinh tế - kỹ thuật, tính năng và tính pháp lý của tài sản thẩm định giá đã cung cấp </w:t>
      </w:r>
      <w:r>
        <w:rPr>
          <w:rFonts w:ascii="Times New Roman" w:hAnsi="Times New Roman" w:eastAsia="Times New Roman" w:cs="Times New Roman"/>
          <w:color w:val="000000"/>
          <w:sz w:val="24"/>
        </w:rPr>
        <w:t xml:space="preserve">cho Công ty Cổ phần Thẩm định và Đầu tư Tài chính Hoa Sen tại thời điểm và địa điểm thẩm định giá.</w:t>
      </w:r>
      <w:r/>
    </w:p>
    <w:p>
      <w:pPr>
        <w:numPr>
          <w:ilvl w:val="0"/>
          <w:numId w:val="45"/>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highlight w:val="white"/>
        </w:rPr>
        <w:t xml:space="preserve">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w:t>
      </w:r>
      <w:r>
        <w:rPr>
          <w:rFonts w:ascii="Times New Roman" w:hAnsi="Times New Roman" w:eastAsia="Times New Roman" w:cs="Times New Roman"/>
          <w:color w:val="000000"/>
          <w:sz w:val="24"/>
          <w:highlight w:val="white"/>
        </w:rPr>
        <w:t xml:space="preserve">Giá trị ước tính này không nhất thiết phải trùng khớp với giá trị dùng để giao dịch.</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z w:val="24"/>
          <w:highlight w:val="white"/>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w:t>
      </w:r>
      <w:r>
        <w:rPr>
          <w:rFonts w:ascii="Times New Roman" w:hAnsi="Times New Roman" w:eastAsia="Times New Roman" w:cs="Times New Roman"/>
          <w:color w:val="000000"/>
          <w:sz w:val="24"/>
          <w:highlight w:val="white"/>
        </w:rPr>
        <w:t xml:space="preserve">ch, số ô, số thửa, tờ bản đồ theo </w:t>
      </w:r>
      <w:r>
        <w:rPr>
          <w:rFonts w:ascii="Times New Roman" w:hAnsi="Times New Roman" w:eastAsia="Times New Roman" w:cs="Times New Roman"/>
          <w:color w:val="000000"/>
          <w:sz w:val="24"/>
        </w:rPr>
        <w:t xml:space="preserve">Giấy chứng nhận quyền sử dụng đất  đã cung cấp cho chúng tôi.</w:t>
      </w:r>
      <w:r/>
    </w:p>
    <w:p>
      <w:pPr>
        <w:numPr>
          <w:ilvl w:val="0"/>
          <w:numId w:val="45"/>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sz w:val="24"/>
        </w:rPr>
        <w:t xml:space="preserve"> trừ mọi trách nhiệm phát sinh, liên đới (nếu có) trong trường hợp này.</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pacing w:val="-2"/>
          <w:sz w:val="24"/>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w:t>
      </w:r>
      <w:r>
        <w:rPr>
          <w:rFonts w:ascii="Times New Roman" w:hAnsi="Times New Roman" w:eastAsia="Times New Roman" w:cs="Times New Roman"/>
          <w:color w:val="000000"/>
          <w:spacing w:val="-2"/>
          <w:sz w:val="24"/>
        </w:rPr>
        <w:t xml:space="preserve">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w:t>
      </w:r>
      <w:r>
        <w:rPr>
          <w:rFonts w:ascii="Times New Roman" w:hAnsi="Times New Roman" w:eastAsia="Times New Roman" w:cs="Times New Roman"/>
          <w:color w:val="000000"/>
          <w:spacing w:val="-2"/>
          <w:sz w:val="24"/>
        </w:rPr>
        <w:t xml:space="preserve">t thiết phải trùng khớp kết quả với bất kỳ bên thứ ba nào khác cùng đưa ra các đánh giá này. Việc ảnh hưởng của các ước lượng này (nếu có) nó không thuộc nghĩa vụ bắt buộc liên quan đến chúng tôi.</w:t>
      </w:r>
      <w:r>
        <w:rPr>
          <w:rFonts w:ascii="Times New Roman" w:hAnsi="Times New Roman" w:eastAsia="Times New Roman" w:cs="Times New Roman"/>
          <w:color w:val="000000"/>
          <w:sz w:val="24"/>
        </w:rPr>
        <w:t xml:space="preserve">Công trình gồm: 01 nhà cấp IV, 01 nhà 2 tầng và công trình phụ. Tuy nhiên công trình trên chưa được chứng nhận trên Giấy chứng nhận quyền sử dụng đất số R461077. Do vậy, được sự đồng ý của Ngân hàng, khách hàng, Tổ thẩm định không xác định giá trị của công</w:t>
      </w:r>
      <w:r>
        <w:rPr>
          <w:rFonts w:ascii="Times New Roman" w:hAnsi="Times New Roman" w:eastAsia="Times New Roman" w:cs="Times New Roman"/>
          <w:color w:val="000000"/>
          <w:sz w:val="24"/>
        </w:rPr>
        <w:t xml:space="preserve"> trình xây dựng tuy nhiên vẫn coi công trình là phần không thể tách rời của tài sản thẩm định.</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thẩm định giá</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z w:val="24"/>
        </w:rPr>
        <w:t xml:space="preserve">Tổ thẩm định giá sử dụng Phương pháp so sánh để xác định giá trị tài sản thẩm định giá trong đó  việc thu thập thông tin TSSS đã giao dịch thành công còn gặp nhiều hạn chế, vì vậy, Tổ thẩm định giá sử dụng các TSSS là các tài sản đang được rao bán trên thị</w:t>
      </w:r>
      <w:r>
        <w:rPr>
          <w:rFonts w:ascii="Times New Roman" w:hAnsi="Times New Roman" w:eastAsia="Times New Roman" w:cs="Times New Roman"/>
          <w:color w:val="000000"/>
          <w:sz w:val="24"/>
        </w:rPr>
        <w:t xml:space="preserve"> trường. Kết quả thẩm định giá có thể thay đổi khi các TSSS được giao dịch thành công. Khách hàng và các bên thứ ba khi sử dụng kết quả thẩm định giá cần lưu ý khi sử dụng Chứng thư thẩm định giá.</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z w:val="24"/>
        </w:rPr>
        <w:t xml:space="preserve">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w:t>
      </w:r>
      <w:r>
        <w:rPr>
          <w:rFonts w:ascii="Times New Roman" w:hAnsi="Times New Roman" w:eastAsia="Times New Roman" w:cs="Times New Roman"/>
          <w:color w:val="000000"/>
          <w:sz w:val="24"/>
        </w:rPr>
        <w:t xml:space="preserve">định giá.</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z w:val="24"/>
          <w:u w:val="none"/>
        </w:rPr>
        <w:t xml:space="preserve">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w:t>
      </w:r>
      <w:r>
        <w:rPr>
          <w:rFonts w:ascii="Times New Roman" w:hAnsi="Times New Roman" w:eastAsia="Times New Roman" w:cs="Times New Roman"/>
          <w:color w:val="000000"/>
          <w:sz w:val="24"/>
          <w:u w:val="none"/>
        </w:rPr>
        <w:t xml:space="preserve">kết quả…. và chấp nhận sử dụng tất cả nội dung được trình bày trong chứng thư này.</w:t>
      </w:r>
      <w:r/>
    </w:p>
    <w:p>
      <w:pPr>
        <w:pBdr>
          <w:top w:val="none" w:color="000000" w:sz="4" w:space="0"/>
          <w:left w:val="none" w:color="000000" w:sz="4" w:space="0"/>
          <w:bottom w:val="none" w:color="000000" w:sz="4" w:space="0"/>
          <w:right w:val="none" w:color="000000" w:sz="4" w:space="0"/>
        </w:pBdr>
        <w:spacing w:after="120" w:before="120" w:line="300" w:lineRule="auto"/>
        <w:ind w:right="0" w:firstLine="0" w:left="0"/>
        <w:rPr/>
      </w:pPr>
      <w:r>
        <w:rPr>
          <w:rFonts w:ascii="Times New Roman" w:hAnsi="Times New Roman" w:eastAsia="Times New Roman" w:cs="Times New Roman"/>
          <w:b/>
          <w:color w:val="000000"/>
          <w:sz w:val="24"/>
        </w:rPr>
        <w:t xml:space="preserve"> </w:t>
      </w:r>
      <w:r/>
      <w:r>
        <w:rPr>
          <w:rFonts w:ascii="Times New Roman" w:hAnsi="Times New Roman" w:eastAsia="Times New Roman" w:cs="Times New Roman"/>
          <w:b/>
          <w:color w:val="000000"/>
          <w:sz w:val="24"/>
        </w:rPr>
        <w:t xml:space="preserve">XII. CÁC PHỤ LỤC KÈM THEO </w:t>
      </w: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right="0" w:firstLine="0" w:left="0"/>
        <w:jc w:val="both"/>
        <w:rPr/>
      </w:pPr>
      <w:r>
        <w:rPr>
          <w:rFonts w:ascii="Times New Roman" w:hAnsi="Times New Roman" w:eastAsia="Times New Roman" w:cs="Times New Roman"/>
          <w:color w:val="000000"/>
          <w:sz w:val="24"/>
        </w:rPr>
        <w:t xml:space="preserve">Phụ lục 1: Hình ảnh hiện trạng của tài sản.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right="0" w:firstLine="0" w:left="0"/>
        <w:jc w:val="both"/>
        <w:rPr/>
      </w:pPr>
      <w:r>
        <w:rPr>
          <w:rFonts w:ascii="Times New Roman" w:hAnsi="Times New Roman" w:eastAsia="Times New Roman" w:cs="Times New Roman"/>
          <w:color w:val="000000"/>
          <w:sz w:val="24"/>
        </w:rPr>
        <w:t xml:space="preserve">Phụ lục 2: Thông tin thu thập thị trường.</w:t>
      </w:r>
      <w:r/>
    </w:p>
    <w:p>
      <w:pPr>
        <w:pStyle w:val="856"/>
        <w:pBdr/>
        <w:tabs>
          <w:tab w:val="left" w:leader="none" w:pos="993"/>
        </w:tabs>
        <w:spacing w:after="120" w:before="120" w:line="288" w:lineRule="auto"/>
        <w:ind w:left="0"/>
        <w:jc w:val="both"/>
        <w:rPr>
          <w:lang w:val="vi-VN"/>
        </w:rPr>
      </w:pPr>
      <w:r>
        <w:rPr>
          <w:rFonts w:ascii="Times New Roman" w:hAnsi="Times New Roman" w:eastAsia="Times New Roman" w:cs="Times New Roman"/>
          <w:color w:val="000000"/>
          <w:sz w:val="24"/>
        </w:rPr>
        <w:t xml:space="preserve">Báo cáo kết quả thẩm định giá được phát hành 03 (ba) bản chính bằng tiếng Việt kèm theo Chứng thư thẩm định giá số 275/2026/0081/VFI-CT.24.A</w:t>
      </w:r>
      <w:r>
        <w:rPr>
          <w:rFonts w:ascii="Times New Roman" w:hAnsi="Times New Roman" w:eastAsia="Times New Roman" w:cs="Times New Roman"/>
          <w:color w:val="ff0000"/>
          <w:sz w:val="24"/>
        </w:rPr>
        <w:t xml:space="preserve"> </w:t>
      </w:r>
      <w:r>
        <w:rPr>
          <w:rFonts w:ascii="Times New Roman" w:hAnsi="Times New Roman" w:eastAsia="Times New Roman" w:cs="Times New Roman"/>
          <w:color w:val="000000"/>
          <w:sz w:val="24"/>
        </w:rPr>
        <w:t xml:space="preserve">ngày 14 tháng 1 năm 2026 tại Công ty Cổ phần Thẩm định và Đầu tư Tài chính Hoa Sen</w:t>
      </w:r>
      <w:r/>
      <w:r>
        <w:rPr>
          <w:lang w:val="vi-VN"/>
        </w:rPr>
      </w:r>
      <w:r>
        <w:rPr>
          <w:lang w:val="vi-VN"/>
        </w:rPr>
      </w:r>
      <w:r>
        <w:rPr>
          <w:lang w:val="vi-VN"/>
        </w:rPr>
      </w:r>
      <w:r>
        <w:rPr>
          <w:lang w:val="vi-VN"/>
        </w:rPr>
      </w:r>
      <w:r>
        <w:rPr>
          <w:lang w:val="vi-VN"/>
        </w:rPr>
      </w:r>
      <w:r>
        <w:rPr>
          <w:lang w:val="vi-VN"/>
        </w:rPr>
      </w:r>
      <w:r>
        <w:rPr>
          <w:lang w:val="vi-VN"/>
        </w:rPr>
      </w:r>
      <w:r>
        <w:rPr>
          <w:lang w:val="vi-VN"/>
        </w:rPr>
      </w:r>
      <w:r>
        <w:rPr>
          <w:lang w:val="pt-BR"/>
        </w:rPr>
      </w:r>
      <w:r>
        <w:rPr>
          <w:lang w:val="pt-BR"/>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Quỳnh Anh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top w:val="none" w:color="000000" w:sz="4" w:space="0"/>
          <w:left w:val="none" w:color="000000" w:sz="4" w:space="0"/>
          <w:bottom w:val="none" w:color="000000" w:sz="4" w:space="0"/>
          <w:right w:val="none" w:color="000000" w:sz="4" w:space="0"/>
        </w:pBdr>
        <w:spacing/>
        <w:ind w:right="0" w:firstLine="0" w:left="0"/>
        <w:jc w:val="cente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r>
      <w:r>
        <w:rPr>
          <w:rFonts w:ascii="Times New Roman" w:hAnsi="Times New Roman" w:eastAsia="Times New Roman" w:cs="Times New Roman"/>
          <w:i/>
          <w:color w:val="000000"/>
          <w:sz w:val="24"/>
        </w:rPr>
        <w:t xml:space="preserve">Báo cáo thẩm định số 275/2026/0081/VFI-BC.24.A ngày 14 tháng 01 năm 2026 của </w:t>
      </w:r>
      <w:r/>
    </w:p>
    <w:p>
      <w:pPr>
        <w:pBdr/>
        <w:spacing/>
        <w:ind/>
        <w:jc w:val="center"/>
        <w:rPr>
          <w:bCs/>
          <w:i/>
          <w:lang w:val="pt-BR"/>
        </w:rPr>
      </w:pPr>
      <w:r>
        <w:rPr>
          <w:rFonts w:ascii="Times New Roman" w:hAnsi="Times New Roman" w:eastAsia="Times New Roman" w:cs="Times New Roman"/>
          <w:i/>
          <w:color w:val="000000"/>
          <w:sz w:val="24"/>
        </w:rPr>
        <w:t xml:space="preserve">Công ty Cổ phần Thẩm định và Đầu tư Tài chính Hoa Sen</w:t>
      </w:r>
      <w:r/>
      <w:r>
        <w:rPr>
          <w:i/>
          <w:lang w:val="pt-BR"/>
        </w:rPr>
      </w:r>
      <w:r>
        <w:rPr>
          <w:i/>
          <w:lang w:val="pt-BR"/>
        </w:rPr>
        <w:t xml:space="preserve">)</w:t>
      </w:r>
      <w:r>
        <w:rPr>
          <w:i/>
          <w:lang w:val="pt-BR"/>
        </w:rPr>
      </w: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6"/>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200.00pt;height:150.00pt;mso-wrap-distance-left:0.00pt;mso-wrap-distance-top:0.00pt;mso-wrap-distance-right:0.00pt;mso-wrap-distance-bottom:0.00pt;z-index:1;" stroked="false">
                      <v:imagedata r:id="rId16"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00.00pt;height:150.00pt;mso-wrap-distance-left:0.00pt;mso-wrap-distance-top:0.00pt;mso-wrap-distance-right:0.00pt;mso-wrap-distance-bottom:0.00pt;z-index:1;" stroked="false">
                      <v:imagedata r:id="rId17"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8"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25512" cy="203696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468171" name=""/>
                              <pic:cNvPicPr>
                                <a:picLocks noChangeAspect="1"/>
                              </pic:cNvPicPr>
                              <pic:nvPr/>
                            </pic:nvPicPr>
                            <pic:blipFill rotWithShape="1">
                              <a:blip r:embed="rId19"/>
                              <a:stretch/>
                            </pic:blipFill>
                            <pic:spPr bwMode="auto">
                              <a:xfrm flipH="0" flipV="0">
                                <a:off x="0" y="0"/>
                                <a:ext cx="2725511" cy="20369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4.61pt;height:160.39pt;mso-wrap-distance-left:0.00pt;mso-wrap-distance-top:0.00pt;mso-wrap-distance-right:0.00pt;mso-wrap-distance-bottom:0.00pt;z-index:1;" stroked="false">
                      <v:imagedata r:id="rId19" o:title=""/>
                      <o:lock v:ext="edit" rotation="t"/>
                    </v:shape>
                  </w:pict>
                </mc:Fallback>
              </mc:AlternateContent>
            </w:r>
            <w:r>
              <w:rPr>
                <w:i/>
                <w:lang w:val="pt-BR"/>
              </w:rPr>
            </w: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HSTD-20260106-0007/BC-VFI</w:t>
      </w:r>
      <w:r>
        <w:rPr>
          <w:i/>
          <w:lang w:val="pt-BR"/>
        </w:rPr>
        <w:t xml:space="preserve"> </w:t>
      </w:r>
      <w:r>
        <w:rPr>
          <w:i/>
          <w:lang w:val="pt-BR"/>
        </w:rPr>
        <w:t xml:space="preserve">22 tháng 1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p>
      <w:pPr>
        <w:pBdr/>
        <w:spacing w:after="120"/>
        <w:ind/>
        <w:jc w:val="center"/>
        <w:rPr>
          <w:b/>
          <w:bCs/>
          <w:iCs/>
          <w:lang w:val="pt-BR"/>
        </w:rPr>
      </w:pPr>
      <w:r>
        <w:rPr>
          <w:b/>
          <w:bCs/>
          <w:iCs/>
          <w:lang w:val="pt-BR"/>
        </w:rPr>
        <w:t xml:space="preserve">TSSS1</w:t>
      </w:r>
      <w:r>
        <w:rPr>
          <w:b/>
          <w:bCs/>
          <w:iCs/>
          <w:lang w:val="pt-BR"/>
        </w:rPr>
      </w:r>
    </w:p>
    <w:tbl>
      <w:tblPr>
        <w:tblStyle w:val="86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9"/>
        <w:gridCol w:w="4318"/>
        <w:gridCol w:w="478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top"/>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318"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78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 - SĐT: 0928776268</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78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2.800.000.000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 (đồng)</w:t>
            </w:r>
            <w:r/>
          </w:p>
        </w:tc>
        <w:tc>
          <w:tcPr>
            <w:tcBorders>
              <w:bottom w:val="single" w:color="000000" w:sz="8" w:space="0"/>
              <w:right w:val="single" w:color="000000" w:sz="8" w:space="0"/>
            </w:tcBorders>
            <w:tcMar>
              <w:left w:w="108" w:type="dxa"/>
              <w:top w:w="0" w:type="dxa"/>
              <w:right w:w="108" w:type="dxa"/>
              <w:bottom w:w="0" w:type="dxa"/>
            </w:tcMar>
            <w:tcW w:w="4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2.800.000.000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Đã bán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12/2025</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4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4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3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ngõ bê tông, cách đường Nguyễn Văn Cừ khoảng 1km.</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cắt đường</w:t>
            </w:r>
            <w:r/>
          </w:p>
        </w:tc>
        <w:tc>
          <w:tcPr>
            <w:tcBorders>
              <w:bottom w:val="single" w:color="000000" w:sz="8" w:space="0"/>
              <w:right w:val="single" w:color="000000" w:sz="8" w:space="0"/>
            </w:tcBorders>
            <w:tcMar>
              <w:left w:w="108" w:type="dxa"/>
              <w:top w:w="0" w:type="dxa"/>
              <w:right w:w="108" w:type="dxa"/>
              <w:bottom w:w="0" w:type="dxa"/>
            </w:tcMar>
            <w:tcW w:w="4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2,5m</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88</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vắn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4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2,5m</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4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khác</w:t>
            </w:r>
            <w:r/>
          </w:p>
        </w:tc>
        <w:tc>
          <w:tcPr>
            <w:tcBorders>
              <w:bottom w:val="single" w:color="000000" w:sz="8" w:space="0"/>
              <w:right w:val="single" w:color="000000" w:sz="8" w:space="0"/>
            </w:tcBorders>
            <w:tcMar>
              <w:left w:w="108" w:type="dxa"/>
              <w:top w:w="0" w:type="dxa"/>
              <w:right w:w="108" w:type="dxa"/>
              <w:bottom w:w="0" w:type="dxa"/>
            </w:tcMar>
            <w:tcW w:w="4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Bình thường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4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4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4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4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4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4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Bằng chứng</w:t>
            </w:r>
            <w:r/>
          </w:p>
        </w:tc>
        <w:tc>
          <w:tcPr>
            <w:tcBorders>
              <w:bottom w:val="single" w:color="000000" w:sz="8" w:space="0"/>
              <w:right w:val="single" w:color="000000" w:sz="8" w:space="0"/>
            </w:tcBorders>
            <w:tcMar>
              <w:left w:w="108" w:type="dxa"/>
              <w:top w:w="0" w:type="dxa"/>
              <w:right w:w="108" w:type="dxa"/>
              <w:bottom w:w="0" w:type="dxa"/>
            </w:tcMar>
            <w:tcW w:w="4784" w:type="dxa"/>
            <w:vAlign w:val="center"/>
            <w:textDirection w:val="lrTb"/>
            <w:noWrap w:val="false"/>
          </w:tcPr>
          <w:p>
            <w:pPr>
              <w:pBdr/>
              <w:spacing w:after="0" w:before="0" w:line="240"/>
              <w:ind/>
              <w:rPr/>
            </w:pPr>
            <w:r/>
            <w:r>
              <mc:AlternateContent>
                <mc:Choice Requires="wpg">
                  <w:drawing>
                    <wp:inline xmlns:wp="http://schemas.openxmlformats.org/drawingml/2006/wordprocessingDrawing" distT="0" distB="0" distL="0" distR="0">
                      <wp:extent cx="2902922" cy="210011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852745" name=""/>
                              <pic:cNvPicPr>
                                <a:picLocks noChangeAspect="1"/>
                              </pic:cNvPicPr>
                              <pic:nvPr/>
                            </pic:nvPicPr>
                            <pic:blipFill rotWithShape="1">
                              <a:blip r:embed="rId22"/>
                              <a:stretch/>
                            </pic:blipFill>
                            <pic:spPr bwMode="auto">
                              <a:xfrm flipH="0" flipV="0">
                                <a:off x="0" y="0"/>
                                <a:ext cx="2902921" cy="21001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8.58pt;height:165.36pt;mso-wrap-distance-left:0.00pt;mso-wrap-distance-top:0.00pt;mso-wrap-distance-right:0.00pt;mso-wrap-distance-bottom:0.00pt;z-index:1;" stroked="false">
                      <v:imagedata r:id="rId22" o:title=""/>
                      <o:lock v:ext="edit" rotation="t"/>
                    </v:shape>
                  </w:pict>
                </mc:Fallback>
              </mc:AlternateContent>
            </w:r>
            <w:r/>
          </w:p>
        </w:tc>
      </w:tr>
      <w:tr>
        <w:trPr>
          <w:trHeight w:val="3426"/>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4318" w:type="dxa"/>
            <w:vAlign w:val="center"/>
            <w:textDirection w:val="lrTb"/>
            <w:noWrap w:val="false"/>
          </w:tcPr>
          <w:p>
            <w:pPr>
              <w:pBdr/>
              <w:spacing w:after="0" w:before="0" w:line="240"/>
              <w:ind/>
              <w:rPr/>
            </w:pPr>
            <w:r/>
            <w:r>
              <mc:AlternateContent>
                <mc:Choice Requires="wpg">
                  <w:drawing>
                    <wp:inline xmlns:wp="http://schemas.openxmlformats.org/drawingml/2006/wordprocessingDrawing" distT="0" distB="0" distL="0" distR="0">
                      <wp:extent cx="2897672" cy="398726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672992" name=""/>
                              <pic:cNvPicPr>
                                <a:picLocks noChangeAspect="1"/>
                              </pic:cNvPicPr>
                              <pic:nvPr/>
                            </pic:nvPicPr>
                            <pic:blipFill rotWithShape="1">
                              <a:blip r:embed="rId23"/>
                              <a:stretch/>
                            </pic:blipFill>
                            <pic:spPr bwMode="auto">
                              <a:xfrm flipH="0" flipV="0">
                                <a:off x="0" y="0"/>
                                <a:ext cx="2897672" cy="39872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8.16pt;height:313.96pt;mso-wrap-distance-left:0.00pt;mso-wrap-distance-top:0.00pt;mso-wrap-distance-right:0.00pt;mso-wrap-distance-bottom:0.00pt;z-index:1;" stroked="false">
                      <v:imagedata r:id="rId23" o:title=""/>
                      <o:lock v:ext="edit" rotation="t"/>
                    </v:shape>
                  </w:pict>
                </mc:Fallback>
              </mc:AlternateContent>
            </w:r>
            <w:r/>
          </w:p>
        </w:tc>
        <w:tc>
          <w:tcPr>
            <w:tcBorders>
              <w:bottom w:val="single" w:color="000000" w:sz="8" w:space="0"/>
              <w:right w:val="single" w:color="000000" w:sz="8" w:space="0"/>
            </w:tcBorders>
            <w:tcMar>
              <w:left w:w="108" w:type="dxa"/>
              <w:top w:w="0" w:type="dxa"/>
              <w:right w:w="108" w:type="dxa"/>
              <w:bottom w:w="0" w:type="dxa"/>
            </w:tcMar>
            <w:tcW w:w="4784" w:type="dxa"/>
            <w:vAlign w:val="center"/>
            <w:textDirection w:val="lrTb"/>
            <w:noWrap w:val="false"/>
          </w:tcPr>
          <w:p>
            <w:pPr>
              <w:pBdr/>
              <w:spacing w:after="0" w:before="0" w:line="240"/>
              <w:ind/>
              <w:rPr/>
            </w:pPr>
            <w:r/>
            <w:r>
              <mc:AlternateContent>
                <mc:Choice Requires="wpg">
                  <w:drawing>
                    <wp:inline xmlns:wp="http://schemas.openxmlformats.org/drawingml/2006/wordprocessingDrawing" distT="0" distB="0" distL="0" distR="0">
                      <wp:extent cx="2672724" cy="362531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8274" name=""/>
                              <pic:cNvPicPr>
                                <a:picLocks noChangeAspect="1"/>
                              </pic:cNvPicPr>
                              <pic:nvPr/>
                            </pic:nvPicPr>
                            <pic:blipFill rotWithShape="1">
                              <a:blip r:embed="rId24"/>
                              <a:stretch/>
                            </pic:blipFill>
                            <pic:spPr bwMode="auto">
                              <a:xfrm flipH="0" flipV="0">
                                <a:off x="0" y="0"/>
                                <a:ext cx="2672723" cy="36253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0.45pt;height:285.46pt;mso-wrap-distance-left:0.00pt;mso-wrap-distance-top:0.00pt;mso-wrap-distance-right:0.00pt;mso-wrap-distance-bottom:0.00pt;z-index:1;" stroked="false">
                      <v:imagedata r:id="rId24" o:title=""/>
                      <o:lock v:ext="edit" rotation="t"/>
                    </v:shape>
                  </w:pict>
                </mc:Fallback>
              </mc:AlternateContent>
            </w: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Lê Thị Quỳnh Anh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jc w:val="center"/>
        <w:rPr>
          <w:iCs/>
          <w:lang w:val="pt-BR"/>
        </w:rPr>
      </w:pPr>
      <w:r>
        <w:rPr>
          <w:b/>
          <w:bCs/>
          <w:iCs/>
          <w:lang w:val="pt-BR"/>
        </w:rPr>
        <w:br w:type="page" w:clear="all"/>
      </w:r>
      <w:r>
        <w:rPr>
          <w:b/>
          <w:bCs/>
          <w:iCs/>
          <w:lang w:val="pt-BR"/>
        </w:rPr>
      </w: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0395.777.369</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4.950.000.000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(98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Phong Khê, Thành phố Bắc Ninh, Tỉnh Bắc Ninh, khoảng cách ra đường chính Cách đường Nguyễn Văn Cừ khoảng 30mm, độ rộng đường trước mặt tài sản 5m, Cách đường Nguyễn Văn Cừ khoảng 30m, mặt tiền 4.4m, 21.158031943716356, 106.03485706555414</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98</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736897"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1569518403" name="" descr=""/>
                              <pic:cNvPicPr/>
                              <pic:nvPr/>
                            </pic:nvPicPr>
                            <pic:blipFill rotWithShape="1">
                              <a:blip r:embed="rId25"/>
                              <a:stretch/>
                            </pic:blipFill>
                            <pic:spPr bwMode="auto">
                              <a:xfrm>
                                <a:off x="0" y="0"/>
                                <a:ext cx="5736897"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51.72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31821"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1532782919" name="" descr=""/>
                              <pic:cNvPicPr/>
                              <pic:nvPr/>
                            </pic:nvPicPr>
                            <pic:blipFill rotWithShape="1">
                              <a:blip r:embed="rId26"/>
                              <a:stretch/>
                            </pic:blipFill>
                            <pic:spPr bwMode="auto">
                              <a:xfrm>
                                <a:off x="0" y="0"/>
                                <a:ext cx="513182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04.08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539088"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1917482095" name="" descr=""/>
                              <pic:cNvPicPr/>
                              <pic:nvPr/>
                            </pic:nvPicPr>
                            <pic:blipFill rotWithShape="1">
                              <a:blip r:embed="rId27"/>
                              <a:stretch/>
                            </pic:blipFill>
                            <pic:spPr bwMode="auto">
                              <a:xfrm>
                                <a:off x="0" y="0"/>
                                <a:ext cx="5539087"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36.15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Quỳnh Anh</w:t>
            </w:r>
            <w:r/>
            <w:r/>
          </w:p>
          <w:p>
            <w:pPr>
              <w:pBdr/>
              <w:spacing/>
              <w:ind/>
              <w:jc w:val="center"/>
              <w:rPr/>
            </w:pPr>
            <w: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0395.777.369</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6.600.000.000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5.940.000.000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(182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Phong Khê, Thành phố Bắc Ninh, Tỉnh Bắc Ninh, khoảng cách ra đường chính Cách đường Nguyễn Văn Cừ khoảng 200mm, độ rộng đường trước mặt tài sản 4m, Cách đường Nguyễn Văn Cừ khoảng 200m, mặt tiền 7m, 21.157218893393647, 106.03508399433417</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240952"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922514771" name="" descr=""/>
                              <pic:cNvPicPr/>
                              <pic:nvPr/>
                            </pic:nvPicPr>
                            <pic:blipFill rotWithShape="1">
                              <a:blip r:embed="rId28"/>
                              <a:stretch/>
                            </pic:blipFill>
                            <pic:spPr bwMode="auto">
                              <a:xfrm>
                                <a:off x="0" y="0"/>
                                <a:ext cx="5240952"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2.67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39682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764700510" name="" descr=""/>
                              <pic:cNvPicPr/>
                              <pic:nvPr/>
                            </pic:nvPicPr>
                            <pic:blipFill rotWithShape="1">
                              <a:blip r:embed="rId29"/>
                              <a:stretch/>
                            </pic:blipFill>
                            <pic:spPr bwMode="auto">
                              <a:xfrm>
                                <a:off x="0" y="0"/>
                                <a:ext cx="539682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24.95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632022426" name="" descr=""/>
                              <pic:cNvPicPr/>
                              <pic:nvPr/>
                            </pic:nvPicPr>
                            <pic:blipFill rotWithShape="1">
                              <a:blip r:embed="rId30"/>
                              <a:stretch/>
                            </pic:blipFill>
                            <pic:spPr bwMode="auto">
                              <a:xfrm>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Quỳnh Anh</w:t>
            </w:r>
            <w:r/>
            <w:r/>
          </w:p>
          <w:p>
            <w:pPr>
              <w:pBdr/>
              <w:spacing/>
              <w:ind/>
              <w:jc w:val="center"/>
              <w:rPr/>
            </w:pPr>
            <w:r/>
            <w:r/>
            <w:r/>
          </w:p>
          <w:p>
            <w:pPr>
              <w:pBdr/>
              <w:spacing/>
              <w:ind/>
              <w:rPr/>
            </w:pPr>
            <w:r/>
            <w:r/>
            <w:r/>
          </w:p>
          <w:p>
            <w:pPr>
              <w:pBdr/>
              <w:spacing/>
              <w:ind/>
              <w:jc w:val="center"/>
              <w:rPr/>
            </w:pPr>
            <w:r/>
            <w:r/>
            <w:r/>
          </w:p>
          <w:p>
            <w:pPr>
              <w:pBdr/>
              <w:spacing/>
              <w:ind/>
              <w:jc w:val="center"/>
              <w:rPr/>
            </w:pPr>
            <w:r/>
            <w:r/>
            <w:r/>
          </w:p>
          <w:p>
            <w:pPr>
              <w:pBdr/>
              <w:spacing/>
              <w:ind/>
              <w:jc w:val="center"/>
              <w:rPr/>
            </w:pPr>
            <w: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b/>
          <w:bCs/>
          <w:lang w:val="pt-BR"/>
        </w:rPr>
      </w:pPr>
      <w:r>
        <w:rPr>
          <w:b/>
          <w:bCs/>
          <w:iCs/>
          <w:lang w:val="pt-BR"/>
        </w:rPr>
      </w:r>
      <w:r>
        <w:rPr>
          <w:b/>
          <w:bCs/>
          <w:iCs/>
          <w:lang w:val="pt-BR"/>
        </w:rPr>
      </w:r>
      <w:r/>
    </w:p>
    <w:sectPr>
      <w:footerReference w:type="even" r:id="rId9"/>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D01B6E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5FC75840"/>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3B278710"/>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0FE171AA"/>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317357C6"/>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42">
    <w:nsid w:val="5F0BA27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3">
    <w:nsid w:val="072264CC"/>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footer" Target="footer1.xml" /><Relationship Id="rId10" Type="http://schemas.openxmlformats.org/officeDocument/2006/relationships/customXml" Target="../customXml/item1.xml" /><Relationship Id="rId11" Type="http://schemas.openxmlformats.org/officeDocument/2006/relationships/image" Target="media/image1.png"/><Relationship Id="rId12" Type="http://schemas.openxmlformats.org/officeDocument/2006/relationships/hyperlink" Target="mailto:ilotus.contact@gmail.com" TargetMode="External"/><Relationship Id="rId13" Type="http://schemas.openxmlformats.org/officeDocument/2006/relationships/image" Target="media/image2.png"/><Relationship Id="rId14" Type="http://schemas.openxmlformats.org/officeDocument/2006/relationships/hyperlink" Target="mailto:ilotus.contact@gmail.com" TargetMode="External"/><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pn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jpg"/><Relationship Id="rId26" Type="http://schemas.openxmlformats.org/officeDocument/2006/relationships/image" Target="media/image14.jpg"/><Relationship Id="rId27" Type="http://schemas.openxmlformats.org/officeDocument/2006/relationships/image" Target="media/image15.jpg"/><Relationship Id="rId28" Type="http://schemas.openxmlformats.org/officeDocument/2006/relationships/image" Target="media/image16.jpg"/><Relationship Id="rId29" Type="http://schemas.openxmlformats.org/officeDocument/2006/relationships/image" Target="media/image17.jpg"/><Relationship Id="rId30" Type="http://schemas.openxmlformats.org/officeDocument/2006/relationships/image" Target="media/image18.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Quỳnh Anh</cp:lastModifiedBy>
  <cp:revision>271</cp:revision>
  <dcterms:created xsi:type="dcterms:W3CDTF">2025-09-15T09:58:00Z</dcterms:created>
  <dcterms:modified xsi:type="dcterms:W3CDTF">2026-01-30T08:34:03Z</dcterms:modified>
</cp:coreProperties>
</file>