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730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730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w:t>
                            </w:r>
                            <w:r>
                              <w:rPr>
                                <w:b/>
                                <w:color w:val="000000" w:themeColor="text1"/>
                              </w:rPr>
                              <w:t xml:space="preserve">: </w:t>
                            </w:r>
                            <w:r>
                              <w:rPr>
                                <w:b/>
                                <w:color w:val="000000" w:themeColor="text1"/>
                              </w:rPr>
                              <w:t xml:space="preserve">275/2026/0159/VFI-CT.55.A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w:t>
                            </w:r>
                            <w:r>
                              <w:rPr>
                                <w:rFonts w:ascii="Times New Roman Bold" w:hAnsi="Times New Roman Bold"/>
                                <w:b/>
                                <w:color w:val="000000" w:themeColor="text1"/>
                                <w:lang w:val="pt-BR"/>
                              </w:rPr>
                              <w:t xml:space="preserve"> </w:t>
                            </w:r>
                            <w:r>
                              <w:rPr>
                                <w:rFonts w:ascii="Times New Roman Bold" w:hAnsi="Times New Roman Bold"/>
                                <w:b/>
                                <w:color w:val="000000" w:themeColor="text1"/>
                                <w:lang w:val="pt-BR"/>
                              </w:rPr>
                              <w:t xml:space="preserve">hàng</w:t>
                            </w:r>
                            <w:r>
                              <w:rPr>
                                <w:rFonts w:ascii="Times New Roman Bold" w:hAnsi="Times New Roman Bold"/>
                                <w:b/>
                                <w:color w:val="000000" w:themeColor="text1"/>
                                <w:lang w:val="pt-BR"/>
                              </w:rPr>
                              <w:t xml:space="preserve"> </w:t>
                            </w:r>
                            <w:r>
                              <w:rPr>
                                <w:rFonts w:ascii="Times New Roman Bold" w:hAnsi="Times New Roman Bold"/>
                                <w:b/>
                                <w:color w:val="000000" w:themeColor="text1"/>
                                <w:lang w:val="pt-BR"/>
                              </w:rPr>
                              <w:t xml:space="preserve">yêu</w:t>
                            </w:r>
                            <w:r>
                              <w:rPr>
                                <w:rFonts w:ascii="Times New Roman Bold" w:hAnsi="Times New Roman Bold"/>
                                <w:b/>
                                <w:color w:val="000000" w:themeColor="text1"/>
                                <w:lang w:val="pt-BR"/>
                              </w:rPr>
                              <w:t xml:space="preserve"> </w:t>
                            </w:r>
                            <w:r>
                              <w:rPr>
                                <w:rFonts w:ascii="Times New Roman Bold" w:hAnsi="Times New Roman Bold"/>
                                <w:b/>
                                <w:color w:val="000000" w:themeColor="text1"/>
                                <w:lang w:val="pt-BR"/>
                              </w:rPr>
                              <w:t xml:space="preserve">cầu</w:t>
                            </w:r>
                            <w:r>
                              <w:rPr>
                                <w:rFonts w:ascii="Times New Roman Bold" w:hAnsi="Times New Roman Bold"/>
                                <w:b/>
                                <w:color w:val="000000" w:themeColor="text1"/>
                                <w:lang w:val="pt-BR"/>
                              </w:rPr>
                              <w:t xml:space="preserve">: </w:t>
                            </w:r>
                            <w:r>
                              <w:rPr>
                                <w:rFonts w:ascii="Times New Roman Bold" w:hAnsi="Times New Roman Bold"/>
                                <w:b/>
                                <w:color w:val="000000" w:themeColor="text1"/>
                                <w:lang w:val="pt-BR"/>
                              </w:rPr>
                              <w:t xml:space="preserve">CÔNG TY TNHH XÂY DỰNG VÀ DỊCH VỤ THIÊN TRƯỜNG</w:t>
                            </w:r>
                            <w:r>
                              <w:rPr>
                                <w:rFonts w:ascii="Times New Roman Bold" w:hAnsi="Times New Roman Bold"/>
                                <w:b/>
                                <w:color w:val="000000" w:themeColor="text1"/>
                              </w:rPr>
                            </w:r>
                            <w:r>
                              <w:rPr>
                                <w:rFonts w:ascii="Times New Roman Bold" w:hAnsi="Times New Roman Bold"/>
                                <w:b/>
                                <w:color w:val="000000" w:themeColor="text1"/>
                              </w:rPr>
                            </w:r>
                          </w:p>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b/>
                                <w:color w:val="000000"/>
                                <w:sz w:val="24"/>
                              </w:rPr>
                              <w:t xml:space="preserve">Quyền sử dụng đất và tài sản gắn liền với đất tại thửa đất số: 18, tờ bản đồ số -/- có địa chỉ: Ô số 18 lô đất LK23, Khu đô thị mới Vân Canh, xã Vân Canh, </w:t>
                            </w:r>
                            <w:r>
                              <w:rPr>
                                <w:rFonts w:ascii="Times New Roman" w:hAnsi="Times New Roman" w:eastAsia="Times New Roman" w:cs="Times New Roman"/>
                                <w:b/>
                                <w:color w:val="000000"/>
                                <w:sz w:val="24"/>
                              </w:rPr>
                              <w:t xml:space="preserve">huyện Hoài Đức</w:t>
                            </w:r>
                            <w:r>
                              <w:rPr>
                                <w:rFonts w:ascii="Times New Roman" w:hAnsi="Times New Roman" w:eastAsia="Times New Roman" w:cs="Times New Roman"/>
                                <w:b/>
                                <w:color w:val="000000"/>
                                <w:sz w:val="24"/>
                              </w:rPr>
                              <w:t xml:space="preserve">, Thành phố Hà Nội (nay là xã Sơn Đồng, thành phố Hà Nội) theo Giấy chứng nhận quyền sử dụng đất, quyền sở hữu tài sản khác g</w:t>
                            </w:r>
                            <w:r>
                              <w:rPr>
                                <w:rFonts w:ascii="Times New Roman" w:hAnsi="Times New Roman" w:eastAsia="Times New Roman" w:cs="Times New Roman"/>
                                <w:b/>
                                <w:color w:val="000000"/>
                                <w:sz w:val="24"/>
                              </w:rPr>
                              <w:t xml:space="preserve">ắn liền với đất số: AA 00799933, số vào sổ cấp GCN: VP 4997 do Văn phòng đăng ký đất đai Hà Nội cấp ngày 19/03/2025; Chủ sử dụng đất là Ông Nguyễn Cao Hải.</w:t>
                            </w:r>
                            <w:r/>
                          </w:p>
                          <w:p>
                            <w:pPr>
                              <w:pBdr/>
                              <w:spacing w:after="120" w:before="120" w:line="360" w:lineRule="auto"/>
                              <w:ind/>
                              <w:jc w:val="both"/>
                              <w:rPr>
                                <w:bCs/>
                                <w:i/>
                              </w:rPr>
                            </w:pPr>
                            <w:r>
                              <w:rPr>
                                <w:b/>
                              </w:rPr>
                            </w:r>
                            <w:r>
                              <w:rPr>
                                <w:bCs/>
                                <w:i/>
                              </w:rPr>
                            </w:r>
                            <w:r>
                              <w:rPr>
                                <w:bCs/>
                                <w:i/>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1.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w:t>
                      </w:r>
                      <w:r>
                        <w:rPr>
                          <w:b/>
                          <w:color w:val="000000" w:themeColor="text1"/>
                        </w:rPr>
                        <w:t xml:space="preserve">: </w:t>
                      </w:r>
                      <w:r>
                        <w:rPr>
                          <w:b/>
                          <w:color w:val="000000" w:themeColor="text1"/>
                        </w:rPr>
                        <w:t xml:space="preserve">275/2026/0159/VFI-CT.55.A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w:t>
                      </w:r>
                      <w:r>
                        <w:rPr>
                          <w:rFonts w:ascii="Times New Roman Bold" w:hAnsi="Times New Roman Bold"/>
                          <w:b/>
                          <w:color w:val="000000" w:themeColor="text1"/>
                          <w:lang w:val="pt-BR"/>
                        </w:rPr>
                        <w:t xml:space="preserve"> </w:t>
                      </w:r>
                      <w:r>
                        <w:rPr>
                          <w:rFonts w:ascii="Times New Roman Bold" w:hAnsi="Times New Roman Bold"/>
                          <w:b/>
                          <w:color w:val="000000" w:themeColor="text1"/>
                          <w:lang w:val="pt-BR"/>
                        </w:rPr>
                        <w:t xml:space="preserve">hàng</w:t>
                      </w:r>
                      <w:r>
                        <w:rPr>
                          <w:rFonts w:ascii="Times New Roman Bold" w:hAnsi="Times New Roman Bold"/>
                          <w:b/>
                          <w:color w:val="000000" w:themeColor="text1"/>
                          <w:lang w:val="pt-BR"/>
                        </w:rPr>
                        <w:t xml:space="preserve"> </w:t>
                      </w:r>
                      <w:r>
                        <w:rPr>
                          <w:rFonts w:ascii="Times New Roman Bold" w:hAnsi="Times New Roman Bold"/>
                          <w:b/>
                          <w:color w:val="000000" w:themeColor="text1"/>
                          <w:lang w:val="pt-BR"/>
                        </w:rPr>
                        <w:t xml:space="preserve">yêu</w:t>
                      </w:r>
                      <w:r>
                        <w:rPr>
                          <w:rFonts w:ascii="Times New Roman Bold" w:hAnsi="Times New Roman Bold"/>
                          <w:b/>
                          <w:color w:val="000000" w:themeColor="text1"/>
                          <w:lang w:val="pt-BR"/>
                        </w:rPr>
                        <w:t xml:space="preserve"> </w:t>
                      </w:r>
                      <w:r>
                        <w:rPr>
                          <w:rFonts w:ascii="Times New Roman Bold" w:hAnsi="Times New Roman Bold"/>
                          <w:b/>
                          <w:color w:val="000000" w:themeColor="text1"/>
                          <w:lang w:val="pt-BR"/>
                        </w:rPr>
                        <w:t xml:space="preserve">cầu</w:t>
                      </w:r>
                      <w:r>
                        <w:rPr>
                          <w:rFonts w:ascii="Times New Roman Bold" w:hAnsi="Times New Roman Bold"/>
                          <w:b/>
                          <w:color w:val="000000" w:themeColor="text1"/>
                          <w:lang w:val="pt-BR"/>
                        </w:rPr>
                        <w:t xml:space="preserve">: </w:t>
                      </w:r>
                      <w:r>
                        <w:rPr>
                          <w:rFonts w:ascii="Times New Roman Bold" w:hAnsi="Times New Roman Bold"/>
                          <w:b/>
                          <w:color w:val="000000" w:themeColor="text1"/>
                          <w:lang w:val="pt-BR"/>
                        </w:rPr>
                        <w:t xml:space="preserve">CÔNG TY TNHH XÂY DỰNG VÀ DỊCH VỤ THIÊN TRƯỜNG</w:t>
                      </w:r>
                      <w:r>
                        <w:rPr>
                          <w:rFonts w:ascii="Times New Roman Bold" w:hAnsi="Times New Roman Bold"/>
                          <w:b/>
                          <w:color w:val="000000" w:themeColor="text1"/>
                        </w:rPr>
                      </w:r>
                      <w:r>
                        <w:rPr>
                          <w:rFonts w:ascii="Times New Roman Bold" w:hAnsi="Times New Roman Bold"/>
                          <w:b/>
                          <w:color w:val="000000" w:themeColor="text1"/>
                        </w:rPr>
                      </w:r>
                    </w:p>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b/>
                          <w:color w:val="000000"/>
                          <w:sz w:val="24"/>
                        </w:rPr>
                        <w:t xml:space="preserve">Quyền sử dụng đất và tài sản gắn liền với đất tại thửa đất số: 18, tờ bản đồ số -/- có địa chỉ: Ô số 18 lô đất LK23, Khu đô thị mới Vân Canh, xã Vân Canh, </w:t>
                      </w:r>
                      <w:r>
                        <w:rPr>
                          <w:rFonts w:ascii="Times New Roman" w:hAnsi="Times New Roman" w:eastAsia="Times New Roman" w:cs="Times New Roman"/>
                          <w:b/>
                          <w:color w:val="000000"/>
                          <w:sz w:val="24"/>
                        </w:rPr>
                        <w:t xml:space="preserve">huyện Hoài Đức</w:t>
                      </w:r>
                      <w:r>
                        <w:rPr>
                          <w:rFonts w:ascii="Times New Roman" w:hAnsi="Times New Roman" w:eastAsia="Times New Roman" w:cs="Times New Roman"/>
                          <w:b/>
                          <w:color w:val="000000"/>
                          <w:sz w:val="24"/>
                        </w:rPr>
                        <w:t xml:space="preserve">, Thành phố Hà Nội (nay là xã Sơn Đồng, thành phố Hà Nội) theo Giấy chứng nhận quyền sử dụng đất, quyền sở hữu tài sản khác g</w:t>
                      </w:r>
                      <w:r>
                        <w:rPr>
                          <w:rFonts w:ascii="Times New Roman" w:hAnsi="Times New Roman" w:eastAsia="Times New Roman" w:cs="Times New Roman"/>
                          <w:b/>
                          <w:color w:val="000000"/>
                          <w:sz w:val="24"/>
                        </w:rPr>
                        <w:t xml:space="preserve">ắn liền với đất số: AA 00799933, số vào sổ cấp GCN: VP 4997 do Văn phòng đăng ký đất đai Hà Nội cấp ngày 19/03/2025; Chủ sử dụng đất là Ông Nguyễn Cao Hải.</w:t>
                      </w:r>
                      <w:r/>
                    </w:p>
                    <w:p>
                      <w:pPr>
                        <w:pBdr/>
                        <w:spacing w:after="120" w:before="120" w:line="360" w:lineRule="auto"/>
                        <w:ind/>
                        <w:jc w:val="both"/>
                        <w:rPr>
                          <w:bCs/>
                          <w:i/>
                        </w:rPr>
                      </w:pPr>
                      <w:r>
                        <w:rPr>
                          <w:b/>
                        </w:rPr>
                      </w:r>
                      <w:r>
                        <w:rPr>
                          <w:bCs/>
                          <w:i/>
                        </w:rPr>
                      </w:r>
                      <w:r>
                        <w:rPr>
                          <w:bCs/>
                          <w:i/>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w:t>
            </w:r>
            <w:r>
              <w:rPr>
                <w:rStyle w:val="1029"/>
                <w:rFonts w:ascii="Times New Roman" w:hAnsi="Times New Roman"/>
                <w:color w:val="000000" w:themeColor="text1"/>
                <w:lang w:val="pt-BR"/>
              </w:rPr>
              <w:t xml:space="preserve">: </w:t>
            </w:r>
            <w:r>
              <w:rPr>
                <w:rStyle w:val="1029"/>
                <w:rFonts w:ascii="Times New Roman" w:hAnsi="Times New Roman"/>
                <w:color w:val="000000" w:themeColor="text1"/>
                <w:lang w:val="pt-BR"/>
              </w:rPr>
              <w:t xml:space="preserve">275/2026/0159/VFI-CT.55.A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w:t>
            </w:r>
            <w:r>
              <w:rPr>
                <w:rStyle w:val="1029"/>
                <w:rFonts w:ascii="Times New Roman" w:hAnsi="Times New Roman"/>
                <w:i/>
                <w:color w:val="auto"/>
              </w:rPr>
              <w:t xml:space="preserve">Hà</w:t>
            </w:r>
            <w:r>
              <w:rPr>
                <w:rStyle w:val="1029"/>
                <w:rFonts w:ascii="Times New Roman" w:hAnsi="Times New Roman"/>
                <w:i/>
                <w:color w:val="auto"/>
              </w:rPr>
              <w:t xml:space="preserve"> </w:t>
            </w:r>
            <w:r>
              <w:rPr>
                <w:rStyle w:val="1029"/>
                <w:rFonts w:ascii="Times New Roman" w:hAnsi="Times New Roman"/>
                <w:i/>
                <w:color w:val="auto"/>
              </w:rPr>
              <w:t xml:space="preserve">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21 tháng 1 năm 2026</w:t>
            </w:r>
            <w:r>
              <w:rPr>
                <w:color w:val="000000" w:themeColor="text1"/>
                <w:sz w:val="24"/>
                <w:szCs w:val="24"/>
                <w:lang w:val="vi-VN"/>
              </w:rPr>
            </w:r>
            <w:r>
              <w:rPr>
                <w:color w:val="000000" w:themeColor="text1"/>
                <w:sz w:val="24"/>
                <w:szCs w:val="24"/>
                <w:lang w:val="vi-VN"/>
              </w:rPr>
            </w:r>
          </w:p>
        </w:tc>
      </w:tr>
    </w:tbl>
    <w:p>
      <w:pPr>
        <w:pStyle w:val="1030"/>
        <w:pBdr/>
        <w:spacing w:after="120" w:before="200" w:line="288" w:lineRule="auto"/>
        <w:ind/>
        <w:jc w:val="center"/>
        <w:rPr>
          <w:rStyle w:val="1029"/>
          <w:rFonts w:ascii="Times New Roman" w:hAnsi="Times New Roman"/>
          <w:b/>
          <w:bCs/>
          <w:color w:val="auto"/>
          <w:sz w:val="30"/>
          <w:szCs w:val="30"/>
          <w:lang w:val="vi-VN"/>
        </w:rPr>
      </w:pPr>
      <w:r>
        <w:rPr>
          <w:rStyle w:val="1029"/>
          <w:rFonts w:ascii="Times New Roman" w:hAnsi="Times New Roman"/>
          <w:b/>
          <w:bCs/>
          <w:color w:val="auto"/>
          <w:sz w:val="30"/>
          <w:szCs w:val="30"/>
          <w:lang w:val="vi-VN"/>
        </w:rPr>
        <w:t xml:space="preserve">CHỨNG THƯ THẨM ĐỊNH GIÁ</w:t>
      </w:r>
      <w:r>
        <w:rPr>
          <w:rStyle w:val="1029"/>
          <w:rFonts w:ascii="Times New Roman" w:hAnsi="Times New Roman"/>
          <w:b/>
          <w:bCs/>
          <w:color w:val="auto"/>
          <w:sz w:val="30"/>
          <w:szCs w:val="30"/>
          <w:lang w:val="vi-VN"/>
        </w:rPr>
      </w:r>
      <w:r>
        <w:rPr>
          <w:rStyle w:val="1029"/>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XÂY DỰNG VÀ DỊCH VỤ THIÊN TRƯỜNG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275/2026/0159/VFI-HĐTĐ.55.A</w:t>
      </w:r>
      <w:r>
        <w:rPr>
          <w:spacing w:val="-4"/>
          <w:lang w:val="vi-VN"/>
        </w:rPr>
        <w:t xml:space="preserve"> ký ngà</w:t>
      </w:r>
      <w:r>
        <w:rPr>
          <w:spacing w:val="-4"/>
          <w:lang w:val="vi-VN"/>
        </w:rPr>
        <w:t xml:space="preserve">y </w:t>
      </w:r>
      <w:r>
        <w:rPr>
          <w:color w:val="000000" w:themeColor="text1"/>
          <w:spacing w:val="-4"/>
        </w:rPr>
        <w:t xml:space="preserve">12 tháng 01 </w:t>
      </w:r>
      <w:r>
        <w:rPr>
          <w:color w:val="000000" w:themeColor="text1"/>
          <w:spacing w:val="-4"/>
        </w:rPr>
        <w:t xml:space="preserve">năm 2026</w:t>
      </w:r>
      <w:r>
        <w:rPr>
          <w:spacing w:val="-4"/>
          <w:lang w:val="vi-VN"/>
        </w:rPr>
        <w:t xml:space="preserve"> </w:t>
      </w:r>
      <w:r>
        <w:rPr>
          <w:spacing w:val="-4"/>
          <w:lang w:val="vi-VN"/>
        </w:rPr>
        <w:t xml:space="preserve">giữa </w:t>
      </w:r>
      <w:r>
        <w:rPr>
          <w:color w:val="000000" w:themeColor="text1"/>
          <w:spacing w:val="-4"/>
        </w:rPr>
        <w:t xml:space="preserve">CÔNG TY TNHH XÂY DỰNG VÀ DỊCH VỤ THIÊN TRƯỜNG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275/2026/0159/VFI-BC.55.A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21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rFonts w:ascii="Times New Roman" w:hAnsi="Times New Roman" w:cs="Times New Roman"/>
                <w:b/>
                <w:bCs/>
              </w:rPr>
            </w:pPr>
            <w:r>
              <w:rPr>
                <w:b/>
                <w:bCs/>
              </w:rPr>
            </w:r>
            <w:r>
              <w:rPr>
                <w:rFonts w:ascii="Times New Roman" w:hAnsi="Times New Roman" w:eastAsia="Times New Roman" w:cs="Times New Roman"/>
                <w:b/>
                <w:bCs/>
                <w:color w:val="081b3a"/>
                <w:spacing w:val="3"/>
                <w:sz w:val="23"/>
                <w:highlight w:val="white"/>
              </w:rPr>
              <w:t xml:space="preserve">CÔNG TY TNHH XÂY DỰNG VÀ DỊCH VỤ THIÊN TRƯỜNG</w:t>
            </w:r>
            <w:r>
              <w:rPr>
                <w:rFonts w:ascii="Times New Roman" w:hAnsi="Times New Roman" w:cs="Times New Roman"/>
                <w:b/>
                <w:bCs/>
              </w:rPr>
            </w:r>
            <w:r>
              <w:rPr>
                <w:rFonts w:ascii="Times New Roman" w:hAnsi="Times New Roman" w:cs="Times New Roman"/>
                <w:b/>
                <w:bCs/>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Mã số thuế</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rFonts w:ascii="Times New Roman" w:hAnsi="Times New Roman" w:cs="Times New Roman"/>
                <w:color w:val="ff0000"/>
                <w:sz w:val="24"/>
                <w:szCs w:val="24"/>
              </w:rPr>
            </w:pPr>
            <w:r>
              <w:rPr>
                <w:color w:val="000000" w:themeColor="text1"/>
                <w:lang w:val="vi-VN"/>
              </w:rPr>
            </w:r>
            <w:r>
              <w:rPr>
                <w:rFonts w:ascii="Times New Roman" w:hAnsi="Times New Roman" w:eastAsia="Times New Roman" w:cs="Times New Roman"/>
                <w:color w:val="081b3a"/>
                <w:spacing w:val="3"/>
                <w:sz w:val="24"/>
                <w:szCs w:val="24"/>
                <w:highlight w:val="white"/>
              </w:rPr>
              <w:t xml:space="preserve">0107001648</w:t>
            </w:r>
            <w:r>
              <w:rPr>
                <w:rFonts w:ascii="Times New Roman" w:hAnsi="Times New Roman" w:cs="Times New Roman"/>
                <w:color w:val="ff0000"/>
                <w:sz w:val="24"/>
                <w:szCs w:val="24"/>
              </w:rPr>
            </w:r>
            <w:r>
              <w:rPr>
                <w:rFonts w:ascii="Times New Roman" w:hAnsi="Times New Roman" w:cs="Times New Roman"/>
                <w:color w:val="ff0000"/>
                <w:sz w:val="24"/>
                <w:szCs w:val="24"/>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Người đại diện</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rFonts w:ascii="Times New Roman" w:hAnsi="Times New Roman" w:cs="Times New Roman"/>
                <w:color w:val="000000" w:themeColor="text1"/>
                <w:sz w:val="24"/>
                <w:szCs w:val="24"/>
              </w:rPr>
            </w:pPr>
            <w:r>
              <w:rPr>
                <w:color w:val="000000" w:themeColor="text1"/>
                <w:lang w:val="vi-VN"/>
              </w:rPr>
            </w:r>
            <w:r>
              <w:rPr>
                <w:rFonts w:ascii="Times New Roman" w:hAnsi="Times New Roman" w:eastAsia="Times New Roman" w:cs="Times New Roman"/>
                <w:color w:val="000000" w:themeColor="text1"/>
                <w:spacing w:val="3"/>
                <w:sz w:val="24"/>
                <w:szCs w:val="24"/>
                <w:highlight w:val="white"/>
              </w:rPr>
              <w:t xml:space="preserve">Ông Vũ Văn Cường        </w:t>
              <w:tab/>
              <w:tab/>
              <w:t xml:space="preserve">Chức vụ: Giám đốc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rFonts w:ascii="Times New Roman" w:hAnsi="Times New Roman" w:cs="Times New Roman"/>
                <w:color w:val="000000" w:themeColor="text1"/>
                <w:sz w:val="24"/>
                <w:szCs w:val="24"/>
              </w:rPr>
            </w:pPr>
            <w:r>
              <w:rPr>
                <w:color w:val="000000" w:themeColor="text1"/>
                <w:lang w:val="vi-VN"/>
              </w:rPr>
            </w:r>
            <w:r>
              <w:rPr>
                <w:rFonts w:ascii="Times New Roman" w:hAnsi="Times New Roman" w:eastAsia="Times New Roman" w:cs="Times New Roman"/>
                <w:color w:val="000000" w:themeColor="text1"/>
                <w:spacing w:val="3"/>
                <w:sz w:val="24"/>
                <w:szCs w:val="24"/>
                <w:highlight w:val="white"/>
              </w:rPr>
              <w:t xml:space="preserve">B12 - LK6 khu nhà ở Phú Thịnh, P. Sơn Tây, TP Hà Nội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bCs/>
              </w:rPr>
            </w:r>
            <w:r>
              <w:rPr>
                <w:bCs/>
              </w:rPr>
              <w:t xml:space="preserve">Số</w:t>
            </w:r>
            <w:r>
              <w:rPr>
                <w:bCs/>
              </w:rPr>
              <w:t xml:space="preserve"> 1294/TB-BTC </w:t>
            </w:r>
            <w:r>
              <w:rPr>
                <w:bCs/>
              </w:rPr>
              <w:t xml:space="preserve">ngày</w:t>
            </w:r>
            <w:r>
              <w:rPr>
                <w:bCs/>
              </w:rPr>
              <w:t xml:space="preserve"> 31/12/2025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b w:val="0"/>
          <w:bCs w:val="0"/>
          <w:color w:val="000000"/>
          <w:sz w:val="24"/>
        </w:rPr>
        <w:t xml:space="preserve">Quyền sử dụng đất và tài sản gắn liền với đất tại thửa đất số: 18, tờ bản đồ số -/- có địa chỉ: Ô số 18 lô đất LK23, Khu đô thị mới Vân Canh, xã Vân Canh, huyện Hoài Đức, Thành phố Hà Nội theo Giấy chứng nhận quyền sử dụng đất, quyền sở hữu tài sản khác g</w:t>
      </w:r>
      <w:r>
        <w:rPr>
          <w:rFonts w:ascii="Times New Roman" w:hAnsi="Times New Roman" w:eastAsia="Times New Roman" w:cs="Times New Roman"/>
          <w:b w:val="0"/>
          <w:bCs w:val="0"/>
          <w:color w:val="000000"/>
          <w:sz w:val="24"/>
        </w:rPr>
        <w:t xml:space="preserve">ắn liền với đất số: AA 00799933, số vào sổ cấp GCN: VP 4997 do Văn phòng đăng ký đất đai Hà Nội cấp ngày 19/03/2025; Chủ sử dụng đất là Ông Nguyễn Cao Hải</w:t>
      </w:r>
      <w:r>
        <w:rPr>
          <w:b w:val="0"/>
          <w:bCs w:val="0"/>
        </w:rPr>
        <w:t xml:space="preserve">.</w:t>
      </w:r>
      <w:r>
        <w:rPr>
          <w:sz w:val="24"/>
        </w:rPr>
      </w: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rPr>
          <w:highlight w:val="none"/>
          <w:lang w:val="vi-VN"/>
        </w:rPr>
      </w:r>
      <w:r>
        <w:rPr>
          <w:highlight w:val="none"/>
          <w:lang w:val="vi-VN"/>
        </w:rPr>
      </w:r>
    </w:p>
    <w:tbl>
      <w:tblPr>
        <w:tblStyle w:val="1035"/>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00"/>
        <w:gridCol w:w="1989"/>
        <w:gridCol w:w="1078"/>
        <w:gridCol w:w="1374"/>
        <w:gridCol w:w="951"/>
        <w:gridCol w:w="1093"/>
        <w:gridCol w:w="2182"/>
      </w:tblGrid>
      <w:tr>
        <w:trPr>
          <w:trHeight w:val="878"/>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8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Hạng mục 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07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Diện tích</w:t>
              <w:br/>
              <w:t xml:space="preserve"> (m²)</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37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Đơn giá</w:t>
              <w:br/>
              <w:t xml:space="preserve"> (Đồng/m²)</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2"/>
              </w:rPr>
              <w:t xml:space="preserve">Tỷ lệ hoàn thiện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0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b/>
                <w:color w:val="000000"/>
                <w:sz w:val="22"/>
              </w:rPr>
              <w:t xml:space="preserve">CLCL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Giá trị thẩm định</w:t>
              <w:br/>
              <w:t xml:space="preserve">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1</w:t>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648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sz w:val="24"/>
                <w:szCs w:val="24"/>
              </w:rPr>
            </w:pPr>
            <w:r>
              <w:rPr>
                <w:rFonts w:ascii="Times New Roman" w:hAnsi="Times New Roman" w:eastAsia="Times New Roman" w:cs="Times New Roman"/>
                <w:b/>
                <w:color w:val="000000"/>
                <w:sz w:val="24"/>
                <w:highlight w:val="none"/>
              </w:rPr>
            </w:r>
            <w:r>
              <w:rPr>
                <w:rFonts w:ascii="Times New Roman" w:hAnsi="Times New Roman" w:eastAsia="Times New Roman" w:cs="Times New Roman"/>
                <w:b/>
                <w:color w:val="000000"/>
                <w:sz w:val="24"/>
              </w:rPr>
              <w:t xml:space="preserve">Quyền sử dụng đất và tài sản gắn liền với đất tại thửa đất số: 18, tờ bản đồ số -/- có địa chỉ: Ô số 18 lô đất LK23, Khu đô thị mới Vân Canh, xã Vân Canh, </w:t>
            </w:r>
            <w:r>
              <w:rPr>
                <w:rFonts w:ascii="Times New Roman" w:hAnsi="Times New Roman" w:eastAsia="Times New Roman" w:cs="Times New Roman"/>
                <w:b/>
                <w:color w:val="000000"/>
                <w:sz w:val="24"/>
              </w:rPr>
              <w:t xml:space="preserve">huyện Hoài Đức</w:t>
            </w:r>
            <w:r>
              <w:rPr>
                <w:rFonts w:ascii="Times New Roman" w:hAnsi="Times New Roman" w:eastAsia="Times New Roman" w:cs="Times New Roman"/>
                <w:b/>
                <w:color w:val="000000"/>
                <w:sz w:val="24"/>
              </w:rPr>
              <w:t xml:space="preserve">, Thành phố Hà Nội (nay là xã Sơn Đồng, thành phố Hà Nội) theo Giấy chứng nhận quyền sử dụng đất, quyền sở hữu tài sản khác g</w:t>
            </w:r>
            <w:r>
              <w:rPr>
                <w:rFonts w:ascii="Times New Roman" w:hAnsi="Times New Roman" w:eastAsia="Times New Roman" w:cs="Times New Roman"/>
                <w:b/>
                <w:color w:val="000000"/>
                <w:sz w:val="24"/>
              </w:rPr>
              <w:t xml:space="preserve">ắn liền với đất số: AA 00799933, số vào sổ cấp GCN: VP 4997 do Văn phòng đăng ký đất đai Hà Nội cấp ngày 19/03/2025; Chủ sử dụng đất là Ông Nguyễn Cao Hải.</w:t>
            </w:r>
            <w:r>
              <w:rPr>
                <w:sz w:val="24"/>
                <w:szCs w:val="24"/>
              </w:rPr>
            </w:r>
            <w:r>
              <w:rPr>
                <w:sz w:val="24"/>
                <w:szCs w:val="24"/>
              </w:rPr>
            </w:r>
          </w:p>
        </w:tc>
        <w:tc>
          <w:tcPr>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spacing w:after="0" w:before="0" w:line="240" w:lineRule="auto"/>
              <w:ind/>
              <w:rPr/>
            </w:p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989" w:type="dxa"/>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bottom w:val="single" w:color="000000" w:sz="8" w:space="0"/>
              <w:right w:val="single" w:color="000000" w:sz="8" w:space="0"/>
            </w:tcBorders>
            <w:tcMar>
              <w:left w:w="108" w:type="dxa"/>
              <w:top w:w="0" w:type="dxa"/>
              <w:right w:w="108" w:type="dxa"/>
              <w:bottom w:w="0" w:type="dxa"/>
            </w:tcMar>
            <w:tcW w:w="1078" w:type="dxa"/>
            <w:vAlign w:val="center"/>
            <w:textDirection w:val="lrTb"/>
            <w:noWrap w:val="false"/>
          </w:tcPr>
          <w:p>
            <w:pPr>
              <w:pBdr/>
              <w:spacing w:after="40" w:before="40" w:line="288" w:lineRule="auto"/>
              <w:ind/>
              <w:jc w:val="center"/>
              <w:rPr>
                <w:color w:val="000000"/>
              </w:rPr>
            </w:pPr>
            <w:r>
              <w:rPr>
                <w:color w:val="000000" w:themeColor="text1"/>
              </w:rPr>
              <w:t xml:space="preserve">103</w:t>
            </w:r>
            <w:r>
              <w:rPr>
                <w:color w:val="000000"/>
              </w:rPr>
            </w:r>
            <w:r>
              <w:rPr>
                <w:color w:val="000000"/>
              </w:rPr>
            </w:r>
          </w:p>
        </w:tc>
        <w:tc>
          <w:tcPr>
            <w:tcBorders>
              <w:bottom w:val="single" w:color="000000" w:sz="8" w:space="0"/>
              <w:right w:val="single" w:color="000000" w:sz="8" w:space="0"/>
            </w:tcBorders>
            <w:tcMar>
              <w:left w:w="108" w:type="dxa"/>
              <w:top w:w="0" w:type="dxa"/>
              <w:right w:w="108" w:type="dxa"/>
              <w:bottom w:w="0" w:type="dxa"/>
            </w:tcMar>
            <w:tcW w:w="1374" w:type="dxa"/>
            <w:vAlign w:val="center"/>
            <w:textDirection w:val="lrTb"/>
            <w:noWrap w:val="false"/>
          </w:tcPr>
          <w:p>
            <w:pPr>
              <w:pBdr/>
              <w:spacing w:after="40" w:before="40" w:line="288" w:lineRule="auto"/>
              <w:ind/>
              <w:jc w:val="center"/>
              <w:rPr/>
            </w:pPr>
            <w:r>
              <w:rPr>
                <w:color w:val="000000" w:themeColor="text1"/>
              </w:rPr>
              <w:t xml:space="preserve">214.000.000</w:t>
            </w:r>
            <w:r/>
          </w:p>
        </w:tc>
        <w:tc>
          <w:tcPr>
            <w:tcBorders>
              <w:bottom w:val="single" w:color="000000" w:sz="8" w:space="0"/>
              <w:right w:val="single" w:color="000000" w:sz="8" w:space="0"/>
            </w:tcBorders>
            <w:tcMar>
              <w:left w:w="108" w:type="dxa"/>
              <w:top w:w="0" w:type="dxa"/>
              <w:right w:w="108" w:type="dxa"/>
              <w:bottom w:w="0" w:type="dxa"/>
            </w:tcMar>
            <w:tcW w:w="951" w:type="dxa"/>
            <w:vAlign w:val="center"/>
            <w:textDirection w:val="lrTb"/>
            <w:noWrap w:val="false"/>
          </w:tcPr>
          <w:p>
            <w:pPr>
              <w:pBdr/>
              <w:spacing w:after="40" w:before="40" w:line="288" w:lineRule="auto"/>
              <w:ind/>
              <w:jc w:val="center"/>
              <w:rPr/>
            </w:pPr>
            <w:r>
              <w:rPr>
                <w:color w:val="000000" w:themeColor="text1"/>
              </w:rPr>
            </w:r>
            <w:r/>
          </w:p>
        </w:tc>
        <w:tc>
          <w:tcPr>
            <w:tcBorders>
              <w:bottom w:val="single" w:color="000000" w:sz="8" w:space="0"/>
              <w:right w:val="single" w:color="000000" w:sz="8" w:space="0"/>
            </w:tcBorders>
            <w:tcMar>
              <w:left w:w="108" w:type="dxa"/>
              <w:top w:w="0" w:type="dxa"/>
              <w:right w:w="108" w:type="dxa"/>
              <w:bottom w:w="0" w:type="dxa"/>
            </w:tcMar>
            <w:tcW w:w="10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spacing w:after="40" w:before="40" w:line="288" w:lineRule="auto"/>
              <w:ind/>
              <w:jc w:val="center"/>
              <w:rPr>
                <w:b/>
                <w:bCs/>
                <w:color w:val="000000"/>
              </w:rPr>
            </w:pPr>
            <w:r>
              <w:t xml:space="preserve">22.042.000.000</w:t>
            </w:r>
            <w:r>
              <w:rPr>
                <w:b/>
                <w:bCs/>
                <w:color w:val="000000"/>
              </w:rPr>
            </w:r>
            <w:r>
              <w:rPr>
                <w:b/>
                <w:bCs/>
                <w:color w:val="000000"/>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9"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4"/>
              </w:rPr>
              <w:t xml:space="preserve">Nhà 3 tầng + 1 tum</w:t>
            </w:r>
            <w:r/>
          </w:p>
        </w:tc>
        <w:tc>
          <w:tcPr>
            <w:tcBorders>
              <w:bottom w:val="single" w:color="000000" w:sz="8" w:space="0"/>
              <w:right w:val="single" w:color="000000" w:sz="8" w:space="0"/>
            </w:tcBorders>
            <w:tcMar>
              <w:left w:w="108" w:type="dxa"/>
              <w:top w:w="0" w:type="dxa"/>
              <w:right w:w="108" w:type="dxa"/>
              <w:bottom w:w="0" w:type="dxa"/>
            </w:tcMar>
            <w:tcW w:w="1078"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   264,8 </w:t>
            </w:r>
            <w:r/>
          </w:p>
        </w:tc>
        <w:tc>
          <w:tcPr>
            <w:tcBorders>
              <w:bottom w:val="single" w:color="000000" w:sz="8" w:space="0"/>
              <w:right w:val="single" w:color="000000" w:sz="8" w:space="0"/>
            </w:tcBorders>
            <w:tcMar>
              <w:left w:w="108" w:type="dxa"/>
              <w:top w:w="0" w:type="dxa"/>
              <w:right w:w="108" w:type="dxa"/>
              <w:bottom w:w="0" w:type="dxa"/>
            </w:tcMar>
            <w:tcW w:w="137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7.304.696</w:t>
            </w:r>
            <w:r/>
          </w:p>
        </w:tc>
        <w:tc>
          <w:tcPr>
            <w:tcBorders>
              <w:bottom w:val="single" w:color="000000" w:sz="8" w:space="0"/>
              <w:right w:val="single" w:color="000000" w:sz="8" w:space="0"/>
            </w:tcBorders>
            <w:tcMar>
              <w:left w:w="108" w:type="dxa"/>
              <w:top w:w="0" w:type="dxa"/>
              <w:right w:w="108" w:type="dxa"/>
              <w:bottom w:w="0" w:type="dxa"/>
            </w:tcMar>
            <w:tcW w:w="95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70%</w:t>
            </w:r>
            <w:r/>
          </w:p>
        </w:tc>
        <w:tc>
          <w:tcPr>
            <w:tcBorders>
              <w:bottom w:val="single" w:color="000000" w:sz="8" w:space="0"/>
              <w:right w:val="single" w:color="000000" w:sz="8" w:space="0"/>
            </w:tcBorders>
            <w:tcMar>
              <w:left w:w="108" w:type="dxa"/>
              <w:top w:w="0" w:type="dxa"/>
              <w:right w:w="108" w:type="dxa"/>
              <w:bottom w:w="0" w:type="dxa"/>
            </w:tcMar>
            <w:tcW w:w="109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72%</w:t>
            </w:r>
            <w:r/>
          </w:p>
        </w:tc>
        <w:tc>
          <w:tcPr>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974.878.884</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0" w:type="dxa"/>
            <w:vAlign w:val="center"/>
            <w:textDirection w:val="lrTb"/>
            <w:noWrap w:val="false"/>
          </w:tcPr>
          <w:p>
            <w:pPr>
              <w:pBdr/>
              <w:spacing w:after="0" w:before="0" w:line="240" w:lineRule="auto"/>
              <w:ind/>
              <w:rPr/>
            </w:pPr>
            <w:r/>
            <w:r/>
          </w:p>
        </w:tc>
        <w:tc>
          <w:tcPr>
            <w:gridSpan w:val="5"/>
            <w:tcBorders>
              <w:bottom w:val="single" w:color="000000" w:sz="8" w:space="0"/>
              <w:right w:val="single" w:color="000000" w:sz="8" w:space="0"/>
            </w:tcBorders>
            <w:tcMar>
              <w:left w:w="108" w:type="dxa"/>
              <w:top w:w="0" w:type="dxa"/>
              <w:right w:w="108" w:type="dxa"/>
              <w:bottom w:w="0" w:type="dxa"/>
            </w:tcMar>
            <w:tcW w:w="648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Tổng cộng</w:t>
            </w:r>
            <w:r/>
          </w:p>
        </w:tc>
        <w:tc>
          <w:tcPr>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    23.016.878.884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c>
          <w:tcPr>
            <w:gridSpan w:val="5"/>
            <w:tcBorders>
              <w:bottom w:val="single" w:color="000000" w:sz="8" w:space="0"/>
              <w:right w:val="single" w:color="000000" w:sz="8" w:space="0"/>
            </w:tcBorders>
            <w:tcMar>
              <w:left w:w="108" w:type="dxa"/>
              <w:top w:w="0" w:type="dxa"/>
              <w:right w:w="108" w:type="dxa"/>
              <w:bottom w:w="0" w:type="dxa"/>
            </w:tcMar>
            <w:tcW w:w="648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23.017.000.000</w:t>
            </w:r>
            <w:r/>
          </w:p>
        </w:tc>
      </w:tr>
      <w:tr>
        <w:trPr>
          <w:trHeight w:val="20"/>
        </w:trPr>
        <w:tc>
          <w:tcPr>
            <w:gridSpan w:val="7"/>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2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i/>
                <w:color w:val="000000"/>
                <w:sz w:val="24"/>
              </w:rPr>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Hai mươi ba tỷ không trăm mười bảy triệu đồng chẵn</w:t>
            </w:r>
            <w:r>
              <w:rPr>
                <w:b/>
                <w:bCs/>
                <w:i/>
                <w:iCs/>
                <w:color w:val="000000"/>
              </w:rPr>
              <w:t xml:space="preserve">./.)</w:t>
            </w:r>
            <w:r>
              <w:rPr>
                <w:rFonts w:ascii="Times New Roman" w:hAnsi="Times New Roman" w:eastAsia="Times New Roman" w:cs="Times New Roman"/>
                <w:b/>
                <w:i/>
                <w:color w:val="000000"/>
                <w:sz w:val="24"/>
              </w:rPr>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bCs/>
          <w:spacing w:val="-4"/>
          <w:lang w:val="pt-BR"/>
        </w:rPr>
      </w:r>
      <w:r>
        <w:rPr>
          <w:rFonts w:eastAsia="Calibri"/>
          <w:b/>
          <w:bCs/>
          <w:spacing w:val="-4"/>
          <w:lang w:val="pt-BR"/>
        </w:rPr>
      </w:r>
    </w:p>
    <w:p>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w:t>
            </w:r>
            <w:r>
              <w:rPr>
                <w:rStyle w:val="1029"/>
                <w:rFonts w:ascii="Times New Roman" w:hAnsi="Times New Roman"/>
                <w:color w:val="000000" w:themeColor="text1"/>
                <w:lang w:val="pt-BR"/>
              </w:rPr>
              <w:t xml:space="preserve">: </w:t>
            </w:r>
            <w:r>
              <w:rPr>
                <w:rStyle w:val="1029"/>
                <w:rFonts w:ascii="Times New Roman" w:hAnsi="Times New Roman"/>
                <w:color w:val="000000" w:themeColor="text1"/>
                <w:lang w:val="pt-BR"/>
              </w:rPr>
              <w:t xml:space="preserve">275/2026/0159/VFI-BC.55.A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w:t>
            </w:r>
            <w:r>
              <w:rPr>
                <w:rStyle w:val="1029"/>
                <w:rFonts w:ascii="Times New Roman" w:hAnsi="Times New Roman"/>
                <w:i/>
                <w:color w:val="auto"/>
              </w:rPr>
              <w:t xml:space="preserve">Hà</w:t>
            </w:r>
            <w:r>
              <w:rPr>
                <w:rStyle w:val="1029"/>
                <w:rFonts w:ascii="Times New Roman" w:hAnsi="Times New Roman"/>
                <w:i/>
                <w:color w:val="auto"/>
              </w:rPr>
              <w:t xml:space="preserve"> </w:t>
            </w:r>
            <w:r>
              <w:rPr>
                <w:rStyle w:val="1029"/>
                <w:rFonts w:ascii="Times New Roman" w:hAnsi="Times New Roman"/>
                <w:i/>
                <w:color w:val="auto"/>
              </w:rPr>
              <w:t xml:space="preserve">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21 tháng 1 năm 2026</w:t>
            </w:r>
            <w:r>
              <w:rPr>
                <w:color w:val="000000" w:themeColor="text1"/>
                <w:sz w:val="24"/>
                <w:szCs w:val="24"/>
                <w:lang w:val="vi-VN"/>
              </w:rPr>
            </w:r>
            <w:r>
              <w:rPr>
                <w:color w:val="000000" w:themeColor="text1"/>
                <w:sz w:val="24"/>
                <w:szCs w:val="24"/>
                <w:lang w:val="vi-VN"/>
              </w:rPr>
            </w:r>
          </w:p>
        </w:tc>
      </w:tr>
    </w:tbl>
    <w:p>
      <w:pPr>
        <w:pStyle w:val="1030"/>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275/2026/0159/VFI-CT.55.A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21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rFonts w:ascii="Times New Roman" w:hAnsi="Times New Roman" w:cs="Times New Roman"/>
                <w:color w:val="000000" w:themeColor="text1"/>
                <w:sz w:val="24"/>
                <w:szCs w:val="24"/>
              </w:rPr>
            </w:pPr>
            <w:r>
              <w:rPr>
                <w:rFonts w:ascii="Times New Roman" w:hAnsi="Times New Roman" w:eastAsia="Times New Roman" w:cs="Times New Roman"/>
                <w:b/>
                <w:bCs/>
                <w:color w:val="000000" w:themeColor="text1"/>
                <w:sz w:val="24"/>
                <w:szCs w:val="24"/>
              </w:rPr>
            </w:r>
            <w:r>
              <w:rPr>
                <w:rFonts w:ascii="Times New Roman" w:hAnsi="Times New Roman" w:eastAsia="Times New Roman" w:cs="Times New Roman"/>
                <w:color w:val="000000" w:themeColor="text1"/>
                <w:spacing w:val="3"/>
                <w:sz w:val="24"/>
                <w:szCs w:val="24"/>
                <w:highlight w:val="white"/>
              </w:rPr>
              <w:t xml:space="preserve">CÔNG TY TNHH XÂY DỰNG VÀ DỊCH VỤ THIÊN TRƯỜNG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Mã số thuế</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rFonts w:ascii="Times New Roman" w:hAnsi="Times New Roman" w:cs="Times New Roman"/>
                <w:b/>
                <w:bCs/>
                <w:color w:val="000000" w:themeColor="text1"/>
                <w:sz w:val="24"/>
                <w:szCs w:val="24"/>
              </w:rPr>
            </w:pPr>
            <w:r>
              <w:rPr>
                <w:rFonts w:ascii="Times New Roman" w:hAnsi="Times New Roman" w:eastAsia="Times New Roman" w:cs="Times New Roman"/>
                <w:color w:val="000000" w:themeColor="text1"/>
                <w:sz w:val="24"/>
                <w:szCs w:val="24"/>
                <w:lang w:val="vi-VN"/>
              </w:rPr>
            </w:r>
            <w:r>
              <w:rPr>
                <w:rFonts w:ascii="Times New Roman" w:hAnsi="Times New Roman" w:eastAsia="Times New Roman" w:cs="Times New Roman"/>
                <w:color w:val="000000" w:themeColor="text1"/>
                <w:spacing w:val="3"/>
                <w:sz w:val="24"/>
                <w:szCs w:val="24"/>
                <w:highlight w:val="white"/>
              </w:rPr>
              <w:t xml:space="preserve">0107001648</w:t>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Người đại diện</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rFonts w:ascii="Times New Roman" w:hAnsi="Times New Roman" w:cs="Times New Roman"/>
                <w:b/>
                <w:bCs/>
                <w:color w:val="000000" w:themeColor="text1"/>
                <w:sz w:val="24"/>
                <w:szCs w:val="24"/>
              </w:rPr>
            </w:pPr>
            <w:r>
              <w:rPr>
                <w:rFonts w:ascii="Times New Roman" w:hAnsi="Times New Roman" w:eastAsia="Times New Roman" w:cs="Times New Roman"/>
                <w:color w:val="000000" w:themeColor="text1"/>
                <w:sz w:val="24"/>
                <w:szCs w:val="24"/>
                <w:lang w:val="vi-VN"/>
              </w:rPr>
            </w:r>
            <w:r>
              <w:rPr>
                <w:rFonts w:ascii="Times New Roman" w:hAnsi="Times New Roman" w:eastAsia="Times New Roman" w:cs="Times New Roman"/>
                <w:color w:val="000000" w:themeColor="text1"/>
                <w:spacing w:val="3"/>
                <w:sz w:val="24"/>
                <w:szCs w:val="24"/>
                <w:highlight w:val="white"/>
              </w:rPr>
              <w:t xml:space="preserve">Ông Vũ Văn Cường        </w:t>
              <w:tab/>
              <w:tab/>
              <w:t xml:space="preserve">Chức vụ: Giám đốc</w:t>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rFonts w:ascii="Times New Roman" w:hAnsi="Times New Roman" w:cs="Times New Roman"/>
                <w:b/>
                <w:bCs/>
                <w:color w:val="000000" w:themeColor="text1"/>
                <w:sz w:val="24"/>
                <w:szCs w:val="24"/>
              </w:rPr>
            </w:pPr>
            <w:r>
              <w:rPr>
                <w:rFonts w:ascii="Times New Roman" w:hAnsi="Times New Roman" w:eastAsia="Times New Roman" w:cs="Times New Roman"/>
                <w:color w:val="000000" w:themeColor="text1"/>
                <w:sz w:val="24"/>
                <w:szCs w:val="24"/>
                <w:lang w:val="vi-VN"/>
              </w:rPr>
            </w:r>
            <w:r>
              <w:rPr>
                <w:rFonts w:ascii="Times New Roman" w:hAnsi="Times New Roman" w:eastAsia="Times New Roman" w:cs="Times New Roman"/>
                <w:color w:val="000000" w:themeColor="text1"/>
                <w:spacing w:val="3"/>
                <w:sz w:val="24"/>
                <w:szCs w:val="24"/>
                <w:highlight w:val="white"/>
              </w:rPr>
              <w:t xml:space="preserve">B12 - LK6 khu nhà ở Phú Thịnh, P. Sơn Tây, TP Hà Nội</w:t>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b w:val="0"/>
                <w:bCs w:val="0"/>
                <w:sz w:val="24"/>
              </w:rPr>
            </w:pPr>
            <w:r>
              <w:rPr>
                <w:rFonts w:ascii="Times New Roman" w:hAnsi="Times New Roman" w:eastAsia="Times New Roman" w:cs="Times New Roman"/>
                <w:b w:val="0"/>
                <w:bCs w:val="0"/>
                <w:color w:val="000000"/>
                <w:sz w:val="24"/>
              </w:rPr>
            </w:r>
            <w:r>
              <w:rPr>
                <w:rFonts w:ascii="Times New Roman" w:hAnsi="Times New Roman" w:eastAsia="Times New Roman" w:cs="Times New Roman"/>
                <w:b w:val="0"/>
                <w:bCs w:val="0"/>
                <w:color w:val="000000"/>
                <w:sz w:val="24"/>
              </w:rPr>
              <w:t xml:space="preserve">Quyền sử dụng đất và tài sản gắn liền với đất tại thửa đất số: 18, tờ bản đồ số -/- có địa chỉ: Ô số 18 lô đất LK23, Khu đô thị mới Vân Canh, xã Vân Canh, </w:t>
            </w:r>
            <w:r>
              <w:rPr>
                <w:rFonts w:ascii="Times New Roman" w:hAnsi="Times New Roman" w:eastAsia="Times New Roman" w:cs="Times New Roman"/>
                <w:b w:val="0"/>
                <w:bCs w:val="0"/>
                <w:color w:val="000000"/>
                <w:sz w:val="24"/>
              </w:rPr>
              <w:t xml:space="preserve">huyện Hoài Đức</w:t>
            </w:r>
            <w:r>
              <w:rPr>
                <w:rFonts w:ascii="Times New Roman" w:hAnsi="Times New Roman" w:eastAsia="Times New Roman" w:cs="Times New Roman"/>
                <w:b w:val="0"/>
                <w:bCs w:val="0"/>
                <w:color w:val="000000"/>
                <w:sz w:val="24"/>
              </w:rPr>
              <w:t xml:space="preserve">, Thành phố Hà Nội (nay là xã Sơn Đồng, thành phố Hà Nội) theo Giấy chứng nhận quyền sử dụng đất, quyền sở hữu tài sản khác g</w:t>
            </w:r>
            <w:r>
              <w:rPr>
                <w:rFonts w:ascii="Times New Roman" w:hAnsi="Times New Roman" w:eastAsia="Times New Roman" w:cs="Times New Roman"/>
                <w:b w:val="0"/>
                <w:bCs w:val="0"/>
                <w:color w:val="000000"/>
                <w:sz w:val="24"/>
              </w:rPr>
              <w:t xml:space="preserve">ắn liền với đất số: AA 00799933, số vào sổ cấp GCN: VP 4997 do Văn phòng đăng ký đất đai Hà Nội cấp ngày 19/03/2025; Chủ sử dụng đất là Ông Nguyễn Cao Hải.</w:t>
            </w:r>
            <w:r>
              <w:rPr>
                <w:b w:val="0"/>
                <w:bCs w:val="0"/>
                <w:sz w:val="24"/>
              </w:rPr>
            </w:r>
            <w:r>
              <w:rPr>
                <w:b w:val="0"/>
                <w:bCs w:val="0"/>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Vân Canh, Huyện Hoài Đức,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31"/>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31"/>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31"/>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31"/>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1"/>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31"/>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31"/>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31"/>
        <w:numPr>
          <w:ilvl w:val="0"/>
          <w:numId w:val="2"/>
        </w:numPr>
        <w:pBdr/>
        <w:tabs>
          <w:tab w:val="left" w:leader="none" w:pos="993"/>
        </w:tabs>
        <w:spacing w:after="120" w:before="120" w:line="276" w:lineRule="auto"/>
        <w:ind/>
        <w:jc w:val="both"/>
        <w:rPr>
          <w:i/>
          <w:iCs/>
          <w:lang w:val="pt-BR"/>
        </w:rPr>
      </w:pPr>
      <w:r>
        <w:rPr>
          <w:rFonts w:ascii="Times New Roman" w:hAnsi="Times New Roman" w:eastAsia="Times New Roman" w:cs="Times New Roman"/>
          <w:b w:val="0"/>
          <w:bCs w:val="0"/>
          <w:color w:val="000000"/>
          <w:sz w:val="24"/>
        </w:rPr>
        <w:t xml:space="preserve">Giấy chứng nhận quyền sử dụng đất, quyền sở hữu tài sản khác g</w:t>
      </w:r>
      <w:r>
        <w:rPr>
          <w:rFonts w:ascii="Times New Roman" w:hAnsi="Times New Roman" w:eastAsia="Times New Roman" w:cs="Times New Roman"/>
          <w:b w:val="0"/>
          <w:bCs w:val="0"/>
          <w:color w:val="000000"/>
          <w:sz w:val="24"/>
        </w:rPr>
        <w:t xml:space="preserve">ắn liền với đất số: AA 00799933, số vào sổ cấp GCN: VP 4997 do Văn phòng đăng ký đất đai Hà Nội cấp ngày 19/03/2025; Chủ sử dụng đất là Ông Nguyễn Cao Hải</w:t>
      </w:r>
      <w:r>
        <w:rPr>
          <w:bCs/>
          <w:color w:val="000000" w:themeColor="text1"/>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31"/>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275/2026/0159/VFI-HĐTĐ.55.A ngày 12/01/2026 giữa CÔNG TY TNHH XÂY DỰNG VÀ DỊCH VỤ THIÊN TRƯỜNG với Công ty Cổ phần Thẩm định và Đầu tư Tài chính Hoa Sen.</w:t>
      </w:r>
      <w:r>
        <w:rPr>
          <w:b/>
          <w:lang w:val="pt-BR"/>
        </w:rPr>
      </w:r>
      <w:r>
        <w:rPr>
          <w:b/>
          <w:lang w:val="pt-BR"/>
        </w:rPr>
      </w:r>
    </w:p>
    <w:p>
      <w:pPr>
        <w:pStyle w:val="1031"/>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ight="0" w:firstLine="425" w:left="0"/>
        <w:rPr>
          <w:rFonts w:ascii="Times New Roman" w:hAnsi="Times New Roman" w:cs="Times New Roman"/>
          <w:i/>
          <w:iCs/>
          <w:color w:val="000000" w:themeColor="text1"/>
          <w:highlight w:val="none"/>
        </w:rPr>
      </w:pPr>
      <w:r>
        <w:rPr>
          <w:rFonts w:ascii="Times New Roman" w:hAnsi="Times New Roman" w:eastAsia="Times New Roman" w:cs="Times New Roman"/>
          <w:color w:val="000000" w:themeColor="text1"/>
          <w:lang w:val="pt-BR"/>
        </w:rPr>
        <w:tab/>
      </w:r>
      <w:r>
        <w:rPr>
          <w:rFonts w:ascii="Times New Roman" w:hAnsi="Times New Roman" w:eastAsia="Times New Roman" w:cs="Times New Roman"/>
          <w:color w:val="000000" w:themeColor="text1"/>
          <w:highlight w:val="white"/>
        </w:rPr>
        <w:t xml:space="preserve">Vị trí của khu đất dịch vụ 25.2 ha tại Vân Canh là một trong những điểm nổi bật nhất. Khu vực này nằm giáp ranh giữa hai quận Nam Từ Liêm và Hoài Đức, tạo điều kiện thuận lợi cho việc di chuyển vào trung tâm thành phố cũng như các khu vực lân cận. Chỉ mất </w:t>
      </w:r>
      <w:r>
        <w:rPr>
          <w:rFonts w:ascii="Times New Roman" w:hAnsi="Times New Roman" w:eastAsia="Times New Roman" w:cs="Times New Roman"/>
          <w:color w:val="000000" w:themeColor="text1"/>
          <w:highlight w:val="white"/>
        </w:rPr>
        <w:t xml:space="preserve">khoảng 10 phút lái xe để đến Mỹ Đình, nơi tập trung nhiều tiện ích và cơ quan hành chính quan trọng.</w:t>
      </w:r>
      <w:r>
        <w:rPr>
          <w:rFonts w:ascii="Times New Roman" w:hAnsi="Times New Roman" w:cs="Times New Roman"/>
          <w:i/>
          <w:iCs/>
          <w:color w:val="000000" w:themeColor="text1"/>
          <w:highlight w:val="none"/>
        </w:rPr>
      </w:r>
      <w:r>
        <w:rPr>
          <w:rFonts w:ascii="Times New Roman" w:hAnsi="Times New Roman" w:cs="Times New Roman"/>
          <w:i/>
          <w:iCs/>
          <w:color w:val="000000" w:themeColor="text1"/>
          <w:highlight w:val="none"/>
        </w:rPr>
      </w:r>
    </w:p>
    <w:p>
      <w:pPr>
        <w:pBdr/>
        <w:tabs>
          <w:tab w:val="left" w:leader="none" w:pos="426"/>
        </w:tabs>
        <w:spacing w:after="120" w:before="120" w:line="276" w:lineRule="auto"/>
        <w:ind w:right="0" w:firstLine="425" w:left="0"/>
        <w:rPr>
          <w:rFonts w:ascii="Times New Roman" w:hAnsi="Times New Roman" w:cs="Times New Roman"/>
          <w:bCs/>
          <w:i/>
          <w:color w:val="000000" w:themeColor="text1"/>
          <w:highlight w:val="none"/>
        </w:rPr>
      </w:pPr>
      <w:r>
        <w:rPr>
          <w:rFonts w:ascii="Times New Roman" w:hAnsi="Times New Roman" w:eastAsia="Times New Roman" w:cs="Times New Roman"/>
          <w:i/>
          <w:iCs/>
          <w:color w:val="000000" w:themeColor="text1"/>
          <w:highlight w:val="none"/>
          <w:lang w:val="pt-BR" w:bidi="pt-BR"/>
        </w:rPr>
      </w:r>
      <w:r>
        <w:rPr>
          <w:rFonts w:ascii="Times New Roman" w:hAnsi="Times New Roman" w:eastAsia="Times New Roman" w:cs="Times New Roman"/>
          <w:color w:val="000000" w:themeColor="text1"/>
          <w:highlight w:val="white"/>
        </w:rPr>
        <w:t xml:space="preserve">Khu vực này được bao quanh bởi các tuyến đường huyết mạch như đường Vành đai 3.5, đường 70 và đường Văn Tiến Dũng kéo dài, đảm bảo khả năng kết nối linh hoạt và giảm thiểu thời gian di chuyển. Sự hiện diện của các tuyến đường này không chỉ giúp cư dân di c</w:t>
      </w:r>
      <w:r>
        <w:rPr>
          <w:rFonts w:ascii="Times New Roman" w:hAnsi="Times New Roman" w:eastAsia="Times New Roman" w:cs="Times New Roman"/>
          <w:color w:val="000000" w:themeColor="text1"/>
          <w:highlight w:val="white"/>
        </w:rPr>
        <w:t xml:space="preserve">huyển dễ dàng mà còn thúc đẩy giá trị của các mảnh</w:t>
      </w:r>
      <w:r>
        <w:rPr>
          <w:rFonts w:ascii="Times New Roman" w:hAnsi="Times New Roman" w:eastAsia="Times New Roman" w:cs="Times New Roman"/>
          <w:color w:val="000000" w:themeColor="text1"/>
          <w:sz w:val="24"/>
          <w:highlight w:val="white"/>
        </w:rPr>
        <w:t xml:space="preserve"> </w:t>
      </w:r>
      <w:r>
        <w:rPr>
          <w:rFonts w:ascii="Times New Roman" w:hAnsi="Times New Roman" w:eastAsia="Times New Roman" w:cs="Times New Roman"/>
          <w:b w:val="0"/>
          <w:bCs w:val="0"/>
          <w:color w:val="000000" w:themeColor="text1"/>
          <w:highlight w:val="white"/>
        </w:rPr>
        <w:t xml:space="preserve">đất nền Vân Canh Hoài Đức</w:t>
      </w:r>
      <w:r>
        <w:rPr>
          <w:rFonts w:ascii="Times New Roman" w:hAnsi="Times New Roman" w:eastAsia="Times New Roman" w:cs="Times New Roman"/>
          <w:color w:val="000000" w:themeColor="text1"/>
          <w:sz w:val="24"/>
          <w:highlight w:val="white"/>
        </w:rPr>
        <w:t xml:space="preserve"> </w:t>
      </w:r>
      <w:r>
        <w:rPr>
          <w:rFonts w:ascii="Times New Roman" w:hAnsi="Times New Roman" w:eastAsia="Times New Roman" w:cs="Times New Roman"/>
          <w:color w:val="000000" w:themeColor="text1"/>
          <w:highlight w:val="white"/>
        </w:rPr>
        <w:t xml:space="preserve">tăng trưởng mạnh mẽ.</w:t>
      </w:r>
      <w:r>
        <w:rPr>
          <w:rFonts w:ascii="Times New Roman" w:hAnsi="Times New Roman" w:cs="Times New Roman"/>
          <w:bCs/>
          <w:i/>
          <w:color w:val="000000" w:themeColor="text1"/>
          <w:highlight w:val="none"/>
        </w:rPr>
      </w:r>
      <w:r>
        <w:rPr>
          <w:rFonts w:ascii="Times New Roman" w:hAnsi="Times New Roman" w:cs="Times New Roman"/>
          <w:bCs/>
          <w:i/>
          <w:color w:val="000000" w:themeColor="text1"/>
          <w:highlight w:val="none"/>
        </w:rPr>
      </w:r>
    </w:p>
    <w:p>
      <w:pPr>
        <w:pBdr/>
        <w:tabs>
          <w:tab w:val="left" w:leader="none" w:pos="426"/>
        </w:tabs>
        <w:spacing w:after="120" w:before="120" w:line="276" w:lineRule="auto"/>
        <w:ind w:right="0" w:firstLine="425" w:left="0"/>
        <w:rPr>
          <w:rFonts w:ascii="Times New Roman" w:hAnsi="Times New Roman" w:cs="Times New Roman"/>
          <w:bCs/>
          <w:i/>
          <w:color w:val="000000" w:themeColor="text1"/>
          <w:highlight w:val="none"/>
        </w:rPr>
      </w:pPr>
      <w:r>
        <w:rPr>
          <w:rFonts w:ascii="Times New Roman" w:hAnsi="Times New Roman" w:eastAsia="Times New Roman" w:cs="Times New Roman"/>
          <w:i/>
          <w:iCs/>
          <w:color w:val="000000" w:themeColor="text1"/>
          <w:highlight w:val="none"/>
          <w:lang w:val="pt-BR" w:bidi="pt-BR"/>
        </w:rPr>
      </w:r>
      <w:r>
        <w:rPr>
          <w:rFonts w:ascii="Times New Roman" w:hAnsi="Times New Roman" w:eastAsia="Times New Roman" w:cs="Times New Roman"/>
          <w:color w:val="000000" w:themeColor="text1"/>
          <w:highlight w:val="white"/>
        </w:rPr>
        <w:t xml:space="preserve">Hoài Đức đang trong giai đoạn chuyển mình mạnh mẽ, với lộ trình lên quận dự kiến trong tương lai gần. Sự kiện này dự báo sẽ tạo ra một cú hích lớn cho thị trường bất động sản khu vực, đặc biệt là phân khúc</w:t>
      </w:r>
      <w:r>
        <w:rPr>
          <w:rFonts w:ascii="Times New Roman" w:hAnsi="Times New Roman" w:eastAsia="Times New Roman" w:cs="Times New Roman"/>
          <w:color w:val="000000" w:themeColor="text1"/>
          <w:sz w:val="24"/>
          <w:highlight w:val="white"/>
        </w:rPr>
        <w:t xml:space="preserve"> </w:t>
      </w:r>
      <w:r>
        <w:rPr>
          <w:rFonts w:ascii="Times New Roman" w:hAnsi="Times New Roman" w:eastAsia="Times New Roman" w:cs="Times New Roman"/>
          <w:b w:val="0"/>
          <w:bCs w:val="0"/>
          <w:color w:val="000000" w:themeColor="text1"/>
          <w:highlight w:val="white"/>
        </w:rPr>
        <w:t xml:space="preserve">đất nền Hoài Đức</w:t>
      </w:r>
      <w:r>
        <w:rPr>
          <w:rFonts w:ascii="Times New Roman" w:hAnsi="Times New Roman" w:eastAsia="Times New Roman" w:cs="Times New Roman"/>
          <w:color w:val="000000" w:themeColor="text1"/>
          <w:highlight w:val="white"/>
        </w:rPr>
        <w:t xml:space="preserve">. Các chính sách quy hoạch đô thị đồng bộ, đầu tư mạnh vào cơ sở hạ tầng, cùng với tốc độ đô thị hóa nhanh chóng, biến Vân Canh trở thành một trong những khu vực có tiềm năng tăng trưởng giá trị bất động sản hàng đầu.</w:t>
      </w:r>
      <w:r>
        <w:rPr>
          <w:rFonts w:ascii="Times New Roman" w:hAnsi="Times New Roman" w:cs="Times New Roman"/>
          <w:bCs/>
          <w:i/>
          <w:color w:val="000000" w:themeColor="text1"/>
          <w:highlight w:val="none"/>
        </w:rPr>
      </w:r>
      <w:r>
        <w:rPr>
          <w:rFonts w:ascii="Times New Roman" w:hAnsi="Times New Roman" w:cs="Times New Roman"/>
          <w:bCs/>
          <w:i/>
          <w:color w:val="000000" w:themeColor="text1"/>
          <w:highlight w:val="none"/>
        </w:rPr>
      </w:r>
    </w:p>
    <w:p>
      <w:pPr>
        <w:pBdr>
          <w:top w:val="none" w:color="000000" w:sz="4" w:space="0"/>
          <w:left w:val="none" w:color="000000" w:sz="4" w:space="0"/>
          <w:bottom w:val="none" w:color="000000" w:sz="4" w:space="0"/>
          <w:right w:val="none" w:color="000000" w:sz="4" w:space="0"/>
        </w:pBdr>
        <w:shd w:val="clear" w:color="ffffff" w:fill="ffffff"/>
        <w:spacing w:after="311" w:before="0"/>
        <w:ind w:right="0" w:firstLine="425" w:left="0"/>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Một trong những yếu tố quan trọng khi đầu tư vào bất động sản là tính pháp lý. Các lô</w:t>
      </w:r>
      <w:r>
        <w:rPr>
          <w:rFonts w:ascii="Times New Roman" w:hAnsi="Times New Roman" w:eastAsia="Times New Roman" w:cs="Times New Roman"/>
          <w:color w:val="000000" w:themeColor="text1"/>
          <w:sz w:val="24"/>
        </w:rPr>
        <w:t xml:space="preserve"> </w:t>
      </w:r>
      <w:r>
        <w:rPr>
          <w:rFonts w:ascii="Times New Roman" w:hAnsi="Times New Roman" w:eastAsia="Times New Roman" w:cs="Times New Roman"/>
          <w:b w:val="0"/>
          <w:bCs w:val="0"/>
          <w:color w:val="000000" w:themeColor="text1"/>
          <w:sz w:val="24"/>
        </w:rPr>
        <w:t xml:space="preserve">đất dịch vụ</w:t>
      </w:r>
      <w:r>
        <w:rPr>
          <w:rFonts w:ascii="Times New Roman" w:hAnsi="Times New Roman" w:eastAsia="Times New Roman" w:cs="Times New Roman"/>
          <w:color w:val="000000" w:themeColor="text1"/>
          <w:sz w:val="24"/>
        </w:rPr>
        <w:t xml:space="preserve"> </w:t>
      </w:r>
      <w:r>
        <w:rPr>
          <w:rFonts w:ascii="Times New Roman" w:hAnsi="Times New Roman" w:eastAsia="Times New Roman" w:cs="Times New Roman"/>
          <w:color w:val="000000" w:themeColor="text1"/>
        </w:rPr>
        <w:t xml:space="preserve">thường có ưu điểm về mặt pháp lý rõ ràng, minh bạch hơn so với một số loại hình đất khác. Đây là loại đất được Nhà nước cấp cho người dân để bù đắp vào phần đất nông nghiệp bị thu hồi cho các dự án phát triển, do đó thường có sổ đỏ riêng, quy hoạch rõ ràng</w:t>
      </w:r>
      <w:r>
        <w:rPr>
          <w:rFonts w:ascii="Times New Roman" w:hAnsi="Times New Roman" w:eastAsia="Times New Roman" w:cs="Times New Roman"/>
          <w:color w:val="000000" w:themeColor="text1"/>
        </w:rPr>
        <w:t xml:space="preserve"> và đầy đủ thủ tục pháp lý.</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hd w:val="clear" w:color="ffffff" w:fill="ffffff"/>
        <w:spacing w:after="311" w:before="0"/>
        <w:ind w:right="0" w:firstLine="425" w:left="0"/>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Điều này mang lại sự an tâm tuyệt đối cho các nhà đầu tư và người mua nhà. Khi sở hữu</w:t>
      </w:r>
      <w:r>
        <w:rPr>
          <w:rFonts w:ascii="Times New Roman" w:hAnsi="Times New Roman" w:eastAsia="Times New Roman" w:cs="Times New Roman"/>
          <w:color w:val="000000" w:themeColor="text1"/>
          <w:sz w:val="24"/>
        </w:rPr>
        <w:t xml:space="preserve"> </w:t>
      </w:r>
      <w:r>
        <w:rPr>
          <w:rFonts w:ascii="Times New Roman" w:hAnsi="Times New Roman" w:eastAsia="Times New Roman" w:cs="Times New Roman"/>
          <w:b w:val="0"/>
          <w:bCs w:val="0"/>
          <w:color w:val="000000" w:themeColor="text1"/>
          <w:sz w:val="24"/>
        </w:rPr>
        <w:t xml:space="preserve">đất dịch vụ Vân Canh Hoài Đức</w:t>
      </w:r>
      <w:r>
        <w:rPr>
          <w:rFonts w:ascii="Times New Roman" w:hAnsi="Times New Roman" w:eastAsia="Times New Roman" w:cs="Times New Roman"/>
          <w:b w:val="0"/>
          <w:bCs w:val="0"/>
          <w:color w:val="000000" w:themeColor="text1"/>
        </w:rPr>
        <w:t xml:space="preserve">,</w:t>
      </w:r>
      <w:r>
        <w:rPr>
          <w:rFonts w:ascii="Times New Roman" w:hAnsi="Times New Roman" w:eastAsia="Times New Roman" w:cs="Times New Roman"/>
          <w:color w:val="000000" w:themeColor="text1"/>
        </w:rPr>
        <w:t xml:space="preserve"> quý vị không chỉ nắm giữ tài sản có giá trị mà còn được bảo vệ bởi các quy định pháp luật chặt chẽ, giảm thiểu rủi ro trong quá trình giao dịch và sử dụng.</w:t>
      </w:r>
      <w:r>
        <w:rPr>
          <w:rFonts w:ascii="Times New Roman" w:hAnsi="Times New Roman" w:cs="Times New Roman"/>
          <w:color w:val="000000" w:themeColor="text1"/>
        </w:rPr>
      </w:r>
      <w:r>
        <w:rPr>
          <w:rFonts w:ascii="Times New Roman" w:hAnsi="Times New Roman" w:cs="Times New Roman"/>
          <w:color w:val="000000" w:themeColor="text1"/>
        </w:rPr>
      </w:r>
    </w:p>
    <w:p>
      <w:pPr>
        <w:pBdr/>
        <w:tabs>
          <w:tab w:val="left" w:leader="none" w:pos="426"/>
        </w:tabs>
        <w:spacing w:after="120" w:before="120" w:line="276" w:lineRule="auto"/>
        <w:ind/>
        <w:jc w:val="center"/>
        <w:rPr>
          <w:b w:val="0"/>
          <w:bCs w:val="0"/>
          <w:i/>
          <w:color w:val="000000" w:themeColor="text1"/>
          <w:u w:val="none"/>
        </w:rPr>
      </w:pPr>
      <w:r>
        <w:rPr>
          <w:b w:val="0"/>
          <w:bCs w:val="0"/>
          <w:i/>
          <w:iCs/>
          <w:color w:val="000000" w:themeColor="text1"/>
          <w:highlight w:val="none"/>
          <w:u w:val="none"/>
          <w:lang w:val="pt-BR" w:bidi="pt-BR"/>
        </w:rPr>
        <w:t xml:space="preserve">(</w:t>
      </w:r>
      <w:hyperlink r:id="rId17" w:tooltip="https://summerland.com.vn/tiem-nang-dat-dich-vu-van-canh-hoai-duc-vuot-troi" w:history="1">
        <w:r>
          <w:rPr>
            <w:rStyle w:val="1021"/>
            <w:rFonts w:ascii="Times New Roman" w:hAnsi="Times New Roman" w:eastAsia="Times New Roman" w:cs="Times New Roman"/>
            <w:b w:val="0"/>
            <w:bCs w:val="0"/>
            <w:color w:val="000000" w:themeColor="text1"/>
            <w:sz w:val="24"/>
            <w:u w:val="none"/>
          </w:rPr>
          <w:t xml:space="preserve">Tiềm Năng Đất Dịch Vụ Vân Canh Hoài Đức Vượt Trội Mũi Né SummerLand</w:t>
        </w:r>
      </w:hyperlink>
      <w:r>
        <w:rPr>
          <w:b w:val="0"/>
          <w:bCs w:val="0"/>
          <w:i/>
          <w:iCs/>
          <w:color w:val="000000" w:themeColor="text1"/>
          <w:highlight w:val="none"/>
          <w:u w:val="none"/>
          <w:lang w:val="pt-BR" w:bidi="pt-BR"/>
        </w:rPr>
        <w:t xml:space="preserve">)</w:t>
      </w:r>
      <w:r>
        <w:rPr>
          <w:b w:val="0"/>
          <w:bCs w:val="0"/>
          <w:i/>
          <w:color w:val="000000" w:themeColor="text1"/>
          <w:u w:val="none"/>
        </w:rPr>
      </w:r>
      <w:r>
        <w:rPr>
          <w:b w:val="0"/>
          <w:bCs w:val="0"/>
          <w:i/>
          <w:color w:val="000000" w:themeColor="text1"/>
          <w:u w:val="none"/>
        </w:rPr>
      </w:r>
    </w:p>
    <w:p>
      <w:pPr>
        <w:pStyle w:val="103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53"/>
        <w:gridCol w:w="2237"/>
        <w:gridCol w:w="2030"/>
        <w:gridCol w:w="2426"/>
        <w:gridCol w:w="2379"/>
      </w:tblGrid>
      <w:tr>
        <w:trPr>
          <w:trHeight w:val="1736"/>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072" w:type="dxa"/>
            <w:vAlign w:val="center"/>
            <w:textDirection w:val="lrTb"/>
            <w:noWrap w:val="false"/>
          </w:tcPr>
          <w:p>
            <w:pPr>
              <w:pBdr/>
              <w:tabs>
                <w:tab w:val="left" w:leader="none" w:pos="7052"/>
              </w:tabs>
              <w:spacing w:after="0" w:before="0" w:line="240" w:lineRule="auto"/>
              <w:ind/>
              <w:jc w:val="both"/>
              <w:rPr/>
            </w:pPr>
            <w:r>
              <w:rPr>
                <w:rFonts w:ascii="Times New Roman" w:hAnsi="Times New Roman" w:eastAsia="Times New Roman" w:cs="Times New Roman"/>
                <w:b/>
                <w:color w:val="000000"/>
                <w:sz w:val="24"/>
              </w:rPr>
              <w:t xml:space="preserve">Quyền sử dụng đất và tài sản gắn liền với đất tại thửa đất số: 18, tờ bản đồ số -/- có địa chỉ: Ô số 18 lô đất LK23, Khu đô thị mới Vân Canh, xã Vân Canh, </w:t>
            </w:r>
            <w:r>
              <w:rPr>
                <w:rFonts w:ascii="Times New Roman" w:hAnsi="Times New Roman" w:eastAsia="Times New Roman" w:cs="Times New Roman"/>
                <w:b/>
                <w:color w:val="000000"/>
                <w:sz w:val="24"/>
              </w:rPr>
              <w:t xml:space="preserve">huyện Hoài Đức</w:t>
            </w:r>
            <w:r>
              <w:rPr>
                <w:rFonts w:ascii="Times New Roman" w:hAnsi="Times New Roman" w:eastAsia="Times New Roman" w:cs="Times New Roman"/>
                <w:b/>
                <w:color w:val="000000"/>
                <w:sz w:val="24"/>
              </w:rPr>
              <w:t xml:space="preserve">, Thành phố Hà Nội (nay là xã Sơn Đồng, thành phố Hà Nội) theo Giấy chứng nhận quyền sử dụng đất, quyền sở hữu tài sản khác g</w:t>
            </w:r>
            <w:r>
              <w:rPr>
                <w:rFonts w:ascii="Times New Roman" w:hAnsi="Times New Roman" w:eastAsia="Times New Roman" w:cs="Times New Roman"/>
                <w:b/>
                <w:color w:val="000000"/>
                <w:sz w:val="24"/>
              </w:rPr>
              <w:t xml:space="preserve">ắn liền với đất số: AA 00799933, số vào sổ cấp GCN: VP 4997 do Văn phòng đăng ký đất đai Hà Nội cấp ngày 19/03/2025; Chủ sử dụng đất là Ông Nguyễn Cao Hải.</w:t>
            </w:r>
            <w:r>
              <w:rPr>
                <w:rFonts w:ascii="Times New Roman" w:hAnsi="Times New Roman" w:eastAsia="Times New Roman" w:cs="Times New Roman"/>
                <w:b/>
                <w:color w:val="000000"/>
                <w:sz w:val="24"/>
              </w:rPr>
            </w: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07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2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bottom w:val="single" w:color="000000" w:sz="5" w:space="0"/>
              <w:right w:val="single" w:color="000000" w:sz="5" w:space="0"/>
            </w:tcBorders>
            <w:tcMar>
              <w:left w:w="0" w:type="dxa"/>
              <w:top w:w="0" w:type="dxa"/>
              <w:right w:w="0" w:type="dxa"/>
              <w:bottom w:w="0" w:type="dxa"/>
            </w:tcMar>
            <w:tcW w:w="20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18</w:t>
            </w:r>
            <w:r/>
          </w:p>
        </w:tc>
        <w:tc>
          <w:tcPr>
            <w:tcBorders>
              <w:bottom w:val="single" w:color="000000" w:sz="5" w:space="0"/>
              <w:right w:val="single" w:color="000000" w:sz="5" w:space="0"/>
            </w:tcBorders>
            <w:tcMar>
              <w:left w:w="0" w:type="dxa"/>
              <w:top w:w="0" w:type="dxa"/>
              <w:right w:w="0" w:type="dxa"/>
              <w:bottom w:w="0" w:type="dxa"/>
            </w:tcMar>
            <w:tcW w:w="24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bottom w:val="single" w:color="000000" w:sz="5" w:space="0"/>
              <w:right w:val="single" w:color="000000" w:sz="5" w:space="0"/>
            </w:tcBorders>
            <w:tcMar>
              <w:left w:w="0" w:type="dxa"/>
              <w:top w:w="0" w:type="dxa"/>
              <w:right w:w="0" w:type="dxa"/>
              <w:bottom w:w="0" w:type="dxa"/>
            </w:tcMar>
            <w:tcW w:w="237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r>
      <w:tr>
        <w:trPr>
          <w:trHeight w:val="684"/>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2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35"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Ô số 18 lô đất LK23, Khu đô thị mới Vân Canh, xã Vân Canh, huyện Hoài Đức, Thành phố Hà Nội.</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2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(m²):</w:t>
            </w:r>
            <w:r/>
          </w:p>
        </w:tc>
        <w:tc>
          <w:tcPr>
            <w:tcBorders>
              <w:bottom w:val="single" w:color="000000" w:sz="5" w:space="0"/>
              <w:right w:val="single" w:color="000000" w:sz="5" w:space="0"/>
            </w:tcBorders>
            <w:tcMar>
              <w:left w:w="0" w:type="dxa"/>
              <w:top w:w="0" w:type="dxa"/>
              <w:right w:w="0" w:type="dxa"/>
              <w:bottom w:w="0" w:type="dxa"/>
            </w:tcMar>
            <w:tcW w:w="20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103,0</w:t>
            </w:r>
            <w:r/>
          </w:p>
        </w:tc>
        <w:tc>
          <w:tcPr>
            <w:tcBorders>
              <w:bottom w:val="single" w:color="000000" w:sz="5" w:space="0"/>
              <w:right w:val="single" w:color="000000" w:sz="5" w:space="0"/>
            </w:tcBorders>
            <w:tcMar>
              <w:left w:w="0" w:type="dxa"/>
              <w:top w:w="0" w:type="dxa"/>
              <w:right w:w="0" w:type="dxa"/>
              <w:bottom w:w="0" w:type="dxa"/>
            </w:tcMar>
            <w:tcW w:w="24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bottom w:val="single" w:color="000000" w:sz="5" w:space="0"/>
              <w:right w:val="single" w:color="000000" w:sz="5" w:space="0"/>
            </w:tcBorders>
            <w:tcMar>
              <w:left w:w="0" w:type="dxa"/>
              <w:top w:w="0" w:type="dxa"/>
              <w:right w:w="0" w:type="dxa"/>
              <w:bottom w:w="0" w:type="dxa"/>
            </w:tcMar>
            <w:tcW w:w="237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Sử dụng riêng</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2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bottom w:val="single" w:color="000000" w:sz="5" w:space="0"/>
              <w:right w:val="single" w:color="000000" w:sz="5" w:space="0"/>
            </w:tcBorders>
            <w:tcMar>
              <w:left w:w="0" w:type="dxa"/>
              <w:top w:w="0" w:type="dxa"/>
              <w:right w:w="0" w:type="dxa"/>
              <w:bottom w:w="0" w:type="dxa"/>
            </w:tcMar>
            <w:tcW w:w="20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ở tại đô thị</w:t>
            </w:r>
            <w:r/>
          </w:p>
        </w:tc>
        <w:tc>
          <w:tcPr>
            <w:tcBorders>
              <w:bottom w:val="single" w:color="000000" w:sz="5" w:space="0"/>
              <w:right w:val="single" w:color="000000" w:sz="5" w:space="0"/>
            </w:tcBorders>
            <w:tcMar>
              <w:left w:w="0" w:type="dxa"/>
              <w:top w:w="0" w:type="dxa"/>
              <w:right w:w="0" w:type="dxa"/>
              <w:bottom w:w="0" w:type="dxa"/>
            </w:tcMar>
            <w:tcW w:w="24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bottom w:val="single" w:color="000000" w:sz="5" w:space="0"/>
              <w:right w:val="single" w:color="000000" w:sz="5" w:space="0"/>
            </w:tcBorders>
            <w:tcMar>
              <w:left w:w="0" w:type="dxa"/>
              <w:top w:w="0" w:type="dxa"/>
              <w:right w:w="0" w:type="dxa"/>
              <w:bottom w:w="0" w:type="dxa"/>
            </w:tcMar>
            <w:tcW w:w="237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Lâu dài</w:t>
            </w:r>
            <w:r/>
          </w:p>
        </w:tc>
      </w:tr>
      <w:tr>
        <w:trPr>
          <w:trHeight w:val="1920"/>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237" w:type="dxa"/>
            <w:vAlign w:val="center"/>
            <w:textDirection w:val="lrTb"/>
            <w:noWrap w:val="false"/>
          </w:tcPr>
          <w:p>
            <w:pPr>
              <w:pBdr/>
              <w:spacing w:after="0" w:before="0" w:line="240" w:lineRule="auto"/>
              <w:ind/>
              <w:jc w:val="left"/>
              <w:rPr/>
            </w:pPr>
            <w:r>
              <w:rPr>
                <w:rFonts w:ascii="Times New Roman" w:hAnsi="Times New Roman" w:eastAsia="Times New Roman" w:cs="Times New Roman"/>
                <w:i/>
                <w:color w:val="000000"/>
                <w:sz w:val="24"/>
              </w:rPr>
              <w:t xml:space="preserve">Ghi chú:</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35" w:type="dxa"/>
            <w:vAlign w:val="center"/>
            <w:textDirection w:val="lrTb"/>
            <w:noWrap w:val="false"/>
          </w:tcPr>
          <w:p>
            <w:pPr>
              <w:pBdr/>
              <w:spacing w:after="0" w:before="0" w:line="240" w:lineRule="auto"/>
              <w:ind/>
              <w:jc w:val="left"/>
              <w:rPr>
                <w:bCs w:val="0"/>
                <w:i w:val="0"/>
              </w:rPr>
            </w:pPr>
            <w:r>
              <w:rPr>
                <w:rFonts w:ascii="Times New Roman" w:hAnsi="Times New Roman" w:eastAsia="Times New Roman" w:cs="Times New Roman"/>
                <w:i/>
                <w:color w:val="000000"/>
                <w:sz w:val="24"/>
              </w:rPr>
              <w:t xml:space="preserve">-</w:t>
            </w:r>
            <w:r>
              <w:rPr>
                <w:rFonts w:ascii="Times New Roman" w:hAnsi="Times New Roman" w:eastAsia="Times New Roman" w:cs="Times New Roman"/>
                <w:i w:val="0"/>
                <w:iCs w:val="0"/>
                <w:color w:val="000000"/>
                <w:sz w:val="24"/>
              </w:rPr>
              <w:t xml:space="preserve"> Số tờ, số thửa và sơ đồ sẽ được điều chỉnh khi có bản đồ địa chính chính quy. </w:t>
              <w:br/>
              <w:t xml:space="preserve">- Giấy chứng nhận này được cấp đổi từ Giấy chứng nhận quyền sử dụng đất, quyền sở hữu nhà ở và tài sản khác gắn liền với đất số CQ 999248 do Sở Tài Nguyên và Môi trường thành p</w:t>
            </w:r>
            <w:r>
              <w:rPr>
                <w:rFonts w:ascii="Times New Roman" w:hAnsi="Times New Roman" w:eastAsia="Times New Roman" w:cs="Times New Roman"/>
                <w:i w:val="0"/>
                <w:iCs w:val="0"/>
                <w:color w:val="000000"/>
                <w:sz w:val="24"/>
              </w:rPr>
              <w:t xml:space="preserve">hố Hà Nội cấp ngày 08/07/2019 do nhập chuyển nhượng.</w:t>
            </w:r>
            <w:r>
              <w:rPr>
                <w:bCs w:val="0"/>
                <w:i w:val="0"/>
              </w:rPr>
            </w:r>
            <w:r>
              <w:rPr>
                <w:bCs w:val="0"/>
                <w:i w:val="0"/>
              </w:rPr>
            </w:r>
          </w:p>
        </w:tc>
      </w:tr>
      <w:tr>
        <w:trPr>
          <w:trHeight w:val="804"/>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2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Thông tin quy hoạch:</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35"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Tại thời điểm thẩm định giá, tổ thậm định chưa thu thập được  các thông tin quy hoạch liên quan đến thửa đất thẩm định giá.</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1.2.</w:t>
            </w:r>
            <w:r/>
          </w:p>
        </w:tc>
        <w:tc>
          <w:tcPr>
            <w:tcBorders>
              <w:bottom w:val="single" w:color="000000" w:sz="5" w:space="0"/>
              <w:right w:val="single" w:color="000000" w:sz="5" w:space="0"/>
            </w:tcBorders>
            <w:tcMar>
              <w:left w:w="0" w:type="dxa"/>
              <w:top w:w="0" w:type="dxa"/>
              <w:right w:w="0" w:type="dxa"/>
              <w:bottom w:w="0" w:type="dxa"/>
            </w:tcMar>
            <w:tcW w:w="22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Thông tin tài sản gắn liền với đất:</w:t>
            </w:r>
            <w:r/>
          </w:p>
        </w:tc>
        <w:tc>
          <w:tcPr>
            <w:tcBorders>
              <w:bottom w:val="single" w:color="000000" w:sz="5" w:space="0"/>
              <w:right w:val="single" w:color="000000" w:sz="5" w:space="0"/>
            </w:tcBorders>
            <w:tcMar>
              <w:left w:w="0" w:type="dxa"/>
              <w:top w:w="0" w:type="dxa"/>
              <w:right w:w="0" w:type="dxa"/>
              <w:bottom w:w="0" w:type="dxa"/>
            </w:tcMar>
            <w:tcW w:w="2030"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 </w:t>
            </w:r>
            <w:r/>
          </w:p>
        </w:tc>
        <w:tc>
          <w:tcPr>
            <w:tcBorders>
              <w:bottom w:val="single" w:color="000000" w:sz="5" w:space="0"/>
              <w:right w:val="single" w:color="000000" w:sz="5" w:space="0"/>
            </w:tcBorders>
            <w:tcMar>
              <w:left w:w="0" w:type="dxa"/>
              <w:top w:w="0" w:type="dxa"/>
              <w:right w:w="0" w:type="dxa"/>
              <w:bottom w:w="0" w:type="dxa"/>
            </w:tcMar>
            <w:tcW w:w="2426"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 </w:t>
            </w:r>
            <w:r/>
          </w:p>
        </w:tc>
        <w:tc>
          <w:tcPr>
            <w:tcBorders>
              <w:bottom w:val="single" w:color="000000" w:sz="5" w:space="0"/>
              <w:right w:val="single" w:color="000000" w:sz="5" w:space="0"/>
            </w:tcBorders>
            <w:tcMar>
              <w:left w:w="0" w:type="dxa"/>
              <w:top w:w="0" w:type="dxa"/>
              <w:right w:w="0" w:type="dxa"/>
              <w:bottom w:w="0" w:type="dxa"/>
            </w:tcMar>
            <w:tcW w:w="237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 </w:t>
            </w:r>
            <w:r/>
          </w:p>
        </w:tc>
      </w:tr>
      <w:tr>
        <w:trPr>
          <w:trHeight w:val="420"/>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2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Tên tài sản:</w:t>
            </w:r>
            <w:r/>
          </w:p>
        </w:tc>
        <w:tc>
          <w:tcPr>
            <w:tcBorders>
              <w:bottom w:val="single" w:color="000000" w:sz="5" w:space="0"/>
              <w:right w:val="single" w:color="000000" w:sz="5" w:space="0"/>
            </w:tcBorders>
            <w:tcMar>
              <w:left w:w="0" w:type="dxa"/>
              <w:top w:w="0" w:type="dxa"/>
              <w:right w:w="0" w:type="dxa"/>
              <w:bottom w:w="0" w:type="dxa"/>
            </w:tcMar>
            <w:tcW w:w="2030"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Nhà liền kề</w:t>
            </w:r>
            <w:r/>
          </w:p>
        </w:tc>
        <w:tc>
          <w:tcPr>
            <w:tcBorders>
              <w:bottom w:val="single" w:color="000000" w:sz="5" w:space="0"/>
              <w:right w:val="single" w:color="000000" w:sz="5" w:space="0"/>
            </w:tcBorders>
            <w:tcMar>
              <w:left w:w="0" w:type="dxa"/>
              <w:top w:w="0" w:type="dxa"/>
              <w:right w:w="0" w:type="dxa"/>
              <w:bottom w:w="0" w:type="dxa"/>
            </w:tcMar>
            <w:tcW w:w="2426"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Hình thức sở hữu:</w:t>
            </w:r>
            <w:r/>
          </w:p>
        </w:tc>
        <w:tc>
          <w:tcPr>
            <w:tcBorders>
              <w:bottom w:val="single" w:color="000000" w:sz="5" w:space="0"/>
              <w:right w:val="single" w:color="000000" w:sz="5" w:space="0"/>
            </w:tcBorders>
            <w:tcMar>
              <w:left w:w="0" w:type="dxa"/>
              <w:top w:w="0" w:type="dxa"/>
              <w:right w:w="0" w:type="dxa"/>
              <w:bottom w:w="0" w:type="dxa"/>
            </w:tcMar>
            <w:tcW w:w="237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Sở hữu riêng</w:t>
            </w:r>
            <w:r/>
          </w:p>
        </w:tc>
      </w:tr>
      <w:tr>
        <w:trPr>
          <w:trHeight w:val="720"/>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2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w:t>
            </w:r>
            <w:r/>
          </w:p>
        </w:tc>
        <w:tc>
          <w:tcPr>
            <w:tcBorders>
              <w:bottom w:val="single" w:color="000000" w:sz="5" w:space="0"/>
              <w:right w:val="single" w:color="000000" w:sz="5" w:space="0"/>
            </w:tcBorders>
            <w:tcMar>
              <w:left w:w="0" w:type="dxa"/>
              <w:top w:w="0" w:type="dxa"/>
              <w:right w:w="0" w:type="dxa"/>
              <w:bottom w:w="0" w:type="dxa"/>
            </w:tcMar>
            <w:tcW w:w="2030"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264,8m2</w:t>
            </w:r>
            <w:r/>
          </w:p>
        </w:tc>
        <w:tc>
          <w:tcPr>
            <w:tcBorders>
              <w:bottom w:val="single" w:color="000000" w:sz="5" w:space="0"/>
              <w:right w:val="single" w:color="000000" w:sz="5" w:space="0"/>
            </w:tcBorders>
            <w:tcMar>
              <w:left w:w="0" w:type="dxa"/>
              <w:top w:w="0" w:type="dxa"/>
              <w:right w:w="0" w:type="dxa"/>
              <w:bottom w:w="0" w:type="dxa"/>
            </w:tcMar>
            <w:tcW w:w="24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sở hữu:</w:t>
            </w:r>
            <w:r/>
          </w:p>
        </w:tc>
        <w:tc>
          <w:tcPr>
            <w:tcBorders>
              <w:bottom w:val="single" w:color="000000" w:sz="5" w:space="0"/>
              <w:right w:val="single" w:color="000000" w:sz="5" w:space="0"/>
            </w:tcBorders>
            <w:tcMar>
              <w:left w:w="0" w:type="dxa"/>
              <w:top w:w="0" w:type="dxa"/>
              <w:right w:w="0" w:type="dxa"/>
              <w:bottom w:w="0" w:type="dxa"/>
            </w:tcMar>
            <w:tcW w:w="237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07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Về đất:</w:t>
            </w:r>
            <w:r/>
          </w:p>
        </w:tc>
      </w:tr>
      <w:tr>
        <w:trPr>
          <w:trHeight w:val="684"/>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07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Vị trí; Giao thông;</w:t>
            </w:r>
            <w:r/>
          </w:p>
        </w:tc>
      </w:tr>
      <w:tr>
        <w:trPr>
          <w:trHeight w:val="81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2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 thực tế: </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35"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Ô số 18 lô đất LK23, Khu đô thị mới Vân Canh, xã Vân Canh, huyện Hoài Đức, Thành phố Hà Nội (nay là </w:t>
            </w:r>
            <w:r/>
          </w:p>
        </w:tc>
      </w:tr>
      <w:tr>
        <w:trPr>
          <w:trHeight w:val="447"/>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5" w:space="0"/>
            </w:tcBorders>
            <w:tcMar>
              <w:left w:w="0" w:type="dxa"/>
              <w:top w:w="0" w:type="dxa"/>
              <w:right w:w="0" w:type="dxa"/>
              <w:bottom w:w="0" w:type="dxa"/>
            </w:tcMar>
            <w:tcW w:w="22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right w:val="single" w:color="000000" w:sz="5" w:space="0"/>
            </w:tcBorders>
            <w:tcMar>
              <w:left w:w="0" w:type="dxa"/>
              <w:top w:w="0" w:type="dxa"/>
              <w:right w:w="0" w:type="dxa"/>
              <w:bottom w:w="0" w:type="dxa"/>
            </w:tcMar>
            <w:tcW w:w="20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Đường nhựa</w:t>
            </w:r>
            <w:r/>
          </w:p>
        </w:tc>
        <w:tc>
          <w:tcPr>
            <w:tcBorders>
              <w:right w:val="single" w:color="000000" w:sz="5" w:space="0"/>
            </w:tcBorders>
            <w:tcMar>
              <w:left w:w="0" w:type="dxa"/>
              <w:top w:w="0" w:type="dxa"/>
              <w:right w:w="0" w:type="dxa"/>
              <w:bottom w:w="0" w:type="dxa"/>
            </w:tcMar>
            <w:tcW w:w="24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right w:val="single" w:color="000000" w:sz="5" w:space="0"/>
            </w:tcBorders>
            <w:tcMar>
              <w:left w:w="0" w:type="dxa"/>
              <w:top w:w="0" w:type="dxa"/>
              <w:right w:w="0" w:type="dxa"/>
              <w:bottom w:w="0" w:type="dxa"/>
            </w:tcMar>
            <w:tcW w:w="237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 mặt tiền</w:t>
            </w:r>
            <w:r/>
          </w:p>
        </w:tc>
      </w:tr>
      <w:tr>
        <w:trPr>
          <w:trHeight w:val="1248"/>
        </w:trPr>
        <w:tc>
          <w:tcPr>
            <w:tcBorders>
              <w:left w:val="single" w:color="000000" w:sz="5" w:space="0"/>
              <w:bottom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2237"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5" w:space="0"/>
              <w:bottom w:val="single" w:color="000000" w:sz="5" w:space="0"/>
              <w:right w:val="single" w:color="000000" w:sz="5" w:space="0"/>
            </w:tcBorders>
            <w:tcMar>
              <w:left w:w="0" w:type="dxa"/>
              <w:top w:w="0" w:type="dxa"/>
              <w:right w:w="0" w:type="dxa"/>
              <w:bottom w:w="0" w:type="dxa"/>
            </w:tcMar>
            <w:tcW w:w="20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trước mặt 7,5m mỗi bên + Vỉa hè mỗi bên khoảng 5,5m</w:t>
            </w:r>
            <w:r/>
          </w:p>
        </w:tc>
        <w:tc>
          <w:tcPr>
            <w:tcBorders>
              <w:top w:val="single" w:color="000000" w:sz="5" w:space="0"/>
              <w:bottom w:val="single" w:color="000000" w:sz="5" w:space="0"/>
              <w:right w:val="single" w:color="000000" w:sz="5" w:space="0"/>
            </w:tcBorders>
            <w:tcMar>
              <w:left w:w="0" w:type="dxa"/>
              <w:top w:w="0" w:type="dxa"/>
              <w:right w:w="0" w:type="dxa"/>
              <w:bottom w:w="0" w:type="dxa"/>
            </w:tcMar>
            <w:tcW w:w="2426"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5" w:space="0"/>
              <w:bottom w:val="single" w:color="000000" w:sz="5" w:space="0"/>
              <w:right w:val="single" w:color="000000" w:sz="5" w:space="0"/>
            </w:tcBorders>
            <w:tcMar>
              <w:left w:w="0" w:type="dxa"/>
              <w:top w:w="0" w:type="dxa"/>
              <w:right w:w="0" w:type="dxa"/>
              <w:bottom w:w="0" w:type="dxa"/>
            </w:tcMar>
            <w:tcW w:w="237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Đường trước mặt 7,5m mỗi bên + Vỉa hè mỗi bên khoảng 5,5m</w:t>
            </w:r>
            <w:r/>
          </w:p>
        </w:tc>
      </w:tr>
      <w:tr>
        <w:trPr>
          <w:trHeight w:val="984"/>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5" w:space="0"/>
            </w:tcBorders>
            <w:tcMar>
              <w:left w:w="0" w:type="dxa"/>
              <w:top w:w="0" w:type="dxa"/>
              <w:right w:w="0" w:type="dxa"/>
              <w:bottom w:w="0" w:type="dxa"/>
            </w:tcMar>
            <w:tcW w:w="22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835"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nằm tại Ô số 18 lô đất LK23, Khu đô thị mới Vân Canh, xã Vân Canh, huyện Hoài Đức, Thành phố Hà Nội; Tài sản nằm trên đường Trịnh Văn Bô cách đường Vành Đai 3.5 khoảng 100m</w:t>
            </w:r>
            <w:r/>
          </w:p>
        </w:tc>
      </w:tr>
      <w:tr>
        <w:trPr>
          <w:trHeight w:val="1068"/>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5" w:space="0"/>
              <w:bottom w:val="single" w:color="000000" w:sz="5" w:space="0"/>
              <w:right w:val="single" w:color="000000" w:sz="5" w:space="0"/>
            </w:tcBorders>
            <w:tcMar>
              <w:left w:w="0" w:type="dxa"/>
              <w:top w:w="0" w:type="dxa"/>
              <w:right w:w="0" w:type="dxa"/>
              <w:bottom w:w="0" w:type="dxa"/>
            </w:tcMar>
            <w:tcW w:w="22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Các hướng tiếp giáp:</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835"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4"/>
              </w:rPr>
              <w:t xml:space="preserve">Hướng Tây Bắc: Tiếp giáp Đường trước mặt 7,5m mỗi bên + Vỉa hè mỗi bên khoảng 5,5m</w:t>
              <w:br/>
              <w:t xml:space="preserve">Các hướng khác: Tiếp giáp các thửa đất khác.</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907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 trên bản đồ vệ tinh: (</w:t>
            </w:r>
            <w:r>
              <w:rPr>
                <w:rFonts w:ascii="Times New Roman" w:hAnsi="Times New Roman" w:eastAsia="Times New Roman" w:cs="Times New Roman"/>
                <w:color w:val="000000" w:themeColor="text1"/>
                <w:spacing w:val="3"/>
                <w:sz w:val="22"/>
                <w:szCs w:val="22"/>
                <w:highlight w:val="white"/>
                <w:u w:val="none"/>
              </w:rPr>
              <w:t xml:space="preserve">21.041724, 105.727924</w:t>
            </w:r>
            <w:r>
              <w:rPr>
                <w:rFonts w:ascii="Times New Roman" w:hAnsi="Times New Roman" w:eastAsia="Times New Roman" w:cs="Times New Roman"/>
                <w:color w:val="000000"/>
                <w:sz w:val="24"/>
              </w:rPr>
              <w:t xml:space="preserve">)</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9072"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6048375" cy="3192933"/>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501656" name=""/>
                              <pic:cNvPicPr>
                                <a:picLocks noChangeAspect="1"/>
                              </pic:cNvPicPr>
                              <pic:nvPr/>
                            </pic:nvPicPr>
                            <pic:blipFill rotWithShape="1">
                              <a:blip r:embed="rId18"/>
                              <a:stretch/>
                            </pic:blipFill>
                            <pic:spPr bwMode="auto">
                              <a:xfrm>
                                <a:off x="0" y="0"/>
                                <a:ext cx="6048374" cy="31929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76.25pt;height:251.41pt;mso-wrap-distance-left:0.00pt;mso-wrap-distance-top:0.00pt;mso-wrap-distance-right:0.00pt;mso-wrap-distance-bottom:0.00pt;z-index:1;" stroked="false">
                      <v:imagedata r:id="rId18" o:title=""/>
                      <o:lock v:ext="edit" rotation="t"/>
                    </v:shape>
                  </w:pict>
                </mc:Fallback>
              </mc:AlternateContent>
            </w:r>
            <w:r>
              <w:rPr>
                <w:rFonts w:ascii="Times New Roman" w:hAnsi="Times New Roman" w:eastAsia="Times New Roman" w:cs="Times New Roman"/>
                <w:color w:val="000000"/>
                <w:sz w:val="24"/>
              </w:rPr>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07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Diện tích; Kích thước; Hình dáng</w:t>
            </w:r>
            <w:r/>
          </w:p>
        </w:tc>
      </w:tr>
      <w:tr>
        <w:trPr>
          <w:trHeight w:val="732"/>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2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5" w:space="0"/>
              <w:right w:val="single" w:color="000000" w:sz="5" w:space="0"/>
            </w:tcBorders>
            <w:tcMar>
              <w:left w:w="0" w:type="dxa"/>
              <w:top w:w="0" w:type="dxa"/>
              <w:right w:w="0" w:type="dxa"/>
              <w:bottom w:w="0" w:type="dxa"/>
            </w:tcMar>
            <w:tcW w:w="20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103,0</w:t>
            </w:r>
            <w:r/>
          </w:p>
        </w:tc>
        <w:tc>
          <w:tcPr>
            <w:tcBorders>
              <w:bottom w:val="single" w:color="000000" w:sz="5" w:space="0"/>
              <w:right w:val="single" w:color="000000" w:sz="5" w:space="0"/>
            </w:tcBorders>
            <w:tcMar>
              <w:left w:w="0" w:type="dxa"/>
              <w:top w:w="0" w:type="dxa"/>
              <w:right w:w="0" w:type="dxa"/>
              <w:bottom w:w="0" w:type="dxa"/>
            </w:tcMar>
            <w:tcW w:w="24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5" w:space="0"/>
              <w:right w:val="single" w:color="000000" w:sz="5" w:space="0"/>
            </w:tcBorders>
            <w:tcMar>
              <w:left w:w="0" w:type="dxa"/>
              <w:top w:w="0" w:type="dxa"/>
              <w:right w:w="0" w:type="dxa"/>
              <w:bottom w:w="0" w:type="dxa"/>
            </w:tcMar>
            <w:tcW w:w="237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2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Mặt tiền (m):</w:t>
            </w:r>
            <w:r/>
          </w:p>
        </w:tc>
        <w:tc>
          <w:tcPr>
            <w:tcBorders>
              <w:bottom w:val="single" w:color="000000" w:sz="5" w:space="0"/>
              <w:right w:val="single" w:color="000000" w:sz="5" w:space="0"/>
            </w:tcBorders>
            <w:tcMar>
              <w:left w:w="0" w:type="dxa"/>
              <w:top w:w="0" w:type="dxa"/>
              <w:right w:w="0" w:type="dxa"/>
              <w:bottom w:w="0" w:type="dxa"/>
            </w:tcMar>
            <w:tcW w:w="20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5,00</w:t>
            </w:r>
            <w:r/>
          </w:p>
        </w:tc>
        <w:tc>
          <w:tcPr>
            <w:tcBorders>
              <w:bottom w:val="single" w:color="000000" w:sz="5" w:space="0"/>
              <w:right w:val="single" w:color="000000" w:sz="5" w:space="0"/>
            </w:tcBorders>
            <w:tcMar>
              <w:left w:w="0" w:type="dxa"/>
              <w:top w:w="0" w:type="dxa"/>
              <w:right w:w="0" w:type="dxa"/>
              <w:bottom w:w="0" w:type="dxa"/>
            </w:tcMar>
            <w:tcW w:w="24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Chiều sâu (m): </w:t>
            </w:r>
            <w:r/>
          </w:p>
        </w:tc>
        <w:tc>
          <w:tcPr>
            <w:tcBorders>
              <w:bottom w:val="single" w:color="000000" w:sz="5" w:space="0"/>
              <w:right w:val="single" w:color="000000" w:sz="5" w:space="0"/>
            </w:tcBorders>
            <w:tcMar>
              <w:left w:w="0" w:type="dxa"/>
              <w:top w:w="0" w:type="dxa"/>
              <w:right w:w="0" w:type="dxa"/>
              <w:bottom w:w="0" w:type="dxa"/>
            </w:tcMar>
            <w:tcW w:w="237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20,54</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2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dáng:</w:t>
            </w:r>
            <w:r/>
          </w:p>
        </w:tc>
        <w:tc>
          <w:tcPr>
            <w:tcBorders>
              <w:bottom w:val="single" w:color="000000" w:sz="5" w:space="0"/>
              <w:right w:val="single" w:color="000000" w:sz="5" w:space="0"/>
            </w:tcBorders>
            <w:tcMar>
              <w:left w:w="0" w:type="dxa"/>
              <w:top w:w="0" w:type="dxa"/>
              <w:right w:w="0" w:type="dxa"/>
              <w:bottom w:w="0" w:type="dxa"/>
            </w:tcMar>
            <w:tcW w:w="20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Vuông vức</w:t>
            </w:r>
            <w:r/>
          </w:p>
        </w:tc>
        <w:tc>
          <w:tcPr>
            <w:tcBorders>
              <w:bottom w:val="single" w:color="000000" w:sz="5" w:space="0"/>
              <w:right w:val="single" w:color="000000" w:sz="5" w:space="0"/>
            </w:tcBorders>
            <w:tcMar>
              <w:left w:w="0" w:type="dxa"/>
              <w:top w:w="0" w:type="dxa"/>
              <w:right w:w="0" w:type="dxa"/>
              <w:bottom w:w="0" w:type="dxa"/>
            </w:tcMar>
            <w:tcW w:w="24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w:t>
            </w:r>
            <w:r/>
          </w:p>
        </w:tc>
        <w:tc>
          <w:tcPr>
            <w:tcBorders>
              <w:bottom w:val="single" w:color="000000" w:sz="5" w:space="0"/>
              <w:right w:val="single" w:color="000000" w:sz="5" w:space="0"/>
            </w:tcBorders>
            <w:tcMar>
              <w:left w:w="0" w:type="dxa"/>
              <w:top w:w="0" w:type="dxa"/>
              <w:right w:w="0" w:type="dxa"/>
              <w:bottom w:w="0" w:type="dxa"/>
            </w:tcMar>
            <w:tcW w:w="237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Tây Bắc</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07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2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nội bộ:</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3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Cấp điện, cấp nước sạch, mạng internet,…hoàn thiện</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2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xung quanh:</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3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615"/>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2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tcBorders>
              <w:bottom w:val="single" w:color="000000" w:sz="5" w:space="0"/>
              <w:right w:val="single" w:color="000000" w:sz="5" w:space="0"/>
            </w:tcBorders>
            <w:tcMar>
              <w:left w:w="0" w:type="dxa"/>
              <w:top w:w="0" w:type="dxa"/>
              <w:right w:w="0" w:type="dxa"/>
              <w:bottom w:w="0" w:type="dxa"/>
            </w:tcMar>
            <w:tcW w:w="20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Khá đông đúc</w:t>
            </w:r>
            <w:r/>
          </w:p>
        </w:tc>
        <w:tc>
          <w:tcPr>
            <w:tcBorders>
              <w:bottom w:val="single" w:color="000000" w:sz="5" w:space="0"/>
              <w:right w:val="single" w:color="000000" w:sz="5" w:space="0"/>
            </w:tcBorders>
            <w:tcMar>
              <w:left w:w="0" w:type="dxa"/>
              <w:top w:w="0" w:type="dxa"/>
              <w:right w:w="0" w:type="dxa"/>
              <w:bottom w:w="0" w:type="dxa"/>
            </w:tcMar>
            <w:tcW w:w="24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tcBorders>
              <w:bottom w:val="single" w:color="000000" w:sz="5" w:space="0"/>
              <w:right w:val="single" w:color="000000" w:sz="5" w:space="0"/>
            </w:tcBorders>
            <w:tcMar>
              <w:left w:w="0" w:type="dxa"/>
              <w:top w:w="0" w:type="dxa"/>
              <w:right w:w="0" w:type="dxa"/>
              <w:bottom w:w="0" w:type="dxa"/>
            </w:tcMar>
            <w:tcW w:w="237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612"/>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2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bottom w:val="single" w:color="000000" w:sz="5" w:space="0"/>
              <w:right w:val="single" w:color="000000" w:sz="5" w:space="0"/>
            </w:tcBorders>
            <w:tcMar>
              <w:left w:w="0" w:type="dxa"/>
              <w:top w:w="0" w:type="dxa"/>
              <w:right w:w="0" w:type="dxa"/>
              <w:bottom w:w="0" w:type="dxa"/>
            </w:tcMar>
            <w:tcW w:w="20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Phù hợp để ở</w:t>
            </w:r>
            <w:r/>
          </w:p>
        </w:tc>
        <w:tc>
          <w:tcPr>
            <w:tcBorders>
              <w:bottom w:val="single" w:color="000000" w:sz="5" w:space="0"/>
              <w:right w:val="single" w:color="000000" w:sz="5" w:space="0"/>
            </w:tcBorders>
            <w:tcMar>
              <w:left w:w="0" w:type="dxa"/>
              <w:top w:w="0" w:type="dxa"/>
              <w:right w:w="0" w:type="dxa"/>
              <w:bottom w:w="0" w:type="dxa"/>
            </w:tcMar>
            <w:tcW w:w="24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bottom w:val="single" w:color="000000" w:sz="5" w:space="0"/>
              <w:right w:val="single" w:color="000000" w:sz="5" w:space="0"/>
            </w:tcBorders>
            <w:tcMar>
              <w:left w:w="0" w:type="dxa"/>
              <w:top w:w="0" w:type="dxa"/>
              <w:right w:w="0" w:type="dxa"/>
              <w:bottom w:w="0" w:type="dxa"/>
            </w:tcMar>
            <w:tcW w:w="237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Tốt</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07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 Tài sản gắn liền với đất</w:t>
            </w:r>
            <w:r/>
          </w:p>
        </w:tc>
      </w:tr>
      <w:tr>
        <w:trPr>
          <w:trHeight w:val="992"/>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072" w:type="dxa"/>
            <w:vAlign w:val="top"/>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Căn cứ theo hiện trạng khảo sát thực tế dưới sự hướng dẫn của Khách hàng, có CTXD là nhà 3 tầng + 1 tum mái tôn, </w:t>
            </w:r>
            <w:r>
              <w:rPr>
                <w:rFonts w:ascii="Times New Roman" w:hAnsi="Times New Roman" w:eastAsia="Times New Roman" w:cs="Times New Roman"/>
                <w:color w:val="000000"/>
                <w:sz w:val="24"/>
              </w:rPr>
              <w:t xml:space="preserve">diện tích sàn xây dựng 264,8m2</w:t>
            </w:r>
            <w:r>
              <w:rPr>
                <w:rFonts w:ascii="Times New Roman" w:hAnsi="Times New Roman" w:eastAsia="Times New Roman" w:cs="Times New Roman"/>
                <w:color w:val="000000"/>
                <w:sz w:val="24"/>
              </w:rPr>
              <w:t xml:space="preserve">, công trình đã được ghi nhận GCN số AA 00799933. Hiện trạng nhà thô, hoàn thiện ngoài, đã tu sửa qua một phần để sử dụng.</w:t>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1"/>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31"/>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1"/>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1"/>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1"/>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31"/>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31"/>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1"/>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31"/>
        <w:numPr>
          <w:ilvl w:val="0"/>
          <w:numId w:val="3"/>
        </w:numPr>
        <w:pBdr/>
        <w:spacing w:after="120" w:before="120" w:line="276" w:lineRule="auto"/>
        <w:ind w:left="357"/>
        <w:jc w:val="both"/>
        <w:rPr>
          <w:rFonts w:ascii="Times New Roman" w:hAnsi="Times New Roman" w:cs="Times New Roman"/>
          <w:color w:val="000000" w:themeColor="text1"/>
          <w:spacing w:val="-4"/>
          <w:sz w:val="24"/>
          <w:szCs w:val="24"/>
          <w:highlight w:val="white"/>
        </w:rPr>
      </w:pPr>
      <w:r>
        <w:rPr>
          <w:rFonts w:ascii="Times New Roman" w:hAnsi="Times New Roman" w:eastAsia="Times New Roman" w:cs="Times New Roman"/>
          <w:color w:val="000000" w:themeColor="text1"/>
          <w:spacing w:val="-2"/>
          <w:sz w:val="24"/>
          <w:szCs w:val="24"/>
        </w:rPr>
        <w:t xml:space="preserve">Đối </w:t>
      </w:r>
      <w:r>
        <w:rPr>
          <w:rFonts w:ascii="Times New Roman" w:hAnsi="Times New Roman" w:eastAsia="Times New Roman" w:cs="Times New Roman"/>
          <w:color w:val="000000" w:themeColor="text1"/>
          <w:spacing w:val="-2"/>
          <w:sz w:val="24"/>
          <w:szCs w:val="24"/>
        </w:rPr>
        <w:t xml:space="preserve">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w:t>
      </w:r>
      <w:r>
        <w:rPr>
          <w:rFonts w:ascii="Times New Roman" w:hAnsi="Times New Roman" w:eastAsia="Times New Roman" w:cs="Times New Roman"/>
          <w:color w:val="000000" w:themeColor="text1"/>
          <w:spacing w:val="-2"/>
          <w:sz w:val="24"/>
          <w:szCs w:val="24"/>
        </w:rPr>
        <w:t xml:space="preserve">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w:t>
      </w:r>
      <w:r>
        <w:rPr>
          <w:rFonts w:ascii="Times New Roman" w:hAnsi="Times New Roman" w:eastAsia="Times New Roman" w:cs="Times New Roman"/>
          <w:color w:val="000000" w:themeColor="text1"/>
          <w:spacing w:val="-2"/>
          <w:sz w:val="24"/>
          <w:szCs w:val="24"/>
        </w:rPr>
        <w:t xml:space="preserve">m định sử dụng cách tiếp cận từ chi phí (phương pháp chi phí thay thế) để xác định giá trị công trình gắn liền trên đất của tài sản so sánh và tài sản thẩm định.</w:t>
      </w:r>
      <w:r>
        <w:rPr>
          <w:rFonts w:ascii="Times New Roman" w:hAnsi="Times New Roman" w:eastAsia="Times New Roman" w:cs="Times New Roman"/>
          <w:color w:val="000000" w:themeColor="text1"/>
          <w:spacing w:val="-4"/>
          <w:sz w:val="24"/>
          <w:szCs w:val="24"/>
          <w:highlight w:val="white"/>
        </w:rPr>
      </w:r>
      <w:r>
        <w:rPr>
          <w:rFonts w:ascii="Times New Roman" w:hAnsi="Times New Roman" w:cs="Times New Roman"/>
          <w:color w:val="000000" w:themeColor="text1"/>
          <w:spacing w:val="-4"/>
          <w:sz w:val="24"/>
          <w:szCs w:val="24"/>
          <w:highlight w:val="white"/>
        </w:rPr>
      </w:r>
    </w:p>
    <w:p>
      <w:pPr>
        <w:pStyle w:val="103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1"/>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31"/>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31"/>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Style w:val="103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1984"/>
        <w:gridCol w:w="1559"/>
        <w:gridCol w:w="1843"/>
        <w:gridCol w:w="1701"/>
        <w:gridCol w:w="1701"/>
      </w:tblGrid>
      <w:tr>
        <w:trPr>
          <w:trHeight w:val="30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top"/>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STT</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top"/>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ĐẶC ĐIỂM BĐS</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top"/>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TSTĐ</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TSSS1</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top"/>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TSSS2</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TSSS3</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top"/>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A</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top"/>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Thông tin về tài sản</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top"/>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top"/>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15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Địa chỉ</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Xã Vân Canh, Huyện Hoài Đức, Thành phố Hà Nội</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Xã Vân Canh, Huyện Hoài Đức, Thành phố Hà Nội</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Xã Vân Canh, Huyện Hoài Đức, Thành phố Hà Nội</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Xã Vân Canh, Huyện Hoài Đức, Thành phố Hà Nội</w:t>
            </w:r>
            <w:r>
              <w:rPr>
                <w:color w:val="000000" w:themeColor="text1"/>
              </w:rPr>
            </w:r>
            <w:r>
              <w:rPr>
                <w:color w:val="000000" w:themeColor="text1"/>
              </w:rPr>
            </w:r>
          </w:p>
        </w:tc>
      </w:tr>
      <w:tr>
        <w:trPr>
          <w:trHeight w:val="42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Nguồn tham khảo</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https://alonhadat.com.vn/m-pho-trinh-van-bo-118-6m2-6t-via-he-kd-van-phong-vip-gia-32-5-ty-17784636.html</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https://batdongsan.com.vn/ban-nha-biet-thu-lien-ke-duong-xuan-phuong-xa-van-canh-1-prj-khu-do-thi-van-canh/-hud-vi-tri-vip-via-he-rong-kd-vp-110m-23-ty-pr44866099</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https://bds68.com.vn/ban-nha-biet-thu-du-an/ha-noi/hoai-duc/khu-do-thi-van-canh/ban-nha-mp-trinh-van-bo-kdt-van-canh-hud-110m2-hoan-thien-gia-nhinh-28-ty-pr26726336</w:t>
            </w:r>
            <w:r>
              <w:rPr>
                <w:color w:val="000000" w:themeColor="text1"/>
              </w:rPr>
            </w:r>
            <w:r>
              <w:rPr>
                <w:color w:val="000000" w:themeColor="text1"/>
              </w:rPr>
            </w:r>
          </w:p>
        </w:tc>
      </w:tr>
      <w:tr>
        <w:trPr>
          <w:trHeight w:val="528"/>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Thông tin liên lạc</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SĐT: 0934.697.090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SĐT: 0359821775</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SĐT: 0977164491</w:t>
            </w:r>
            <w:r>
              <w:rPr>
                <w:color w:val="000000" w:themeColor="text1"/>
              </w:rPr>
            </w:r>
            <w:r>
              <w:rPr>
                <w:color w:val="000000" w:themeColor="text1"/>
              </w:rPr>
            </w:r>
          </w:p>
        </w:tc>
      </w:tr>
      <w:tr>
        <w:trPr>
          <w:trHeight w:val="348"/>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 Đang giao dịch </w:t>
            </w:r>
            <w:r>
              <w:rPr>
                <w:color w:val="000000" w:themeColor="text1"/>
                <w:highlight w:val="white"/>
              </w:rPr>
            </w:r>
            <w:r>
              <w:rPr>
                <w:color w:val="000000" w:themeColor="text1"/>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 Đang giao dịch </w:t>
            </w:r>
            <w:r>
              <w:rPr>
                <w:color w:val="000000" w:themeColor="text1"/>
                <w:highlight w:val="white"/>
              </w:rPr>
            </w:r>
            <w:r>
              <w:rPr>
                <w:color w:val="000000" w:themeColor="text1"/>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 Đang giao dịch </w:t>
            </w:r>
            <w:r>
              <w:rPr>
                <w:color w:val="000000" w:themeColor="text1"/>
                <w:highlight w:val="white"/>
              </w:rPr>
            </w:r>
            <w:r>
              <w:rPr>
                <w:color w:val="000000" w:themeColor="text1"/>
                <w:highlight w:val="white"/>
              </w:rPr>
            </w:r>
          </w:p>
        </w:tc>
      </w:tr>
      <w:tr>
        <w:trPr>
          <w:trHeight w:val="55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Tháng 1/2026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sz w:val="22"/>
              </w:rPr>
              <w:t xml:space="preserve">Tháng 1/2026</w:t>
            </w: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sz w:val="22"/>
              </w:rPr>
              <w:t xml:space="preserve">Tháng 1/2026</w:t>
            </w:r>
            <w:r>
              <w:rPr>
                <w:color w:val="000000" w:themeColor="text1"/>
              </w:rPr>
            </w:r>
            <w:r>
              <w:rPr>
                <w:color w:val="000000" w:themeColor="text1"/>
              </w:rPr>
            </w:r>
          </w:p>
        </w:tc>
      </w:tr>
      <w:tr>
        <w:trPr>
          <w:trHeight w:val="8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Tính chất giao dịch</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Giao dịch bình thường trên thị trường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Giao dịch bình thường trên thị trường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Giao dịch bình thường trên thị trường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Giao dịch bình thường trên thị trường </w:t>
            </w:r>
            <w:r>
              <w:rPr>
                <w:color w:val="000000" w:themeColor="text1"/>
              </w:rPr>
            </w:r>
            <w:r>
              <w:rPr>
                <w:color w:val="000000" w:themeColor="text1"/>
              </w:rPr>
            </w:r>
          </w:p>
        </w:tc>
      </w:tr>
      <w:tr>
        <w:trPr>
          <w:trHeight w:val="74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771"/>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Đất ở tại đô thị</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Đất ở tại đô thị</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Đất ở tại đô thị</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Đất ở tại đô thị</w:t>
            </w:r>
            <w:r>
              <w:rPr>
                <w:color w:val="000000" w:themeColor="text1"/>
              </w:rPr>
            </w:r>
            <w:r>
              <w:rPr>
                <w:color w:val="000000" w:themeColor="text1"/>
              </w:rPr>
            </w:r>
          </w:p>
        </w:tc>
      </w:tr>
      <w:tr>
        <w:trPr>
          <w:trHeight w:val="222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highlight w:val="yellow"/>
              </w:rPr>
            </w:pPr>
            <w:r>
              <w:rPr>
                <w:rFonts w:ascii="Times New Roman" w:hAnsi="Times New Roman" w:eastAsia="Times New Roman" w:cs="Times New Roman"/>
                <w:color w:val="000000" w:themeColor="text1"/>
                <w:sz w:val="22"/>
                <w:highlight w:val="white"/>
              </w:rPr>
              <w:t xml:space="preserve">Tài sản tại: Xã Vân Canh, Huyện Hoài Đức, Thành phố Hà Nội, </w:t>
            </w:r>
            <w:r>
              <w:rPr>
                <w:rFonts w:ascii="Times New Roman" w:hAnsi="Times New Roman" w:eastAsia="Times New Roman" w:cs="Times New Roman"/>
                <w:color w:val="000000" w:themeColor="text1"/>
                <w:sz w:val="22"/>
              </w:rPr>
              <w:t xml:space="preserve">Tài sản nằm trên mặt đường Trịnh Văn Bô</w:t>
            </w:r>
            <w:r>
              <w:rPr>
                <w:color w:val="000000" w:themeColor="text1"/>
                <w:highlight w:val="yellow"/>
              </w:rPr>
            </w:r>
            <w:r>
              <w:rPr>
                <w:color w:val="000000" w:themeColor="text1"/>
                <w:highlight w:val="yellow"/>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Tài sản tại: Xã Vân Canh, Huyện Hoài Đức, Thành phố Hà Nội,Tài sản nằm trên mặt đường Trịnh Văn Bô</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Tài sản tại: Xã Vân Canh, Huyện Hoài Đức, Thành phố Hà Nội, Tài sản nằm ở HUD Vân Canh khu liền kề 34-35 cách đường Trịnh Văn Bô khoảng 450m</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Tài sản tại: Xã Vân Canh, Huyện Hoài Đức, Thành phố Hà Nội, Tài sản nằm trên mặt đường Trịnh Văn Bô</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28</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28</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28</w:t>
            </w:r>
            <w:r>
              <w:rPr>
                <w:color w:val="000000" w:themeColor="text1"/>
              </w:rPr>
            </w:r>
            <w:r>
              <w:rPr>
                <w:color w:val="000000" w:themeColor="text1"/>
              </w:rPr>
            </w:r>
          </w:p>
        </w:tc>
      </w:tr>
      <w:tr>
        <w:trPr>
          <w:trHeight w:val="528"/>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Diện tích đất</w:t>
              <w:br/>
              <w:t xml:space="preserve"> (m²)</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103</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118</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110</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110</w:t>
            </w:r>
            <w:r>
              <w:rPr>
                <w:color w:val="000000" w:themeColor="text1"/>
              </w:rPr>
            </w:r>
            <w:r>
              <w:rPr>
                <w:color w:val="000000" w:themeColor="text1"/>
              </w:rPr>
            </w:r>
          </w:p>
        </w:tc>
      </w:tr>
      <w:tr>
        <w:trPr>
          <w:trHeight w:val="50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63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1 mặt tiền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1 mặt tiền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1 mặt tiền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1 mặt tiền </w:t>
            </w:r>
            <w:r>
              <w:rPr>
                <w:color w:val="000000" w:themeColor="text1"/>
              </w:rPr>
            </w:r>
            <w:r>
              <w:rPr>
                <w:color w:val="000000" w:themeColor="text1"/>
              </w:rPr>
            </w:r>
          </w:p>
        </w:tc>
      </w:tr>
      <w:tr>
        <w:trPr>
          <w:trHeight w:val="66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Vuông vức</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Vuông vức</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Vuông vức</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Vuông vức</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14</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Lợi thế kinh doanh</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Tốt</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Tốt</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Tốt</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Tốt</w:t>
            </w:r>
            <w:r>
              <w:rPr>
                <w:color w:val="000000" w:themeColor="text1"/>
              </w:rPr>
            </w:r>
            <w:r>
              <w:rPr>
                <w:color w:val="000000" w:themeColor="text1"/>
              </w:rPr>
            </w:r>
          </w:p>
        </w:tc>
      </w:tr>
      <w:tr>
        <w:trPr>
          <w:trHeight w:val="120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Điều kiện cơ sở hạ tầng kỹ thuật</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Hạ tầng khu đô thị: Hệ thống cấp điện, cấp thoát nước đầy đủ</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Hạ tầng khu đô thị: Hệ thống cấp điện, cấp thoát nước đầy đủ</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Hạ tầng khu đô thị: Hệ thống cấp điện, cấp thoát nước đầy đủ</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Hạ tầng khu đô thị: Hệ thống cấp điện, cấp thoát nước đầy đủ</w:t>
            </w:r>
            <w:r>
              <w:rPr>
                <w:color w:val="000000" w:themeColor="text1"/>
              </w:rPr>
            </w:r>
            <w:r>
              <w:rPr>
                <w:color w:val="000000" w:themeColor="text1"/>
              </w:rPr>
            </w:r>
          </w:p>
        </w:tc>
      </w:tr>
      <w:tr>
        <w:trPr>
          <w:trHeight w:val="56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Tài sản trên đất</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Nhà 6 tầng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Nhà 4 tầng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Nhà 4 tầng </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bottom"/>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Số tầng</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6</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4</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r>
      <w:tr>
        <w:trPr>
          <w:trHeight w:val="55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bottom"/>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Diện tích sàn sử dụng (m²)</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708,00</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400,00</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440,00</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17</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rao (đồng)</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32.000.000.000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21.500.000.000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28.000.000.000 </w:t>
            </w:r>
            <w:r>
              <w:rPr>
                <w:color w:val="000000" w:themeColor="text1"/>
              </w:rPr>
            </w:r>
            <w:r>
              <w:rPr>
                <w:color w:val="000000" w:themeColor="text1"/>
              </w:rPr>
            </w:r>
          </w:p>
        </w:tc>
      </w:tr>
      <w:tr>
        <w:trPr>
          <w:trHeight w:val="55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18</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thương lượng/bán (đồng)</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30.080.000.000</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19.350.000.000</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25.760.000.000</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B</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Chi tiết tính toán</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right"/>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right"/>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r>
      <w:tr>
        <w:trPr>
          <w:trHeight w:val="55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Giá trị tài sản trên đất (đồng)</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4.042.478.362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2.283.886.080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2.512.274.688 </w:t>
            </w:r>
            <w:r>
              <w:rPr>
                <w:color w:val="000000" w:themeColor="text1"/>
              </w:rPr>
            </w:r>
            <w:r>
              <w:rPr>
                <w:color w:val="000000" w:themeColor="text1"/>
              </w:rPr>
            </w:r>
          </w:p>
        </w:tc>
      </w:tr>
      <w:tr>
        <w:trPr>
          <w:trHeight w:val="138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Đơn giá xây dựng theo Quyết định số</w:t>
            </w:r>
            <w:r>
              <w:rPr>
                <w:rFonts w:ascii="Times New Roman" w:hAnsi="Times New Roman" w:eastAsia="Times New Roman" w:cs="Times New Roman"/>
                <w:color w:val="000000" w:themeColor="text1"/>
                <w:sz w:val="22"/>
              </w:rPr>
              <w:t xml:space="preserve"> 409/QĐ-BXD 2025 của Bộ xây dựng  (đồng/m²)</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7.137.144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7.137.144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7.137.144 </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 Tỷ lệ % CLCL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80%</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80%</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80%</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Giá trị đất (đồng)</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right"/>
              <w:rPr>
                <w:color w:val="000000" w:themeColor="text1"/>
              </w:rPr>
            </w:pPr>
            <w:r>
              <w:rPr>
                <w:rFonts w:ascii="Times New Roman" w:hAnsi="Times New Roman" w:eastAsia="Times New Roman" w:cs="Times New Roman"/>
                <w:color w:val="000000" w:themeColor="text1"/>
                <w:sz w:val="22"/>
              </w:rPr>
              <w:t xml:space="preserve">    26.037.521.638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right"/>
              <w:rPr>
                <w:color w:val="000000" w:themeColor="text1"/>
              </w:rPr>
            </w:pPr>
            <w:r>
              <w:rPr>
                <w:rFonts w:ascii="Times New Roman" w:hAnsi="Times New Roman" w:eastAsia="Times New Roman" w:cs="Times New Roman"/>
                <w:color w:val="000000" w:themeColor="text1"/>
                <w:sz w:val="22"/>
              </w:rPr>
              <w:t xml:space="preserve"> 19.350.000.000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23.247.725.312   </w:t>
            </w:r>
            <w:r>
              <w:rPr>
                <w:color w:val="000000" w:themeColor="text1"/>
              </w:rPr>
            </w:r>
            <w:r>
              <w:rPr>
                <w:color w:val="000000" w:themeColor="text1"/>
              </w:rPr>
            </w:r>
          </w:p>
        </w:tc>
      </w:tr>
      <w:tr>
        <w:trPr>
          <w:trHeight w:val="55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Đơn giá QSDĐ (đồng/m²)</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220.656.963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175.909.091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211.342.957 </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NHẬN XÉT</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1</w:t>
            </w:r>
            <w:r>
              <w:rPr>
                <w:color w:val="000000" w:themeColor="text1"/>
                <w:highlight w:val="white"/>
              </w:rPr>
            </w:r>
            <w:r>
              <w:rPr>
                <w:color w:val="000000" w:themeColor="text1"/>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Tính chất giao dịch</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2</w:t>
            </w:r>
            <w:r>
              <w:rPr>
                <w:color w:val="000000" w:themeColor="text1"/>
                <w:highlight w:val="white"/>
              </w:rPr>
            </w:r>
            <w:r>
              <w:rPr>
                <w:color w:val="000000" w:themeColor="text1"/>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3</w:t>
            </w:r>
            <w:r>
              <w:rPr>
                <w:color w:val="000000" w:themeColor="text1"/>
                <w:highlight w:val="white"/>
              </w:rPr>
            </w:r>
            <w:r>
              <w:rPr>
                <w:color w:val="000000" w:themeColor="text1"/>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r>
        <w:trPr>
          <w:trHeight w:val="55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4</w:t>
            </w:r>
            <w:r>
              <w:rPr>
                <w:color w:val="000000" w:themeColor="text1"/>
                <w:highlight w:val="white"/>
              </w:rPr>
            </w:r>
            <w:r>
              <w:rPr>
                <w:color w:val="000000" w:themeColor="text1"/>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5</w:t>
            </w:r>
            <w:r>
              <w:rPr>
                <w:color w:val="000000" w:themeColor="text1"/>
                <w:highlight w:val="white"/>
              </w:rPr>
            </w:r>
            <w:r>
              <w:rPr>
                <w:color w:val="000000" w:themeColor="text1"/>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Lợi thế hơn</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6</w:t>
            </w:r>
            <w:r>
              <w:rPr>
                <w:color w:val="000000" w:themeColor="text1"/>
                <w:highlight w:val="white"/>
              </w:rPr>
            </w:r>
            <w:r>
              <w:rPr>
                <w:color w:val="000000" w:themeColor="text1"/>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Kém lợi thế hơn</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r>
        <w:trPr>
          <w:trHeight w:val="55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7</w:t>
            </w:r>
            <w:r>
              <w:rPr>
                <w:color w:val="000000" w:themeColor="text1"/>
                <w:highlight w:val="white"/>
              </w:rPr>
            </w:r>
            <w:r>
              <w:rPr>
                <w:color w:val="000000" w:themeColor="text1"/>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kém lợi thế hơn</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Lợi thế hơn</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8</w:t>
            </w:r>
            <w:r>
              <w:rPr>
                <w:color w:val="000000" w:themeColor="text1"/>
                <w:highlight w:val="white"/>
              </w:rPr>
            </w:r>
            <w:r>
              <w:rPr>
                <w:color w:val="000000" w:themeColor="text1"/>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Lợi thế hơn</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Lợi thế hơn</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9</w:t>
            </w:r>
            <w:r>
              <w:rPr>
                <w:color w:val="000000" w:themeColor="text1"/>
                <w:highlight w:val="white"/>
              </w:rPr>
            </w:r>
            <w:r>
              <w:rPr>
                <w:color w:val="000000" w:themeColor="text1"/>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10</w:t>
            </w:r>
            <w:r>
              <w:rPr>
                <w:color w:val="000000" w:themeColor="text1"/>
                <w:highlight w:val="white"/>
              </w:rPr>
            </w:r>
            <w:r>
              <w:rPr>
                <w:color w:val="000000" w:themeColor="text1"/>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Lợi thế kinh doanh</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r>
        <w:trPr>
          <w:trHeight w:val="55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11</w:t>
            </w:r>
            <w:r>
              <w:rPr>
                <w:color w:val="000000" w:themeColor="text1"/>
                <w:highlight w:val="white"/>
              </w:rPr>
            </w:r>
            <w:r>
              <w:rPr>
                <w:color w:val="000000" w:themeColor="text1"/>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Điều kiện cơ sở hạ tầng kỹ thuật</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31"/>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Style w:val="103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10"/>
        <w:gridCol w:w="1966"/>
        <w:gridCol w:w="1258"/>
        <w:gridCol w:w="1255"/>
        <w:gridCol w:w="1512"/>
        <w:gridCol w:w="1512"/>
        <w:gridCol w:w="1512"/>
      </w:tblGrid>
      <w:tr>
        <w:trPr>
          <w:trHeight w:val="630"/>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STT</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Yếu tố so sánh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Đơn vị tính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thẩm định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so sánh 1</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so sánh 2</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so sánh 3</w:t>
            </w:r>
            <w:r>
              <w:rPr>
                <w:color w:val="000000" w:themeColor="text1"/>
              </w:rPr>
            </w:r>
            <w:r>
              <w:rPr>
                <w:color w:val="000000" w:themeColor="text1"/>
              </w:rPr>
            </w:r>
          </w:p>
        </w:tc>
      </w:tr>
      <w:tr>
        <w:trPr>
          <w:trHeight w:val="828"/>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A</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Giá trị QSDĐ thị trường (Ước tính sau thương lượng)</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26.037.521.638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left"/>
              <w:rPr>
                <w:color w:val="000000" w:themeColor="text1"/>
              </w:rPr>
            </w:pPr>
            <w:r>
              <w:rPr>
                <w:rFonts w:ascii="Times New Roman" w:hAnsi="Times New Roman" w:eastAsia="Times New Roman" w:cs="Times New Roman"/>
                <w:color w:val="000000" w:themeColor="text1"/>
                <w:sz w:val="22"/>
              </w:rPr>
              <w:t xml:space="preserve">19.350.000.000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23.247.725.312 </w:t>
            </w:r>
            <w:r>
              <w:rPr>
                <w:color w:val="000000" w:themeColor="text1"/>
              </w:rPr>
            </w:r>
            <w:r>
              <w:rPr>
                <w:color w:val="000000" w:themeColor="text1"/>
              </w:rPr>
            </w:r>
          </w:p>
        </w:tc>
      </w:tr>
      <w:tr>
        <w:trPr>
          <w:trHeight w:val="55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B</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Đơn giá đất ước tính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220.656.963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175.909.091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211.342.957 </w:t>
            </w:r>
            <w:r>
              <w:rPr>
                <w:color w:val="000000" w:themeColor="text1"/>
              </w:rPr>
            </w:r>
            <w:r>
              <w:rPr>
                <w:color w:val="000000" w:themeColor="text1"/>
              </w:rPr>
            </w:r>
          </w:p>
        </w:tc>
      </w:tr>
      <w:tr>
        <w:trPr>
          <w:trHeight w:val="525"/>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Điều chỉnh các yếu tố so sánh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828"/>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10"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Tính chất giao dịch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Giao dịch bình thường trên thị trường</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Giao dịch bình thường trên thị trường</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Giao dịch bình thường trên thị trường</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Giao dịch bình thường trên thị trường</w:t>
            </w:r>
            <w:r>
              <w:rPr>
                <w:color w:val="000000" w:themeColor="text1"/>
              </w:rPr>
            </w:r>
            <w:r>
              <w:rPr>
                <w:color w:val="000000" w:themeColor="text1"/>
              </w:rP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220.656.963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175.909.091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211.342.957 </w:t>
            </w:r>
            <w:r>
              <w:rPr>
                <w:color w:val="000000" w:themeColor="text1"/>
              </w:rPr>
            </w:r>
            <w:r>
              <w:rPr>
                <w:color w:val="000000" w:themeColor="text1"/>
              </w:rPr>
            </w:r>
          </w:p>
        </w:tc>
      </w:tr>
      <w:tr>
        <w:trPr>
          <w:trHeight w:val="828"/>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10"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C2</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Pháp lý</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220.656.963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175.909.091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211.342.957 </w:t>
            </w:r>
            <w:r>
              <w:rPr>
                <w:color w:val="000000" w:themeColor="text1"/>
              </w:rPr>
            </w:r>
            <w:r>
              <w:rPr>
                <w:color w:val="000000" w:themeColor="text1"/>
              </w:rPr>
            </w:r>
          </w:p>
        </w:tc>
      </w:tr>
      <w:tr>
        <w:trPr>
          <w:trHeight w:val="480"/>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10"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C3</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Mục đích sử dụng</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Đất ở tại đô thị</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Đất ở tại đô thị</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Đất ở tại đô thị</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Đất ở tại đô thị</w:t>
            </w:r>
            <w:r>
              <w:rPr>
                <w:color w:val="000000" w:themeColor="text1"/>
              </w:rPr>
            </w:r>
            <w:r>
              <w:rPr>
                <w:color w:val="000000" w:themeColor="text1"/>
              </w:rP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64"/>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220.656.963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175.909.091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211.342.957 </w:t>
            </w:r>
            <w:r>
              <w:rPr>
                <w:color w:val="000000" w:themeColor="text1"/>
              </w:rPr>
            </w:r>
            <w:r>
              <w:rPr>
                <w:color w:val="000000" w:themeColor="text1"/>
              </w:rPr>
            </w:r>
          </w:p>
        </w:tc>
      </w:tr>
      <w:tr>
        <w:trPr>
          <w:trHeight w:val="279"/>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10"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C4</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Thời hạn sử dụng đất</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Lâu dài/Có thời hạn</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ind/>
              <w:jc w:val="center"/>
              <w:rPr/>
            </w:pPr>
            <w:r>
              <w:rPr>
                <w:rFonts w:ascii="Times New Roman" w:hAnsi="Times New Roman" w:eastAsia="Times New Roman" w:cs="Times New Roman"/>
                <w:b/>
                <w:color w:val="000000" w:themeColor="text1"/>
                <w:sz w:val="22"/>
              </w:rPr>
              <w:t xml:space="preserve">Lâu dài/Có thời hạn</w:t>
            </w:r>
            <w:r>
              <w:rPr>
                <w:color w:val="000000" w:themeColor="text1"/>
              </w:r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ind/>
              <w:jc w:val="center"/>
              <w:rPr/>
            </w:pPr>
            <w:r>
              <w:rPr>
                <w:rFonts w:ascii="Times New Roman" w:hAnsi="Times New Roman" w:eastAsia="Times New Roman" w:cs="Times New Roman"/>
                <w:b/>
                <w:color w:val="000000" w:themeColor="text1"/>
                <w:sz w:val="22"/>
              </w:rPr>
              <w:t xml:space="preserve">Lâu dài/Có thời hạn</w:t>
            </w:r>
            <w:r>
              <w:rPr>
                <w:color w:val="000000" w:themeColor="text1"/>
              </w:r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ind/>
              <w:jc w:val="center"/>
              <w:rPr/>
            </w:pPr>
            <w:r>
              <w:rPr>
                <w:rFonts w:ascii="Times New Roman" w:hAnsi="Times New Roman" w:eastAsia="Times New Roman" w:cs="Times New Roman"/>
                <w:b/>
                <w:color w:val="000000" w:themeColor="text1"/>
                <w:sz w:val="22"/>
              </w:rPr>
              <w:t xml:space="preserve">Lâu dài/Có thời hạn</w:t>
            </w:r>
            <w:r>
              <w:rPr>
                <w:color w:val="000000" w:themeColor="text1"/>
              </w:rPr>
            </w:r>
            <w:r/>
          </w:p>
        </w:tc>
      </w:tr>
      <w:tr>
        <w:trPr>
          <w:trHeight w:val="279"/>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9"/>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220.656.963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175.909.091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211.342.957 </w:t>
            </w:r>
            <w:r>
              <w:rPr>
                <w:color w:val="000000" w:themeColor="text1"/>
              </w:rPr>
            </w:r>
            <w:r>
              <w:rPr>
                <w:color w:val="000000" w:themeColor="text1"/>
              </w:rPr>
            </w:r>
          </w:p>
        </w:tc>
      </w:tr>
      <w:tr>
        <w:trPr>
          <w:trHeight w:val="2544"/>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10"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C5</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Vị trí</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5" w:type="dxa"/>
            <w:vAlign w:val="center"/>
            <w:textDirection w:val="lrTb"/>
            <w:noWrap w:val="false"/>
          </w:tcPr>
          <w:p>
            <w:pPr>
              <w:pBdr/>
              <w:spacing w:after="0" w:before="0" w:line="240" w:lineRule="auto"/>
              <w:ind/>
              <w:jc w:val="center"/>
              <w:rPr>
                <w:b/>
                <w:bCs/>
                <w:color w:val="000000" w:themeColor="text1"/>
                <w:highlight w:val="yellow"/>
              </w:rPr>
            </w:pPr>
            <w:r>
              <w:rPr>
                <w:rFonts w:ascii="Times New Roman" w:hAnsi="Times New Roman" w:eastAsia="Times New Roman" w:cs="Times New Roman"/>
                <w:b/>
                <w:bCs/>
                <w:color w:val="000000" w:themeColor="text1"/>
                <w:sz w:val="22"/>
                <w:highlight w:val="white"/>
              </w:rPr>
              <w:t xml:space="preserve">Tài sản tại: Xã Vân Canh, Huyện Hoài Đức, Thành phố Hà Nội, </w:t>
            </w:r>
            <w:r>
              <w:rPr>
                <w:rFonts w:ascii="Times New Roman" w:hAnsi="Times New Roman" w:eastAsia="Times New Roman" w:cs="Times New Roman"/>
                <w:b/>
                <w:bCs/>
                <w:color w:val="000000" w:themeColor="text1"/>
                <w:sz w:val="22"/>
              </w:rPr>
              <w:t xml:space="preserve">Tài sản nằm trên mặt đường Trịnh Văn Bô</w:t>
            </w:r>
            <w:r>
              <w:rPr>
                <w:b/>
                <w:bCs/>
                <w:color w:val="000000" w:themeColor="text1"/>
                <w:highlight w:val="yellow"/>
              </w:rPr>
            </w:r>
            <w:r>
              <w:rPr>
                <w:b/>
                <w:bCs/>
                <w:color w:val="000000" w:themeColor="text1"/>
                <w:highlight w:val="yellow"/>
              </w:rPr>
            </w:r>
          </w:p>
          <w:p>
            <w:pPr>
              <w:pBdr/>
              <w:spacing w:after="0" w:before="0" w:line="240" w:lineRule="auto"/>
              <w:ind/>
              <w:jc w:val="center"/>
              <w:rPr>
                <w:b/>
                <w:bCs/>
                <w:color w:val="000000" w:themeColor="text1"/>
                <w:highlight w:val="yellow"/>
              </w:rPr>
            </w:pPr>
            <w:r>
              <w:rPr>
                <w:rFonts w:ascii="Times New Roman" w:hAnsi="Times New Roman" w:eastAsia="Times New Roman" w:cs="Times New Roman"/>
                <w:b/>
                <w:bCs/>
                <w:color w:val="000000" w:themeColor="text1"/>
                <w:sz w:val="22"/>
                <w:highlight w:val="yellow"/>
              </w:rPr>
            </w:r>
            <w:r>
              <w:rPr>
                <w:b/>
                <w:bCs/>
                <w:color w:val="000000" w:themeColor="text1"/>
                <w:highlight w:val="yellow"/>
              </w:rPr>
            </w:r>
            <w:r>
              <w:rPr>
                <w:b/>
                <w:bCs/>
                <w:color w:val="000000" w:themeColor="text1"/>
                <w:highlight w:val="yellow"/>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Xã Vân Canh, Huyện Hoài Đức, Thành phố Hà Nội,Tài sản nằm trên mặt đường Trịnh Văn Bô</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Xã Vân Canh, Huyện Hoài Đức, Thành phố Hà Nội, Tài sản nằm ở HUD Vân Canh khu liền kề 34-35 cách đường Trịnh Văn Bô khoảng 450m</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Xã Vân Canh, Huyện Hoài Đức, Thành phố Hà Nội, Tài sản nằm trên mặt đường Trịnh Văn Bô</w:t>
            </w:r>
            <w:r>
              <w:rPr>
                <w:color w:val="000000" w:themeColor="text1"/>
              </w:rPr>
            </w:r>
            <w:r>
              <w:rPr>
                <w:color w:val="000000" w:themeColor="text1"/>
              </w:rP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8.795.455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220.656.963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184.704.545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211.342.957 </w:t>
            </w:r>
            <w:r>
              <w:rPr>
                <w:color w:val="000000" w:themeColor="text1"/>
              </w:rPr>
            </w:r>
            <w:r>
              <w:rPr>
                <w:color w:val="000000" w:themeColor="text1"/>
              </w:rPr>
            </w:r>
          </w:p>
        </w:tc>
      </w:tr>
      <w:tr>
        <w:trPr>
          <w:trHeight w:val="816"/>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10"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C6</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Giao thông</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28</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28</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15</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28</w:t>
            </w:r>
            <w:r>
              <w:rPr>
                <w:color w:val="000000" w:themeColor="text1"/>
              </w:rPr>
            </w:r>
            <w:r>
              <w:rPr>
                <w:color w:val="000000" w:themeColor="text1"/>
              </w:rP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26.386.364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220.656.963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211.090.909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211.342.957 </w:t>
            </w:r>
            <w:r>
              <w:rPr>
                <w:color w:val="000000" w:themeColor="text1"/>
              </w:rPr>
            </w:r>
            <w:r>
              <w:rPr>
                <w:color w:val="000000" w:themeColor="text1"/>
              </w:rPr>
            </w:r>
          </w:p>
        </w:tc>
      </w:tr>
      <w:tr>
        <w:trPr>
          <w:trHeight w:val="55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10"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C7</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Diện tích đất</w:t>
              <w:br/>
              <w:t xml:space="preserve"> (m²)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103</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118</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110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110</w:t>
            </w:r>
            <w:r>
              <w:rPr>
                <w:color w:val="000000" w:themeColor="text1"/>
              </w:rPr>
            </w:r>
            <w:r>
              <w:rPr>
                <w:color w:val="000000" w:themeColor="text1"/>
              </w:rP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220.656.963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211.090.909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211.342.957 </w:t>
            </w:r>
            <w:r>
              <w:rPr>
                <w:color w:val="000000" w:themeColor="text1"/>
              </w:rPr>
            </w:r>
            <w:r>
              <w:rPr>
                <w:color w:val="000000" w:themeColor="text1"/>
              </w:rP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10"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C8</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Mặt tiền (m)</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8"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5,0</w:t>
            </w:r>
            <w:r>
              <w:rPr>
                <w:color w:val="000000" w:themeColor="text1"/>
              </w:rPr>
            </w:r>
            <w:r>
              <w:rPr>
                <w:color w:val="000000" w:themeColor="text1"/>
              </w:rP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220.656.963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211.090.909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211.342.957 </w:t>
            </w:r>
            <w:r>
              <w:rPr>
                <w:color w:val="000000" w:themeColor="text1"/>
              </w:rPr>
            </w:r>
            <w:r>
              <w:rPr>
                <w:color w:val="000000" w:themeColor="text1"/>
              </w:rPr>
            </w:r>
          </w:p>
        </w:tc>
      </w:tr>
      <w:tr>
        <w:trPr>
          <w:trHeight w:val="504"/>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10"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C9</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Số lượng mặt tiếp giáp</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 mặt tiền</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 mặt tiền</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 mặt tiền</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 mặt tiền</w:t>
            </w:r>
            <w:r>
              <w:rPr>
                <w:color w:val="000000" w:themeColor="text1"/>
              </w:rPr>
            </w:r>
            <w:r>
              <w:rPr>
                <w:color w:val="000000" w:themeColor="text1"/>
              </w:rP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220.656.963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211.090.909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211.342.957 </w:t>
            </w:r>
            <w:r>
              <w:rPr>
                <w:color w:val="000000" w:themeColor="text1"/>
              </w:rPr>
            </w:r>
            <w:r>
              <w:rPr>
                <w:color w:val="000000" w:themeColor="text1"/>
              </w:rPr>
            </w:r>
          </w:p>
        </w:tc>
      </w:tr>
      <w:tr>
        <w:trPr>
          <w:trHeight w:val="37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10"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Hình dáng thửa đất</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Vuông vức</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Vuông vức</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Vuông vức</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Vuông vức</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220.656.963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211.090.909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211.342.957 </w:t>
            </w:r>
            <w:r>
              <w:rPr>
                <w:color w:val="000000" w:themeColor="text1"/>
              </w:rPr>
            </w:r>
            <w:r>
              <w:rPr>
                <w:color w:val="000000" w:themeColor="text1"/>
              </w:rP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10"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C11</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Lợi thế kinh doanh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Tốt</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Tốt</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Tốt</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Tốt</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375"/>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220.656.963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211.090.909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211.342.957 </w:t>
            </w:r>
            <w:r>
              <w:rPr>
                <w:color w:val="000000" w:themeColor="text1"/>
              </w:rPr>
            </w:r>
            <w:r>
              <w:rPr>
                <w:color w:val="000000" w:themeColor="text1"/>
              </w:rPr>
            </w:r>
          </w:p>
        </w:tc>
      </w:tr>
      <w:tr>
        <w:trPr>
          <w:trHeight w:val="264"/>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1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D1</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trị trung bình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53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214.363.610 </w:t>
            </w:r>
            <w:r>
              <w:rPr>
                <w:color w:val="000000" w:themeColor="text1"/>
              </w:rPr>
            </w:r>
            <w:r>
              <w:rPr>
                <w:color w:val="000000" w:themeColor="text1"/>
              </w:rPr>
            </w:r>
          </w:p>
        </w:tc>
      </w:tr>
      <w:tr>
        <w:trPr>
          <w:trHeight w:val="300"/>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1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D2</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độ chênh lệch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2,9%</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-1,4%</w:t>
            </w:r>
            <w:r>
              <w:rPr>
                <w:color w:val="000000" w:themeColor="text1"/>
              </w:rPr>
            </w:r>
            <w:r>
              <w:rPr>
                <w:color w:val="000000" w:themeColor="text1"/>
              </w:rPr>
            </w:r>
          </w:p>
        </w:tc>
      </w:tr>
      <w:tr>
        <w:trPr>
          <w:trHeight w:val="55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1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E</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Tổng hợp các số liệu điều chỉnh tại mục C</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8"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5"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1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E1</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gộp</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35.181.818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0 </w:t>
            </w:r>
            <w:r>
              <w:rPr>
                <w:color w:val="000000" w:themeColor="text1"/>
              </w:rPr>
            </w:r>
            <w:r>
              <w:rPr>
                <w:color w:val="000000" w:themeColor="text1"/>
              </w:rP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1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E2</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số lần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Lần</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1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E3</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Biên độ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- 15%</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0%</w:t>
            </w:r>
            <w:r>
              <w:rPr>
                <w:color w:val="000000" w:themeColor="text1"/>
              </w:rPr>
            </w:r>
            <w:r>
              <w:rPr>
                <w:color w:val="000000" w:themeColor="text1"/>
              </w:rPr>
            </w:r>
          </w:p>
        </w:tc>
      </w:tr>
      <w:tr>
        <w:trPr>
          <w:trHeight w:val="55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1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E4</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thuần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35.181.818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55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1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F</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Mức giá cho tài sản thẩm định (làm tròn)</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53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214.000.000 </w:t>
            </w:r>
            <w:r>
              <w:rPr>
                <w:color w:val="000000" w:themeColor="text1"/>
              </w:rPr>
            </w:r>
            <w:r>
              <w:rPr>
                <w:color w:val="000000" w:themeColor="text1"/>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-1,5</w:t>
      </w:r>
      <w:r>
        <w:t xml:space="preserve">% </w:t>
      </w:r>
      <w:r>
        <w:t xml:space="preserve">đến</w:t>
      </w:r>
      <w:r>
        <w:t xml:space="preserve"> </w:t>
      </w:r>
      <w:r>
        <w:t xml:space="preserve"> </w:t>
      </w:r>
      <w:r>
        <w:t xml:space="preserve">2,9%,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top w:val="none" w:color="000000" w:sz="4" w:space="0"/>
          <w:left w:val="none" w:color="000000" w:sz="4" w:space="0"/>
          <w:bottom w:val="none" w:color="000000" w:sz="4" w:space="0"/>
          <w:right w:val="none" w:color="000000" w:sz="4" w:space="0"/>
        </w:pBdr>
        <w:spacing w:after="60" w:before="60" w:line="276" w:lineRule="auto"/>
        <w:ind w:right="28" w:firstLine="0" w:left="0"/>
        <w:jc w:val="both"/>
        <w:rPr/>
      </w:pPr>
      <w:r>
        <w:rPr>
          <w:rFonts w:ascii="Times New Roman" w:hAnsi="Times New Roman" w:eastAsia="Times New Roman" w:cs="Times New Roman"/>
          <w:color w:val="000000"/>
          <w:sz w:val="24"/>
          <w:u w:val="single"/>
        </w:rPr>
        <w:t xml:space="preserve">Về thống nhất các mức giá chỉ dẫn:</w:t>
      </w:r>
      <w:r/>
    </w:p>
    <w:p>
      <w:pPr>
        <w:pBdr>
          <w:top w:val="none" w:color="000000" w:sz="4" w:space="0"/>
          <w:left w:val="none" w:color="000000" w:sz="4" w:space="0"/>
          <w:bottom w:val="none" w:color="000000" w:sz="4" w:space="0"/>
          <w:right w:val="none" w:color="000000" w:sz="4" w:space="0"/>
        </w:pBdr>
        <w:spacing w:after="60" w:before="60" w:line="276" w:lineRule="auto"/>
        <w:ind w:right="28" w:firstLine="0" w:left="0"/>
        <w:jc w:val="both"/>
        <w:rPr/>
      </w:pPr>
      <w:r>
        <w:rPr>
          <w:rFonts w:ascii="Times New Roman" w:hAnsi="Times New Roman" w:eastAsia="Times New Roman" w:cs="Times New Roman"/>
          <w:color w:val="000000"/>
          <w:spacing w:val="-4"/>
          <w:sz w:val="24"/>
        </w:rPr>
        <w:t xml:space="preserve">Tổ thẩm định đánh giá chất lượng thông tin về các tài sản so sánh là tương đương nhau; mức giá chỉ dẫn, tổng giá trị điều chỉnh gộp, tổng số lần điều chỉnh, biên độ điều chỉnh của các bất động sản chênh lệch không đáng kể. Do đó, Tổ thẩm định sử dụng mức g</w:t>
      </w:r>
      <w:r>
        <w:rPr>
          <w:rFonts w:ascii="Times New Roman" w:hAnsi="Times New Roman" w:eastAsia="Times New Roman" w:cs="Times New Roman"/>
          <w:color w:val="000000"/>
          <w:spacing w:val="-4"/>
          <w:sz w:val="24"/>
        </w:rPr>
        <w:t xml:space="preserve">iá chỉ dẫn trung bình của 03 bất động sản so sánh làm mức giá của bất động sản thẩm định giá, tương ứng </w:t>
      </w:r>
      <w:r>
        <w:rPr>
          <w:rFonts w:ascii="Times New Roman" w:hAnsi="Times New Roman" w:eastAsia="Times New Roman" w:cs="Times New Roman"/>
          <w:color w:val="000000"/>
          <w:sz w:val="24"/>
        </w:rPr>
        <w:t xml:space="preserve">là:</w:t>
      </w:r>
      <w:r>
        <w:rPr>
          <w:rFonts w:ascii="Times New Roman" w:hAnsi="Times New Roman" w:eastAsia="Times New Roman" w:cs="Times New Roman"/>
          <w:b/>
          <w:color w:val="000000"/>
          <w:sz w:val="24"/>
        </w:rPr>
        <w:t xml:space="preserve"> 214.000.000 đồng/m²</w:t>
      </w:r>
      <w:r>
        <w:rPr>
          <w:rFonts w:ascii="Times New Roman" w:hAnsi="Times New Roman" w:eastAsia="Times New Roman" w:cs="Times New Roman"/>
          <w:color w:val="000000"/>
          <w:sz w:val="24"/>
        </w:rPr>
        <w:t xml:space="preserve">.</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2. Xác định giá trị tài sản gắn liền với đất </w:t>
      </w:r>
      <w:r/>
    </w:p>
    <w:p>
      <w:pPr>
        <w:numPr>
          <w:ilvl w:val="0"/>
          <w:numId w:val="39"/>
        </w:numPr>
        <w:pBdr>
          <w:top w:val="none" w:color="000000" w:sz="4" w:space="0"/>
          <w:left w:val="none" w:color="000000" w:sz="4" w:space="0"/>
          <w:bottom w:val="none" w:color="000000" w:sz="4" w:space="0"/>
          <w:right w:val="none" w:color="000000" w:sz="4" w:space="0"/>
        </w:pBdr>
        <w:spacing w:after="120" w:before="120" w:line="264" w:lineRule="auto"/>
        <w:ind/>
        <w:jc w:val="both"/>
        <w:rPr/>
      </w:pPr>
      <w:r>
        <w:rPr>
          <w:rFonts w:ascii="Times New Roman" w:hAnsi="Times New Roman" w:eastAsia="Times New Roman" w:cs="Times New Roman"/>
          <w:b/>
          <w:color w:val="000000"/>
          <w:sz w:val="24"/>
        </w:rPr>
        <w:t xml:space="preserve">Xác định đơn giá của công trình xây dựng</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right="0" w:firstLine="426" w:left="0"/>
        <w:jc w:val="both"/>
        <w:rPr/>
      </w:pPr>
      <w:r>
        <w:rPr>
          <w:rFonts w:ascii="Times New Roman" w:hAnsi="Times New Roman" w:eastAsia="Times New Roman" w:cs="Times New Roman"/>
          <w:color w:val="000000"/>
          <w:sz w:val="24"/>
        </w:rPr>
        <w:t xml:space="preserve">Qua tham khảo thị trường về đơn giá xây dựng mới đối với công trình nhà 4 tầng, cân nhắc và xem xét với mức độ hoàn thiện của công trình xây dựng hiện có, tổ thẩm định nhận thấy đơn giá vận dụng theo -Quyết định số 409/QĐ-BXD ngày 11 tháng 4 năm 2025 của B</w:t>
      </w:r>
      <w:r>
        <w:rPr>
          <w:rFonts w:ascii="Times New Roman" w:hAnsi="Times New Roman" w:eastAsia="Times New Roman" w:cs="Times New Roman"/>
          <w:color w:val="000000"/>
          <w:sz w:val="24"/>
        </w:rPr>
        <w:t xml:space="preserve">ộ Xây dựng về việc công bố suất vốn đầu tư xây dựng và giá xây dựng tổng hợp bộ phận kết cấu công trình năm 20 là khá phù hợp với thị trường, theo đó:</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right="0" w:firstLine="426" w:left="0"/>
        <w:jc w:val="both"/>
        <w:rPr/>
      </w:pPr>
      <w:r>
        <w:rPr>
          <w:rFonts w:ascii="Times New Roman" w:hAnsi="Times New Roman" w:eastAsia="Times New Roman" w:cs="Times New Roman"/>
          <w:i/>
          <w:color w:val="000000"/>
          <w:sz w:val="24"/>
        </w:rPr>
        <w:t xml:space="preserve">“Suất vốn đầu tư xây dựng Nhà từ 4 đến 5 tầng, kết cấu khung chịu lực BTCT; tường bao xây gạch; sàn, mái BTCT đổ tại chỗ không có hầm: </w:t>
      </w:r>
      <w:r>
        <w:rPr>
          <w:rFonts w:ascii="Times New Roman" w:hAnsi="Times New Roman" w:eastAsia="Times New Roman" w:cs="Times New Roman"/>
          <w:i/>
          <w:color w:val="000000"/>
          <w:sz w:val="24"/>
        </w:rPr>
        <w:t xml:space="preserve">7.673.000</w:t>
      </w:r>
      <w:r>
        <w:rPr>
          <w:rFonts w:ascii="Times New Roman" w:hAnsi="Times New Roman" w:eastAsia="Times New Roman" w:cs="Times New Roman"/>
          <w:i/>
          <w:color w:val="000000"/>
          <w:sz w:val="24"/>
        </w:rPr>
        <w:t xml:space="preserve"> đồng/m² sàn.</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right="0" w:firstLine="426" w:left="0"/>
        <w:jc w:val="both"/>
        <w:rPr/>
      </w:pPr>
      <w:r>
        <w:rPr>
          <w:rFonts w:ascii="Times New Roman" w:hAnsi="Times New Roman" w:eastAsia="Times New Roman" w:cs="Times New Roman"/>
          <w:i/>
          <w:color w:val="000000"/>
          <w:sz w:val="24"/>
        </w:rPr>
        <w:t xml:space="preserve">Hệ số điều chỉnh vùng cho Suất đầu tư: Hà Nội thuộc vùng 2 có hệ số điều chỉnh là 0,952.”</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right="0" w:firstLine="426" w:left="0"/>
        <w:jc w:val="both"/>
        <w:rPr>
          <w:rFonts w:ascii="Times New Roman" w:hAnsi="Times New Roman" w:eastAsia="Times New Roman" w:cs="Times New Roman"/>
          <w:bCs/>
          <w:i/>
          <w:color w:val="000000"/>
          <w:sz w:val="24"/>
          <w:szCs w:val="24"/>
          <w:highlight w:val="none"/>
        </w:rPr>
      </w:pPr>
      <w:r>
        <w:rPr>
          <w:rFonts w:ascii="Times New Roman" w:hAnsi="Times New Roman" w:eastAsia="Times New Roman" w:cs="Times New Roman"/>
          <w:i/>
          <w:color w:val="000000"/>
          <w:sz w:val="24"/>
        </w:rPr>
        <w:t xml:space="preserve">Do đó, Tổ thẩm định xác định đơn giá xây mới của công trình xây dựng là: (Suất đầu tư xây dựng) x (Hệ số vùng) = 7.673.000  x 0,952 = 7.304.696 đồng/m² sàn. </w:t>
      </w:r>
      <w:r>
        <w:rPr>
          <w:rFonts w:ascii="Times New Roman" w:hAnsi="Times New Roman" w:eastAsia="Times New Roman" w:cs="Times New Roman"/>
          <w:bCs/>
          <w:i/>
          <w:color w:val="000000"/>
          <w:sz w:val="24"/>
          <w:szCs w:val="24"/>
          <w:highlight w:val="none"/>
        </w:rPr>
      </w:r>
      <w:r>
        <w:rPr>
          <w:rFonts w:ascii="Times New Roman" w:hAnsi="Times New Roman" w:eastAsia="Times New Roman" w:cs="Times New Roman"/>
          <w:bCs/>
          <w:i/>
          <w:color w:val="000000"/>
          <w:sz w:val="24"/>
          <w:szCs w:val="24"/>
          <w:highlight w:val="non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right="0" w:firstLine="426" w:left="0"/>
        <w:jc w:val="both"/>
        <w:rPr>
          <w:bCs w:val="0"/>
          <w:i w:val="0"/>
          <w:highlight w:val="white"/>
        </w:rPr>
      </w:pPr>
      <w:r>
        <w:rPr>
          <w:rFonts w:ascii="Times New Roman" w:hAnsi="Times New Roman" w:eastAsia="Times New Roman" w:cs="Times New Roman"/>
          <w:i w:val="0"/>
          <w:iCs w:val="0"/>
          <w:color w:val="000000"/>
          <w:sz w:val="24"/>
          <w:highlight w:val="none"/>
        </w:rPr>
        <w:t xml:space="preserve">Căn </w:t>
      </w:r>
      <w:r>
        <w:rPr>
          <w:rFonts w:ascii="Times New Roman" w:hAnsi="Times New Roman" w:eastAsia="Times New Roman" w:cs="Times New Roman"/>
          <w:color w:val="000000"/>
          <w:sz w:val="24"/>
        </w:rPr>
        <w:t xml:space="preserve">cứ theo hiện trạng khảo sát thực tế dưới sự hướng dẫn của Khách hàng, công trình xây dựng</w:t>
      </w:r>
      <w:r>
        <w:rPr>
          <w:rFonts w:ascii="Times New Roman" w:hAnsi="Times New Roman" w:eastAsia="Times New Roman" w:cs="Times New Roman"/>
          <w:color w:val="000000"/>
          <w:sz w:val="24"/>
        </w:rPr>
        <w:t xml:space="preserve"> có hiện trạng nhà thô, hoàn thiện ngoài, đã tu sửa qua một phần để sử dụng, do đó tổ thẩm định ước tính tỷ lệ hoàn thiện công trình xay dựng khoảng 70%.</w:t>
      </w:r>
      <w:r>
        <w:rPr>
          <w:i w:val="0"/>
          <w:iCs w:val="0"/>
          <w:highlight w:val="white"/>
        </w:rPr>
      </w:r>
      <w:r>
        <w:rPr>
          <w:bCs w:val="0"/>
          <w:i w:val="0"/>
          <w:highlight w:val="white"/>
        </w:rPr>
      </w:r>
    </w:p>
    <w:p>
      <w:pPr>
        <w:numPr>
          <w:ilvl w:val="0"/>
          <w:numId w:val="40"/>
        </w:numPr>
        <w:pBdr>
          <w:top w:val="none" w:color="000000" w:sz="4" w:space="0"/>
          <w:left w:val="none" w:color="000000" w:sz="4" w:space="0"/>
          <w:bottom w:val="none" w:color="000000" w:sz="4" w:space="0"/>
          <w:right w:val="none" w:color="000000" w:sz="4" w:space="0"/>
        </w:pBdr>
        <w:spacing w:after="120" w:before="120" w:line="264" w:lineRule="auto"/>
        <w:ind/>
        <w:jc w:val="both"/>
        <w:rPr/>
      </w:pPr>
      <w:r>
        <w:rPr>
          <w:rFonts w:ascii="Times New Roman" w:hAnsi="Times New Roman" w:eastAsia="Times New Roman" w:cs="Times New Roman"/>
          <w:b/>
          <w:color w:val="000000"/>
          <w:sz w:val="24"/>
        </w:rPr>
        <w:t xml:space="preserve">Xác định giá trị hao mòn theo kỹ thuật tuổi đời:</w:t>
      </w:r>
      <w:r/>
    </w:p>
    <w:p>
      <w:pPr>
        <w:pBdr>
          <w:top w:val="none" w:color="000000" w:sz="4" w:space="0"/>
          <w:left w:val="none" w:color="000000" w:sz="4" w:space="0"/>
          <w:bottom w:val="none" w:color="000000" w:sz="4" w:space="0"/>
          <w:right w:val="none" w:color="000000" w:sz="4" w:space="0"/>
        </w:pBdr>
        <w:spacing w:after="80" w:before="80" w:line="264" w:lineRule="auto"/>
        <w:ind w:right="0" w:firstLine="284" w:left="0"/>
        <w:jc w:val="both"/>
        <w:rPr/>
      </w:pPr>
      <w:r>
        <w:rPr>
          <w:rFonts w:ascii="Times New Roman" w:hAnsi="Times New Roman" w:eastAsia="Times New Roman" w:cs="Times New Roman"/>
          <w:color w:val="000000"/>
          <w:spacing w:val="2"/>
          <w:sz w:val="24"/>
        </w:rPr>
        <w:t xml:space="preserve">Tỉ lệ hao mòn được tính toán theo phương pháp tuổi đời:</w:t>
      </w:r>
      <w:r/>
    </w:p>
    <w:p>
      <w:pPr>
        <w:pBdr>
          <w:top w:val="none" w:color="000000" w:sz="4" w:space="0"/>
          <w:left w:val="none" w:color="000000" w:sz="4" w:space="0"/>
          <w:bottom w:val="none" w:color="000000" w:sz="4" w:space="0"/>
          <w:right w:val="none" w:color="000000" w:sz="4" w:space="0"/>
        </w:pBdr>
        <w:spacing w:after="80" w:before="80" w:line="264" w:lineRule="auto"/>
        <w:ind w:right="0" w:firstLine="284" w:left="0"/>
        <w:jc w:val="both"/>
        <w:rPr/>
      </w:pPr>
      <w:r>
        <w:rPr>
          <w:rFonts w:ascii="Times New Roman" w:hAnsi="Times New Roman" w:eastAsia="Times New Roman" w:cs="Times New Roman"/>
          <w:color w:val="000000"/>
          <w:spacing w:val="2"/>
          <w:sz w:val="24"/>
        </w:rPr>
        <w:t xml:space="preserve">Công thức: Tỉ lệ hao mòn = Tuổi đời hiệu quả/ Tuổi đời kinh tế</w:t>
      </w:r>
      <w:r/>
    </w:p>
    <w:p>
      <w:pPr>
        <w:pBdr>
          <w:top w:val="none" w:color="000000" w:sz="4" w:space="0"/>
          <w:left w:val="none" w:color="000000" w:sz="4" w:space="0"/>
          <w:bottom w:val="none" w:color="000000" w:sz="4" w:space="0"/>
          <w:right w:val="none" w:color="000000" w:sz="4" w:space="0"/>
        </w:pBdr>
        <w:spacing w:after="80" w:before="80" w:line="264" w:lineRule="auto"/>
        <w:ind w:right="0" w:firstLine="284" w:left="0"/>
        <w:jc w:val="both"/>
        <w:rPr/>
      </w:pPr>
      <w:r>
        <w:rPr>
          <w:rFonts w:ascii="Times New Roman" w:hAnsi="Times New Roman" w:eastAsia="Times New Roman" w:cs="Times New Roman"/>
          <w:color w:val="000000"/>
          <w:spacing w:val="2"/>
          <w:sz w:val="24"/>
        </w:rPr>
        <w:t xml:space="preserve">Tổ thẩm định giả định rằng công trình xây dựng hoạt động liên tục trong khoảng thời gian trích khấu hao được duy tu, sửa chữa định kỳ và đúng quy trình nên tuổi đời hiệu quả bằng tuổi đời thực tế. Theo thông tin khách hàng cung cấp, công trình được hoàn th</w:t>
      </w:r>
      <w:r>
        <w:rPr>
          <w:rFonts w:ascii="Times New Roman" w:hAnsi="Times New Roman" w:eastAsia="Times New Roman" w:cs="Times New Roman"/>
          <w:color w:val="000000"/>
          <w:spacing w:val="2"/>
          <w:sz w:val="24"/>
        </w:rPr>
        <w:t xml:space="preserve">ành đưa vào sử dụng khoảng năm 2019, do vậy tổ thẩm định xác định tuổi đời hiệu quả của công trình là khoảng 14 năm.</w:t>
      </w:r>
      <w:r/>
    </w:p>
    <w:p>
      <w:pPr>
        <w:pBdr>
          <w:top w:val="none" w:color="000000" w:sz="4" w:space="0"/>
          <w:left w:val="none" w:color="000000" w:sz="4" w:space="0"/>
          <w:bottom w:val="none" w:color="000000" w:sz="4" w:space="0"/>
          <w:right w:val="none" w:color="000000" w:sz="4" w:space="0"/>
        </w:pBdr>
        <w:spacing w:after="80" w:before="80" w:line="264" w:lineRule="auto"/>
        <w:ind w:right="0" w:firstLine="284" w:left="0"/>
        <w:jc w:val="both"/>
        <w:rPr/>
      </w:pPr>
      <w:r>
        <w:rPr>
          <w:rFonts w:ascii="Times New Roman" w:hAnsi="Times New Roman" w:eastAsia="Times New Roman" w:cs="Times New Roman"/>
          <w:color w:val="000000"/>
          <w:sz w:val="24"/>
        </w:rPr>
        <w:t xml:space="preserve">Vận dụng thời gian trích khấu hao TSCĐ tại Thông tư 45/2013/TT-BTC của Bộ Tài Chính về việc hướng dẫn chế độ quản lý, sử dụng và trích khấu hao tài sản cố định ngày 25/4/2013, kết hợp với khảo sát thông tin thị trường và quan sát hiện trạng thực tế công tr</w:t>
      </w:r>
      <w:r>
        <w:rPr>
          <w:rFonts w:ascii="Times New Roman" w:hAnsi="Times New Roman" w:eastAsia="Times New Roman" w:cs="Times New Roman"/>
          <w:color w:val="000000"/>
          <w:sz w:val="24"/>
        </w:rPr>
        <w:t xml:space="preserve">ình, tổ thẩm định xác định tuổi đời kinh tế của tài sản thẩm định là 50 năm. Qua khảo sát thực tế và thông tin khách hàng cung cấp, công trình xây dựng được hoàn thành năm 2017. Do đó, tổ thẩm định để xuất tuổi đời kinh tế của tài sản thẩm định là 50 năm.</w:t>
      </w:r>
      <w:r/>
    </w:p>
    <w:tbl>
      <w:tblPr>
        <w:tblStyle w:val="1035"/>
        <w:tblInd w:w="-5"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34001"/>
        <w:gridCol w:w="24973"/>
        <w:gridCol w:w="20399"/>
        <w:gridCol w:w="20399"/>
        <w:gridCol w:w="20399"/>
        <w:gridCol w:w="27933"/>
      </w:tblGrid>
      <w:tr>
        <w:trPr>
          <w:trHeight w:val="19"/>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340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0" w:left="0"/>
              <w:jc w:val="center"/>
              <w:rPr/>
            </w:pPr>
            <w:r>
              <w:rPr>
                <w:rFonts w:ascii="Times New Roman" w:hAnsi="Times New Roman" w:eastAsia="Times New Roman" w:cs="Times New Roman"/>
                <w:b/>
                <w:color w:val="000000"/>
                <w:sz w:val="24"/>
              </w:rPr>
              <w:t xml:space="preserve">Tên 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49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0" w:left="0"/>
              <w:jc w:val="center"/>
              <w:rPr/>
            </w:pPr>
            <w:r>
              <w:rPr>
                <w:rFonts w:ascii="Times New Roman" w:hAnsi="Times New Roman" w:eastAsia="Times New Roman" w:cs="Times New Roman"/>
                <w:b/>
                <w:color w:val="000000"/>
                <w:sz w:val="24"/>
              </w:rPr>
              <w:t xml:space="preserve">Thời điểm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3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0" w:left="0"/>
              <w:jc w:val="center"/>
              <w:rPr/>
            </w:pPr>
            <w:r>
              <w:rPr>
                <w:rFonts w:ascii="Times New Roman" w:hAnsi="Times New Roman" w:eastAsia="Times New Roman" w:cs="Times New Roman"/>
                <w:b/>
                <w:color w:val="000000"/>
                <w:sz w:val="24"/>
              </w:rPr>
              <w:t xml:space="preserve">Tuổi đời kinh tế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3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0" w:left="0"/>
              <w:jc w:val="center"/>
              <w:rPr/>
            </w:pPr>
            <w:r>
              <w:rPr>
                <w:rFonts w:ascii="Times New Roman" w:hAnsi="Times New Roman" w:eastAsia="Times New Roman" w:cs="Times New Roman"/>
                <w:b/>
                <w:color w:val="000000"/>
                <w:sz w:val="24"/>
              </w:rPr>
              <w:t xml:space="preserve">Tuổi đời hiệu quả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3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0" w:left="0"/>
              <w:jc w:val="center"/>
              <w:rPr/>
            </w:pPr>
            <w:r>
              <w:rPr>
                <w:rFonts w:ascii="Times New Roman" w:hAnsi="Times New Roman" w:eastAsia="Times New Roman" w:cs="Times New Roman"/>
                <w:b/>
                <w:color w:val="000000"/>
                <w:sz w:val="24"/>
              </w:rPr>
              <w:t xml:space="preserve">Tỉ lệ hao mòn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79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0" w:left="0"/>
              <w:jc w:val="center"/>
              <w:rPr/>
            </w:pPr>
            <w:r>
              <w:rPr>
                <w:rFonts w:ascii="Times New Roman" w:hAnsi="Times New Roman" w:eastAsia="Times New Roman" w:cs="Times New Roman"/>
                <w:b/>
                <w:color w:val="000000"/>
                <w:sz w:val="24"/>
              </w:rPr>
              <w:t xml:space="preserve">Giá trị hao mòn (đồng)</w:t>
            </w:r>
            <w:r/>
          </w:p>
        </w:tc>
      </w:tr>
      <w:tr>
        <w:trPr>
          <w:trHeight w:val="19"/>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340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0" w:left="0"/>
              <w:jc w:val="center"/>
              <w:rPr/>
            </w:pPr>
            <w:r>
              <w:rPr>
                <w:rFonts w:ascii="Times New Roman" w:hAnsi="Times New Roman" w:eastAsia="Times New Roman" w:cs="Times New Roman"/>
                <w:color w:val="000000"/>
                <w:sz w:val="24"/>
              </w:rPr>
              <w:t xml:space="preserve">Nhà 3 tầng + 1 tum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9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0" w:left="0"/>
              <w:jc w:val="center"/>
              <w:rPr/>
            </w:pPr>
            <w:r>
              <w:rPr>
                <w:rFonts w:ascii="Times New Roman" w:hAnsi="Times New Roman" w:eastAsia="Times New Roman" w:cs="Times New Roman"/>
                <w:color w:val="000000"/>
                <w:sz w:val="24"/>
              </w:rPr>
              <w:t xml:space="preserve">T1/2026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0" w:left="0"/>
              <w:jc w:val="center"/>
              <w:rPr/>
            </w:pPr>
            <w:r>
              <w:rPr>
                <w:rFonts w:ascii="Times New Roman" w:hAnsi="Times New Roman" w:eastAsia="Times New Roman" w:cs="Times New Roman"/>
                <w:color w:val="000000"/>
                <w:sz w:val="24"/>
              </w:rPr>
              <w:t xml:space="preserve">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0" w:left="0"/>
              <w:jc w:val="center"/>
              <w:rPr/>
            </w:pPr>
            <w:r>
              <w:rPr>
                <w:rFonts w:ascii="Times New Roman" w:hAnsi="Times New Roman" w:eastAsia="Times New Roman" w:cs="Times New Roman"/>
                <w:color w:val="000000"/>
                <w:sz w:val="24"/>
              </w:rPr>
              <w:t xml:space="preserve">36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0" w:left="0"/>
              <w:jc w:val="center"/>
              <w:rPr/>
            </w:pPr>
            <w:r>
              <w:rPr>
                <w:rFonts w:ascii="Times New Roman" w:hAnsi="Times New Roman" w:eastAsia="Times New Roman" w:cs="Times New Roman"/>
                <w:color w:val="000000"/>
                <w:sz w:val="24"/>
              </w:rPr>
              <w:t xml:space="preserve">28%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93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379.119.566 </w:t>
            </w:r>
            <w:r/>
          </w:p>
        </w:tc>
      </w:tr>
    </w:tbl>
    <w:p>
      <w:pPr>
        <w:numPr>
          <w:ilvl w:val="0"/>
          <w:numId w:val="41"/>
        </w:numPr>
        <w:pBdr>
          <w:top w:val="none" w:color="000000" w:sz="4" w:space="0"/>
          <w:left w:val="none" w:color="000000" w:sz="4" w:space="0"/>
          <w:bottom w:val="none" w:color="000000" w:sz="4" w:space="0"/>
          <w:right w:val="none" w:color="000000" w:sz="4" w:space="0"/>
        </w:pBdr>
        <w:spacing w:after="120" w:before="240" w:line="264" w:lineRule="auto"/>
        <w:ind/>
        <w:jc w:val="both"/>
        <w:rPr/>
      </w:pPr>
      <w:r>
        <w:rPr>
          <w:rFonts w:ascii="Times New Roman" w:hAnsi="Times New Roman" w:eastAsia="Times New Roman" w:cs="Times New Roman"/>
          <w:b/>
          <w:color w:val="000000"/>
          <w:sz w:val="24"/>
        </w:rPr>
        <w:t xml:space="preserve">Xác định giá trị của công trình xây dựng trên đất:</w:t>
      </w:r>
      <w:r/>
    </w:p>
    <w:p>
      <w:pPr>
        <w:pBdr>
          <w:top w:val="none" w:color="000000" w:sz="4" w:space="0"/>
          <w:left w:val="none" w:color="000000" w:sz="4" w:space="0"/>
          <w:bottom w:val="none" w:color="000000" w:sz="4" w:space="0"/>
          <w:right w:val="none" w:color="000000" w:sz="4" w:space="0"/>
        </w:pBdr>
        <w:spacing w:after="80" w:before="80" w:line="264" w:lineRule="auto"/>
        <w:ind w:right="0" w:firstLine="284" w:left="0"/>
        <w:jc w:val="both"/>
        <w:rPr/>
      </w:pPr>
      <w:r>
        <w:rPr>
          <w:rFonts w:ascii="Times New Roman" w:hAnsi="Times New Roman" w:eastAsia="Times New Roman" w:cs="Times New Roman"/>
          <w:color w:val="000000"/>
          <w:spacing w:val="2"/>
          <w:sz w:val="24"/>
        </w:rPr>
        <w:t xml:space="preserve">Công thức:</w:t>
      </w:r>
      <w:r/>
    </w:p>
    <w:tbl>
      <w:tblPr>
        <w:tblStyle w:val="1035"/>
        <w:tblInd w:w="-142"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fixed"/>
        <w:tblLook w:val="04A0" w:firstRow="1" w:lastRow="0" w:firstColumn="1" w:lastColumn="0" w:noHBand="0" w:noVBand="1"/>
      </w:tblPr>
      <w:tblGrid>
        <w:gridCol w:w="153"/>
        <w:gridCol w:w="956"/>
        <w:gridCol w:w="376"/>
        <w:gridCol w:w="102"/>
        <w:gridCol w:w="992"/>
        <w:gridCol w:w="1276"/>
        <w:gridCol w:w="992"/>
        <w:gridCol w:w="643"/>
        <w:gridCol w:w="916"/>
        <w:gridCol w:w="281"/>
        <w:gridCol w:w="1278"/>
        <w:gridCol w:w="1843"/>
      </w:tblGrid>
      <w:tr>
        <w:trPr>
          <w:trHeight w:val="794"/>
        </w:trPr>
        <w:tc>
          <w:tcPr>
            <w:tcBorders>
              <w:bottom w:val="single" w:color="000000" w:sz="8" w:space="0"/>
            </w:tcBorders>
            <w:tcMar>
              <w:left w:w="0" w:type="dxa"/>
              <w:top w:w="0" w:type="dxa"/>
              <w:right w:w="0" w:type="dxa"/>
              <w:bottom w:w="0" w:type="dxa"/>
            </w:tcMar>
            <w:tcW w:w="1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95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line="276" w:lineRule="auto"/>
              <w:ind w:right="0" w:firstLine="0" w:left="0"/>
              <w:jc w:val="both"/>
              <w:rPr/>
            </w:pPr>
            <w:r>
              <w:rPr>
                <w:rFonts w:ascii="Times New Roman" w:hAnsi="Times New Roman" w:eastAsia="Times New Roman" w:cs="Times New Roman"/>
                <w:color w:val="000000"/>
                <w:sz w:val="24"/>
              </w:rPr>
              <w:t xml:space="preserve">Giá trị ước tính của tài sản</w:t>
            </w:r>
            <w:r/>
          </w:p>
        </w:tc>
        <w:tc>
          <w:tcPr>
            <w:tcBorders/>
            <w:tcMar>
              <w:left w:w="108" w:type="dxa"/>
              <w:top w:w="0" w:type="dxa"/>
              <w:right w:w="108" w:type="dxa"/>
              <w:bottom w:w="0" w:type="dxa"/>
            </w:tcMar>
            <w:tcW w:w="3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line="276" w:lineRule="auto"/>
              <w:ind w:right="0" w:firstLine="0" w:left="0"/>
              <w:jc w:val="both"/>
              <w:rPr/>
            </w:pPr>
            <w:r>
              <w:rPr>
                <w:rFonts w:ascii="Times New Roman" w:hAnsi="Times New Roman" w:eastAsia="Times New Roman" w:cs="Times New Roman"/>
                <w:color w:val="000000"/>
                <w:sz w:val="24"/>
              </w:rPr>
              <w:t xml:space="preserve">=</w:t>
            </w:r>
            <w:r/>
          </w:p>
        </w:tc>
        <w:tc>
          <w:tcPr>
            <w:gridSpan w:val="5"/>
            <w:tcBorders/>
            <w:tcMar>
              <w:left w:w="108" w:type="dxa"/>
              <w:top w:w="0" w:type="dxa"/>
              <w:right w:w="108" w:type="dxa"/>
              <w:bottom w:w="0" w:type="dxa"/>
            </w:tcMar>
            <w:tcW w:w="400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line="276" w:lineRule="auto"/>
              <w:ind w:right="0" w:firstLine="0" w:left="0"/>
              <w:jc w:val="both"/>
              <w:rPr/>
            </w:pPr>
            <w:r>
              <w:rPr>
                <w:rFonts w:ascii="Times New Roman" w:hAnsi="Times New Roman" w:eastAsia="Times New Roman" w:cs="Times New Roman"/>
                <w:color w:val="000000"/>
                <w:sz w:val="24"/>
              </w:rPr>
              <w:t xml:space="preserve">Chi phí thay thế </w:t>
            </w:r>
            <w:r/>
          </w:p>
          <w:p>
            <w:pPr>
              <w:pBdr>
                <w:top w:val="none" w:color="000000" w:sz="4" w:space="0"/>
                <w:left w:val="none" w:color="000000" w:sz="4" w:space="0"/>
                <w:bottom w:val="none" w:color="000000" w:sz="4" w:space="0"/>
                <w:right w:val="none" w:color="000000" w:sz="4" w:space="0"/>
              </w:pBdr>
              <w:shd w:val="clear" w:color="ffffff" w:fill="ffffff"/>
              <w:spacing w:after="120" w:before="0" w:line="276" w:lineRule="auto"/>
              <w:ind w:right="0" w:firstLine="0" w:left="0"/>
              <w:jc w:val="both"/>
              <w:rPr/>
            </w:pPr>
            <w:r>
              <w:rPr>
                <w:rFonts w:ascii="Times New Roman" w:hAnsi="Times New Roman" w:eastAsia="Times New Roman" w:cs="Times New Roman"/>
                <w:color w:val="000000"/>
                <w:sz w:val="24"/>
              </w:rPr>
              <w:t xml:space="preserve">(Giá trị xây mới tài sản-đã bao gồm lợi nhuận của nhà sản xuất/nhà đầu tư)</w:t>
            </w:r>
            <w:r/>
          </w:p>
        </w:tc>
        <w:tc>
          <w:tcPr>
            <w:gridSpan w:val="2"/>
            <w:tcBorders/>
            <w:tcMar>
              <w:left w:w="108" w:type="dxa"/>
              <w:top w:w="0" w:type="dxa"/>
              <w:right w:w="108" w:type="dxa"/>
              <w:bottom w:w="0" w:type="dxa"/>
            </w:tcMar>
            <w:tcW w:w="11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line="276" w:lineRule="auto"/>
              <w:ind w:right="0" w:firstLine="0" w:left="0"/>
              <w:jc w:val="both"/>
              <w:rPr/>
            </w:pPr>
            <w:r>
              <w:rPr>
                <w:rFonts w:ascii="Times New Roman" w:hAnsi="Times New Roman" w:eastAsia="Times New Roman" w:cs="Times New Roman"/>
                <w:color w:val="000000"/>
                <w:sz w:val="24"/>
              </w:rPr>
              <w:t xml:space="preserve">-</w:t>
            </w:r>
            <w:r/>
          </w:p>
        </w:tc>
        <w:tc>
          <w:tcPr>
            <w:gridSpan w:val="2"/>
            <w:tcBorders/>
            <w:tcMar>
              <w:left w:w="108" w:type="dxa"/>
              <w:top w:w="0" w:type="dxa"/>
              <w:right w:w="108" w:type="dxa"/>
              <w:bottom w:w="0" w:type="dxa"/>
            </w:tcMar>
            <w:tcW w:w="31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line="276" w:lineRule="auto"/>
              <w:ind w:right="0" w:firstLine="0" w:left="0"/>
              <w:jc w:val="both"/>
              <w:rPr/>
            </w:pPr>
            <w:r>
              <w:rPr>
                <w:rFonts w:ascii="Times New Roman" w:hAnsi="Times New Roman" w:eastAsia="Times New Roman" w:cs="Times New Roman"/>
                <w:color w:val="000000"/>
                <w:sz w:val="24"/>
              </w:rPr>
              <w:t xml:space="preserve">Tổng giá trị hao mòn </w:t>
            </w:r>
            <w:r/>
          </w:p>
        </w:tc>
      </w:tr>
      <w:tr>
        <w:trPr>
          <w:trHeight w:val="20"/>
        </w:trPr>
        <w:tc>
          <w:tcPr>
            <w:gridSpan w:val="4"/>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Diện tích sàn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Đơn giá xây dựng mới (đồng/m² sàn)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992"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Tỷ lệ hoàn thiện (70%)</w:t>
            </w:r>
            <w:r/>
          </w:p>
        </w:tc>
        <w:tc>
          <w:tcPr>
            <w:gridSpan w:val="2"/>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Chi phí thay thế (đồng)</w:t>
            </w:r>
            <w:r/>
          </w:p>
        </w:tc>
        <w:tc>
          <w:tcPr>
            <w:gridSpan w:val="2"/>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Giá trị hao mòn (đồng)</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Giá trị thẩm định tại thời điểm thẩm định giá (đồng)</w:t>
            </w:r>
            <w:r/>
          </w:p>
        </w:tc>
      </w:tr>
      <w:tr>
        <w:trPr>
          <w:trHeight w:val="20"/>
        </w:trPr>
        <w:tc>
          <w:tcPr>
            <w:gridSpan w:val="4"/>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highlight w:val="white"/>
              </w:rPr>
            </w:pPr>
            <w:r>
              <w:rPr>
                <w:rFonts w:ascii="Times New Roman" w:hAnsi="Times New Roman" w:eastAsia="Times New Roman" w:cs="Times New Roman"/>
                <w:b/>
                <w:color w:val="000000"/>
                <w:sz w:val="24"/>
                <w:highlight w:val="white"/>
              </w:rPr>
              <w:t xml:space="preserve">(1)</w:t>
            </w:r>
            <w:r>
              <w:rPr>
                <w:highlight w:val="white"/>
              </w:rPr>
            </w:r>
            <w:r>
              <w:rPr>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highlight w:val="white"/>
              </w:rPr>
            </w:pPr>
            <w:r>
              <w:rPr>
                <w:rFonts w:ascii="Times New Roman" w:hAnsi="Times New Roman" w:eastAsia="Times New Roman" w:cs="Times New Roman"/>
                <w:b/>
                <w:color w:val="000000"/>
                <w:sz w:val="24"/>
                <w:highlight w:val="white"/>
              </w:rPr>
              <w:t xml:space="preserve">(2)</w:t>
            </w:r>
            <w:r>
              <w:rPr>
                <w:highlight w:val="white"/>
              </w:rPr>
            </w:r>
            <w:r>
              <w:rPr>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highlight w:val="white"/>
              </w:rPr>
            </w:pPr>
            <w:r>
              <w:rPr>
                <w:rFonts w:ascii="Times New Roman" w:hAnsi="Times New Roman" w:eastAsia="Times New Roman" w:cs="Times New Roman"/>
                <w:b/>
                <w:color w:val="000000"/>
                <w:sz w:val="24"/>
                <w:highlight w:val="white"/>
              </w:rPr>
              <w:t xml:space="preserve">(3)</w:t>
            </w:r>
            <w:r>
              <w:rPr>
                <w:highlight w:val="white"/>
              </w:rPr>
            </w:r>
            <w:r>
              <w:rPr>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highlight w:val="white"/>
              </w:rPr>
            </w:pPr>
            <w:r>
              <w:rPr>
                <w:rFonts w:ascii="Times New Roman" w:hAnsi="Times New Roman" w:eastAsia="Times New Roman" w:cs="Times New Roman"/>
                <w:b/>
                <w:color w:val="000000"/>
                <w:sz w:val="24"/>
                <w:highlight w:val="white"/>
              </w:rPr>
              <w:t xml:space="preserve">(4)</w:t>
            </w:r>
            <w:r>
              <w:rPr>
                <w:highlight w:val="white"/>
              </w:rPr>
            </w:r>
            <w:r>
              <w:rPr>
                <w:highlight w:val="white"/>
              </w:r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highlight w:val="white"/>
              </w:rPr>
            </w:pPr>
            <w:r>
              <w:rPr>
                <w:rFonts w:ascii="Times New Roman" w:hAnsi="Times New Roman" w:eastAsia="Times New Roman" w:cs="Times New Roman"/>
                <w:b/>
                <w:color w:val="000000"/>
                <w:sz w:val="24"/>
                <w:highlight w:val="white"/>
              </w:rPr>
              <w:t xml:space="preserve">(5) = (2) * (3)* (4)</w:t>
            </w:r>
            <w:r>
              <w:rPr>
                <w:highlight w:val="white"/>
              </w:rPr>
            </w:r>
            <w:r>
              <w:rPr>
                <w:highlight w:val="white"/>
              </w:r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highlight w:val="white"/>
              </w:rPr>
            </w:pPr>
            <w:r>
              <w:rPr>
                <w:rFonts w:ascii="Times New Roman" w:hAnsi="Times New Roman" w:eastAsia="Times New Roman" w:cs="Times New Roman"/>
                <w:b/>
                <w:color w:val="000000"/>
                <w:sz w:val="24"/>
                <w:highlight w:val="white"/>
              </w:rPr>
              <w:t xml:space="preserve">(6)</w:t>
            </w:r>
            <w:r>
              <w:rPr>
                <w:highlight w:val="white"/>
              </w:rPr>
            </w:r>
            <w:r>
              <w:rPr>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highlight w:val="white"/>
              </w:rPr>
            </w:pPr>
            <w:r>
              <w:rPr>
                <w:rFonts w:ascii="Times New Roman" w:hAnsi="Times New Roman" w:eastAsia="Times New Roman" w:cs="Times New Roman"/>
                <w:b/>
                <w:color w:val="000000"/>
                <w:sz w:val="24"/>
                <w:highlight w:val="white"/>
              </w:rPr>
              <w:t xml:space="preserve">(7) = (5) - (6)</w:t>
            </w:r>
            <w:r>
              <w:rPr>
                <w:highlight w:val="white"/>
              </w:rPr>
            </w:r>
            <w:r>
              <w:rPr>
                <w:highlight w:val="white"/>
              </w:rPr>
            </w:r>
          </w:p>
        </w:tc>
      </w:tr>
      <w:tr>
        <w:trPr>
          <w:trHeight w:val="20"/>
        </w:trPr>
        <w:tc>
          <w:tcPr>
            <w:gridSpan w:val="4"/>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before="40" w:line="276" w:lineRule="auto"/>
              <w:ind w:right="0" w:firstLine="0" w:left="0"/>
              <w:jc w:val="both"/>
              <w:rPr/>
            </w:pPr>
            <w:r>
              <w:rPr>
                <w:rFonts w:ascii="Times New Roman" w:hAnsi="Times New Roman" w:eastAsia="Times New Roman" w:cs="Times New Roman"/>
                <w:color w:val="000000"/>
                <w:sz w:val="24"/>
              </w:rPr>
              <w:t xml:space="preserve">Nhà biệt thự 3 tầng + 1 tum</w:t>
            </w:r>
            <w:r/>
          </w:p>
        </w:tc>
        <w:tc>
          <w:tcPr>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264,8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7.304.696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2"/>
              </w:rPr>
              <w:t xml:space="preserve">70,0%</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2"/>
              </w:rPr>
              <w:t xml:space="preserve">1.353.998.451 </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379.119.566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974.878.884</w:t>
            </w:r>
            <w:r/>
          </w:p>
        </w:tc>
      </w:tr>
    </w:tbl>
    <w:p>
      <w:pPr>
        <w:pBdr/>
        <w:spacing w:after="120" w:before="120" w:line="276" w:lineRule="auto"/>
        <w:ind w:firstLine="0" w:left="360"/>
        <w:jc w:val="both"/>
        <w:rPr>
          <w:b/>
          <w:lang w:val="pt-BR"/>
        </w:rPr>
      </w:pPr>
      <w:r>
        <w:rPr>
          <w:b/>
          <w:lang w:val="pt-BR"/>
        </w:rPr>
        <w:t xml:space="preserve">3. 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1"/>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Style w:val="1035"/>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00"/>
        <w:gridCol w:w="1989"/>
        <w:gridCol w:w="1078"/>
        <w:gridCol w:w="1374"/>
        <w:gridCol w:w="951"/>
        <w:gridCol w:w="1093"/>
        <w:gridCol w:w="2182"/>
      </w:tblGrid>
      <w:tr>
        <w:trPr>
          <w:trHeight w:val="878"/>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8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Hạng mục 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07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Diện tích</w:t>
              <w:br/>
              <w:t xml:space="preserve"> (m²)</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37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Đơn giá</w:t>
              <w:br/>
              <w:t xml:space="preserve"> (Đồng/m²)</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2"/>
              </w:rPr>
              <w:t xml:space="preserve">Tỷ lệ hoàn thiện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0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b/>
                <w:color w:val="000000"/>
                <w:sz w:val="22"/>
              </w:rPr>
              <w:t xml:space="preserve">CLCL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Giá trị thẩm định</w:t>
              <w:br/>
              <w:t xml:space="preserve">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1</w:t>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648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sz w:val="24"/>
                <w:szCs w:val="24"/>
              </w:rPr>
            </w:pPr>
            <w:r>
              <w:rPr>
                <w:rFonts w:ascii="Times New Roman" w:hAnsi="Times New Roman" w:eastAsia="Times New Roman" w:cs="Times New Roman"/>
                <w:b/>
                <w:color w:val="000000"/>
                <w:sz w:val="24"/>
                <w:highlight w:val="none"/>
              </w:rPr>
            </w:r>
            <w:r>
              <w:rPr>
                <w:rFonts w:ascii="Times New Roman" w:hAnsi="Times New Roman" w:eastAsia="Times New Roman" w:cs="Times New Roman"/>
                <w:b/>
                <w:color w:val="000000"/>
                <w:sz w:val="24"/>
              </w:rPr>
              <w:t xml:space="preserve">Quyền sử dụng đất và tài sản gắn liền với đất tại thửa đất số: 18, tờ bản đồ số -/- có địa chỉ: Ô số 18 lô đất LK23, Khu đô thị mới Vân Canh, xã Vân Canh, </w:t>
            </w:r>
            <w:r>
              <w:rPr>
                <w:rFonts w:ascii="Times New Roman" w:hAnsi="Times New Roman" w:eastAsia="Times New Roman" w:cs="Times New Roman"/>
                <w:b/>
                <w:color w:val="000000"/>
                <w:sz w:val="24"/>
              </w:rPr>
              <w:t xml:space="preserve">huyện Hoài Đức</w:t>
            </w:r>
            <w:r>
              <w:rPr>
                <w:rFonts w:ascii="Times New Roman" w:hAnsi="Times New Roman" w:eastAsia="Times New Roman" w:cs="Times New Roman"/>
                <w:b/>
                <w:color w:val="000000"/>
                <w:sz w:val="24"/>
              </w:rPr>
              <w:t xml:space="preserve">, Thành phố Hà Nội (nay là xã Sơn Đồng, thành phố Hà Nội) theo Giấy chứng nhận quyền sử dụng đất, quyền sở hữu tài sản khác g</w:t>
            </w:r>
            <w:r>
              <w:rPr>
                <w:rFonts w:ascii="Times New Roman" w:hAnsi="Times New Roman" w:eastAsia="Times New Roman" w:cs="Times New Roman"/>
                <w:b/>
                <w:color w:val="000000"/>
                <w:sz w:val="24"/>
              </w:rPr>
              <w:t xml:space="preserve">ắn liền với đất số: AA 00799933, số vào sổ cấp GCN: VP 4997 do Văn phòng đăng ký đất đai Hà Nội cấp ngày 19/03/2025; Chủ sử dụng đất là Ông Nguyễn Cao Hải.</w:t>
            </w:r>
            <w:r>
              <w:rPr>
                <w:sz w:val="24"/>
                <w:szCs w:val="24"/>
              </w:rPr>
            </w:r>
            <w:r>
              <w:rPr>
                <w:sz w:val="24"/>
                <w:szCs w:val="24"/>
              </w:rPr>
            </w:r>
          </w:p>
        </w:tc>
        <w:tc>
          <w:tcPr>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spacing w:after="0" w:before="0" w:line="240" w:lineRule="auto"/>
              <w:ind/>
              <w:rPr/>
            </w:p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989" w:type="dxa"/>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bottom w:val="single" w:color="000000" w:sz="8" w:space="0"/>
              <w:right w:val="single" w:color="000000" w:sz="8" w:space="0"/>
            </w:tcBorders>
            <w:tcMar>
              <w:left w:w="108" w:type="dxa"/>
              <w:top w:w="0" w:type="dxa"/>
              <w:right w:w="108" w:type="dxa"/>
              <w:bottom w:w="0" w:type="dxa"/>
            </w:tcMar>
            <w:tcW w:w="1078" w:type="dxa"/>
            <w:vAlign w:val="center"/>
            <w:textDirection w:val="lrTb"/>
            <w:noWrap w:val="false"/>
          </w:tcPr>
          <w:p>
            <w:pPr>
              <w:pBdr/>
              <w:spacing w:after="40" w:before="40" w:line="288" w:lineRule="auto"/>
              <w:ind/>
              <w:jc w:val="center"/>
              <w:rPr>
                <w:color w:val="000000"/>
              </w:rPr>
            </w:pPr>
            <w:r>
              <w:rPr>
                <w:color w:val="000000" w:themeColor="text1"/>
              </w:rPr>
              <w:t xml:space="preserve">103</w:t>
            </w:r>
            <w:r>
              <w:rPr>
                <w:color w:val="000000"/>
              </w:rPr>
            </w:r>
            <w:r>
              <w:rPr>
                <w:color w:val="000000"/>
              </w:rPr>
            </w:r>
          </w:p>
        </w:tc>
        <w:tc>
          <w:tcPr>
            <w:tcBorders>
              <w:bottom w:val="single" w:color="000000" w:sz="8" w:space="0"/>
              <w:right w:val="single" w:color="000000" w:sz="8" w:space="0"/>
            </w:tcBorders>
            <w:tcMar>
              <w:left w:w="108" w:type="dxa"/>
              <w:top w:w="0" w:type="dxa"/>
              <w:right w:w="108" w:type="dxa"/>
              <w:bottom w:w="0" w:type="dxa"/>
            </w:tcMar>
            <w:tcW w:w="1374" w:type="dxa"/>
            <w:vAlign w:val="center"/>
            <w:textDirection w:val="lrTb"/>
            <w:noWrap w:val="false"/>
          </w:tcPr>
          <w:p>
            <w:pPr>
              <w:pBdr/>
              <w:spacing w:after="40" w:before="40" w:line="288" w:lineRule="auto"/>
              <w:ind/>
              <w:jc w:val="center"/>
              <w:rPr/>
            </w:pPr>
            <w:r>
              <w:rPr>
                <w:color w:val="000000" w:themeColor="text1"/>
              </w:rPr>
              <w:t xml:space="preserve">214.000.000</w:t>
            </w:r>
            <w:r/>
          </w:p>
        </w:tc>
        <w:tc>
          <w:tcPr>
            <w:tcBorders>
              <w:bottom w:val="single" w:color="000000" w:sz="8" w:space="0"/>
              <w:right w:val="single" w:color="000000" w:sz="8" w:space="0"/>
            </w:tcBorders>
            <w:tcMar>
              <w:left w:w="108" w:type="dxa"/>
              <w:top w:w="0" w:type="dxa"/>
              <w:right w:w="108" w:type="dxa"/>
              <w:bottom w:w="0" w:type="dxa"/>
            </w:tcMar>
            <w:tcW w:w="951" w:type="dxa"/>
            <w:vAlign w:val="center"/>
            <w:textDirection w:val="lrTb"/>
            <w:noWrap w:val="false"/>
          </w:tcPr>
          <w:p>
            <w:pPr>
              <w:pBdr/>
              <w:spacing w:after="40" w:before="40" w:line="288" w:lineRule="auto"/>
              <w:ind/>
              <w:jc w:val="center"/>
              <w:rPr/>
            </w:pPr>
            <w:r>
              <w:rPr>
                <w:color w:val="000000" w:themeColor="text1"/>
              </w:rPr>
            </w:r>
            <w:r/>
          </w:p>
        </w:tc>
        <w:tc>
          <w:tcPr>
            <w:tcBorders>
              <w:bottom w:val="single" w:color="000000" w:sz="8" w:space="0"/>
              <w:right w:val="single" w:color="000000" w:sz="8" w:space="0"/>
            </w:tcBorders>
            <w:tcMar>
              <w:left w:w="108" w:type="dxa"/>
              <w:top w:w="0" w:type="dxa"/>
              <w:right w:w="108" w:type="dxa"/>
              <w:bottom w:w="0" w:type="dxa"/>
            </w:tcMar>
            <w:tcW w:w="10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spacing w:after="40" w:before="40" w:line="288" w:lineRule="auto"/>
              <w:ind/>
              <w:jc w:val="center"/>
              <w:rPr>
                <w:b/>
                <w:bCs/>
                <w:color w:val="000000"/>
              </w:rPr>
            </w:pPr>
            <w:r>
              <w:t xml:space="preserve">22.042.000.000</w:t>
            </w:r>
            <w:r>
              <w:rPr>
                <w:b/>
                <w:bCs/>
                <w:color w:val="000000"/>
              </w:rPr>
            </w:r>
            <w:r>
              <w:rPr>
                <w:b/>
                <w:bCs/>
                <w:color w:val="000000"/>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9"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4"/>
              </w:rPr>
              <w:t xml:space="preserve">Nhà 3 tầng + 1 tum</w:t>
            </w:r>
            <w:r/>
          </w:p>
        </w:tc>
        <w:tc>
          <w:tcPr>
            <w:tcBorders>
              <w:bottom w:val="single" w:color="000000" w:sz="8" w:space="0"/>
              <w:right w:val="single" w:color="000000" w:sz="8" w:space="0"/>
            </w:tcBorders>
            <w:tcMar>
              <w:left w:w="108" w:type="dxa"/>
              <w:top w:w="0" w:type="dxa"/>
              <w:right w:w="108" w:type="dxa"/>
              <w:bottom w:w="0" w:type="dxa"/>
            </w:tcMar>
            <w:tcW w:w="1078"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   264,8 </w:t>
            </w:r>
            <w:r/>
          </w:p>
        </w:tc>
        <w:tc>
          <w:tcPr>
            <w:tcBorders>
              <w:bottom w:val="single" w:color="000000" w:sz="8" w:space="0"/>
              <w:right w:val="single" w:color="000000" w:sz="8" w:space="0"/>
            </w:tcBorders>
            <w:tcMar>
              <w:left w:w="108" w:type="dxa"/>
              <w:top w:w="0" w:type="dxa"/>
              <w:right w:w="108" w:type="dxa"/>
              <w:bottom w:w="0" w:type="dxa"/>
            </w:tcMar>
            <w:tcW w:w="137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7.304.696</w:t>
            </w:r>
            <w:r/>
          </w:p>
        </w:tc>
        <w:tc>
          <w:tcPr>
            <w:tcBorders>
              <w:bottom w:val="single" w:color="000000" w:sz="8" w:space="0"/>
              <w:right w:val="single" w:color="000000" w:sz="8" w:space="0"/>
            </w:tcBorders>
            <w:tcMar>
              <w:left w:w="108" w:type="dxa"/>
              <w:top w:w="0" w:type="dxa"/>
              <w:right w:w="108" w:type="dxa"/>
              <w:bottom w:w="0" w:type="dxa"/>
            </w:tcMar>
            <w:tcW w:w="95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70%</w:t>
            </w:r>
            <w:r/>
          </w:p>
        </w:tc>
        <w:tc>
          <w:tcPr>
            <w:tcBorders>
              <w:bottom w:val="single" w:color="000000" w:sz="8" w:space="0"/>
              <w:right w:val="single" w:color="000000" w:sz="8" w:space="0"/>
            </w:tcBorders>
            <w:tcMar>
              <w:left w:w="108" w:type="dxa"/>
              <w:top w:w="0" w:type="dxa"/>
              <w:right w:w="108" w:type="dxa"/>
              <w:bottom w:w="0" w:type="dxa"/>
            </w:tcMar>
            <w:tcW w:w="109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72%</w:t>
            </w:r>
            <w:r/>
          </w:p>
        </w:tc>
        <w:tc>
          <w:tcPr>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974.878.884</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0" w:type="dxa"/>
            <w:vAlign w:val="center"/>
            <w:textDirection w:val="lrTb"/>
            <w:noWrap w:val="false"/>
          </w:tcPr>
          <w:p>
            <w:pPr>
              <w:pBdr/>
              <w:spacing w:after="0" w:before="0" w:line="240" w:lineRule="auto"/>
              <w:ind/>
              <w:rPr/>
            </w:pPr>
            <w:r/>
            <w:r/>
          </w:p>
        </w:tc>
        <w:tc>
          <w:tcPr>
            <w:gridSpan w:val="5"/>
            <w:tcBorders>
              <w:bottom w:val="single" w:color="000000" w:sz="8" w:space="0"/>
              <w:right w:val="single" w:color="000000" w:sz="8" w:space="0"/>
            </w:tcBorders>
            <w:tcMar>
              <w:left w:w="108" w:type="dxa"/>
              <w:top w:w="0" w:type="dxa"/>
              <w:right w:w="108" w:type="dxa"/>
              <w:bottom w:w="0" w:type="dxa"/>
            </w:tcMar>
            <w:tcW w:w="648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Tổng cộng</w:t>
            </w:r>
            <w:r/>
          </w:p>
        </w:tc>
        <w:tc>
          <w:tcPr>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    23.016.878.884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c>
          <w:tcPr>
            <w:gridSpan w:val="5"/>
            <w:tcBorders>
              <w:bottom w:val="single" w:color="000000" w:sz="8" w:space="0"/>
              <w:right w:val="single" w:color="000000" w:sz="8" w:space="0"/>
            </w:tcBorders>
            <w:tcMar>
              <w:left w:w="108" w:type="dxa"/>
              <w:top w:w="0" w:type="dxa"/>
              <w:right w:w="108" w:type="dxa"/>
              <w:bottom w:w="0" w:type="dxa"/>
            </w:tcMar>
            <w:tcW w:w="648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23.017.000.000</w:t>
            </w:r>
            <w:r/>
          </w:p>
        </w:tc>
      </w:tr>
      <w:tr>
        <w:trPr>
          <w:trHeight w:val="20"/>
        </w:trPr>
        <w:tc>
          <w:tcPr>
            <w:gridSpan w:val="7"/>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2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i/>
                <w:color w:val="000000"/>
                <w:sz w:val="24"/>
              </w:rPr>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Hai mươi ba tỷ không trăm mười bảy triệu đồng chẵn</w:t>
            </w:r>
            <w:r>
              <w:rPr>
                <w:b/>
                <w:bCs/>
                <w:i/>
                <w:iCs/>
                <w:color w:val="000000"/>
              </w:rPr>
              <w:t xml:space="preserve">./.)</w:t>
            </w:r>
            <w:r/>
          </w:p>
        </w:tc>
      </w:tr>
    </w:tbl>
    <w:p>
      <w:pPr>
        <w:pStyle w:val="1031"/>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1"/>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31"/>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31"/>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31"/>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31"/>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31"/>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31"/>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31"/>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31"/>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1"/>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r>
        <w:rPr>
          <w:bCs/>
          <w:spacing w:val="-2"/>
          <w:lang w:val="pt-BR"/>
        </w:rPr>
      </w:r>
    </w:p>
    <w:p>
      <w:pPr>
        <w:pStyle w:val="1031"/>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1"/>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1"/>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1"/>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31"/>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1"/>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275/2026/0159/VFI-CT.55.A</w:t>
      </w:r>
      <w:r>
        <w:rPr>
          <w:color w:val="ff0000"/>
          <w:lang w:val="vi-VN"/>
        </w:rPr>
        <w:t xml:space="preserve"> </w:t>
      </w:r>
      <w:r>
        <w:rPr>
          <w:color w:val="000000" w:themeColor="text1"/>
        </w:rPr>
        <w:t xml:space="preserve">ngày 21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Quốc Đại</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lang w:val="vi-VN"/>
        </w:rPr>
      </w:pPr>
      <w:r>
        <w:rPr>
          <w:lang w:val="vi-VN"/>
        </w:rPr>
        <w:br w:type="page" w:clear="all"/>
      </w:r>
      <w:r>
        <w:rPr>
          <w:lang w:val="vi-VN"/>
        </w:rPr>
      </w:r>
      <w:r>
        <w:rPr>
          <w:lang w:val="vi-VN"/>
        </w:rPr>
      </w:r>
    </w:p>
    <w:p>
      <w:pPr>
        <w:pBdr/>
        <w:spacing w:after="200" w:line="276" w:lineRule="auto"/>
        <w:ind/>
        <w:jc w:val="center"/>
        <w:rPr>
          <w:b/>
          <w:bCs/>
          <w:highlight w:val="none"/>
          <w:lang w:val="pt-BR"/>
        </w:rPr>
      </w:pPr>
      <w:r>
        <w:rPr>
          <w:b/>
          <w:highlight w:val="none"/>
          <w:lang w:val="pt-BR"/>
        </w:rPr>
        <w:t xml:space="preserve">GIẤY CHỨNG NHẬN QUYỀN SỬ DỤNG ĐẤT</w:t>
      </w:r>
      <w:r>
        <w:rPr>
          <w:b/>
          <w:bCs/>
          <w:highlight w:val="none"/>
          <w:lang w:val="pt-BR"/>
        </w:rPr>
      </w:r>
      <w:r>
        <w:rPr>
          <w:b/>
          <w:bCs/>
          <w:highlight w:val="none"/>
          <w:lang w:val="pt-BR"/>
        </w:rPr>
      </w:r>
    </w:p>
    <w:p>
      <w:pPr>
        <w:pBdr/>
        <w:spacing w:after="200" w:line="276" w:lineRule="auto"/>
        <w:ind/>
        <w:jc w:val="center"/>
        <w:rPr>
          <w:b/>
          <w:bCs/>
          <w:highlight w:val="none"/>
          <w:lang w:val="pt-BR"/>
        </w:rPr>
      </w:pPr>
      <w:r>
        <w:rPr>
          <w:b/>
          <w:highlight w:val="none"/>
          <w:lang w:val="pt-BR" w:bidi="pt-BR"/>
        </w:rPr>
      </w:r>
      <w:r>
        <mc:AlternateContent>
          <mc:Choice Requires="wpg">
            <w:drawing>
              <wp:inline xmlns:wp="http://schemas.openxmlformats.org/drawingml/2006/wordprocessingDrawing" distT="0" distB="0" distL="0" distR="0">
                <wp:extent cx="6048375" cy="8516964"/>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999798" name=""/>
                        <pic:cNvPicPr>
                          <a:picLocks noChangeAspect="1"/>
                        </pic:cNvPicPr>
                        <pic:nvPr/>
                      </pic:nvPicPr>
                      <pic:blipFill rotWithShape="1">
                        <a:blip r:embed="rId19"/>
                        <a:stretch/>
                      </pic:blipFill>
                      <pic:spPr bwMode="auto">
                        <a:xfrm>
                          <a:off x="0" y="0"/>
                          <a:ext cx="6048374" cy="851696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76.25pt;height:670.63pt;mso-wrap-distance-left:0.00pt;mso-wrap-distance-top:0.00pt;mso-wrap-distance-right:0.00pt;mso-wrap-distance-bottom:0.00pt;z-index:1;" stroked="false">
                <v:imagedata r:id="rId19" o:title=""/>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highlight w:val="none"/>
          <w:lang w:val="vi-VN" w:bidi="vi-VN"/>
        </w:rPr>
      </w:pPr>
      <w:r>
        <w:rPr>
          <w:b/>
          <w:highlight w:val="none"/>
          <w:lang w:val="vi-VN" w:bidi="vi-VN"/>
        </w:rPr>
      </w:r>
      <w:r>
        <mc:AlternateContent>
          <mc:Choice Requires="wpg">
            <w:drawing>
              <wp:inline xmlns:wp="http://schemas.openxmlformats.org/drawingml/2006/wordprocessingDrawing" distT="0" distB="0" distL="0" distR="0">
                <wp:extent cx="6048375" cy="8738059"/>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305738" name=""/>
                        <pic:cNvPicPr>
                          <a:picLocks noChangeAspect="1"/>
                        </pic:cNvPicPr>
                        <pic:nvPr/>
                      </pic:nvPicPr>
                      <pic:blipFill rotWithShape="1">
                        <a:blip r:embed="rId20"/>
                        <a:stretch/>
                      </pic:blipFill>
                      <pic:spPr bwMode="auto">
                        <a:xfrm>
                          <a:off x="0" y="0"/>
                          <a:ext cx="6048374" cy="873805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476.25pt;height:688.04pt;mso-wrap-distance-left:0.00pt;mso-wrap-distance-top:0.00pt;mso-wrap-distance-right:0.00pt;mso-wrap-distance-bottom:0.00pt;z-index:1;" stroked="false">
                <v:imagedata r:id="rId20" o:title=""/>
                <o:lock v:ext="edit" rotation="t"/>
              </v:shape>
            </w:pict>
          </mc:Fallback>
        </mc:AlternateContent>
      </w:r>
      <w:r>
        <w:rPr>
          <w:b/>
          <w:bCs/>
          <w:highlight w:val="none"/>
          <w:lang w:val="vi-VN" w:bidi="vi-VN"/>
        </w:rPr>
      </w:r>
      <w:r>
        <w:rPr>
          <w:b/>
          <w:bCs/>
          <w:highlight w:val="none"/>
          <w:lang w:val="vi-VN" w:bidi="vi-VN"/>
        </w:rPr>
      </w:r>
    </w:p>
    <w:p>
      <w:pPr>
        <w:pBdr/>
        <w:spacing w:after="200" w:line="276" w:lineRule="auto"/>
        <w:ind/>
        <w:jc w:val="center"/>
        <w:rPr>
          <w:b/>
          <w:bCs/>
          <w:highlight w:val="none"/>
          <w:lang w:val="vi-VN" w:bidi="vi-VN"/>
        </w:rPr>
      </w:pPr>
      <w:r>
        <w:rPr>
          <w:b/>
          <w:highlight w:val="none"/>
          <w:lang w:val="vi-VN" w:bidi="vi-VN"/>
        </w:rPr>
      </w:r>
      <w:r>
        <w:rPr>
          <w:b/>
          <w:bCs/>
          <w:highlight w:val="none"/>
          <w:lang w:val="vi-VN" w:bidi="vi-VN"/>
        </w:rPr>
      </w:r>
      <w:r>
        <w:rPr>
          <w:b/>
          <w:bCs/>
          <w:highlight w:val="none"/>
          <w:lang w:val="vi-VN" w:bidi="vi-VN"/>
        </w:rPr>
      </w:r>
    </w:p>
    <w:p>
      <w:pPr>
        <w:pBdr/>
        <w:spacing w:after="200" w:line="276" w:lineRule="auto"/>
        <w:ind/>
        <w:jc w:val="center"/>
        <w:rPr>
          <w:b/>
          <w:bCs/>
          <w:highlight w:val="none"/>
          <w:lang w:val="vi-VN" w:bidi="vi-VN"/>
        </w:rPr>
      </w:pPr>
      <w:r>
        <w:rPr>
          <w:b/>
          <w:highlight w:val="none"/>
          <w:lang w:val="vi-VN" w:bidi="vi-VN"/>
        </w:rPr>
        <w:t xml:space="preserve">BIÊN BẢN KHẢO SÁT</w:t>
      </w:r>
      <w:r>
        <w:rPr>
          <w:b/>
          <w:bCs/>
          <w:highlight w:val="none"/>
          <w:lang w:val="vi-VN" w:bidi="vi-VN"/>
        </w:rPr>
      </w:r>
      <w:r>
        <w:rPr>
          <w:b/>
          <w:bCs/>
          <w:highlight w:val="none"/>
          <w:lang w:val="vi-VN" w:bidi="vi-VN"/>
        </w:rPr>
      </w:r>
    </w:p>
    <w:p>
      <w:pPr>
        <w:pBdr/>
        <w:spacing w:after="200" w:line="276" w:lineRule="auto"/>
        <w:ind/>
        <w:jc w:val="center"/>
        <w:rPr>
          <w:b/>
          <w:bCs/>
          <w:u w:val="single"/>
          <w:lang w:val="vi-VN"/>
        </w:rPr>
      </w:pPr>
      <w:r>
        <w:rPr>
          <w:b/>
          <w:highlight w:val="none"/>
          <w:lang w:val="vi-VN" w:bidi="vi-VN"/>
        </w:rPr>
      </w:r>
      <w:r>
        <mc:AlternateContent>
          <mc:Choice Requires="wpg">
            <w:drawing>
              <wp:inline xmlns:wp="http://schemas.openxmlformats.org/drawingml/2006/wordprocessingDrawing" distT="0" distB="0" distL="0" distR="0">
                <wp:extent cx="6048375" cy="80645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076272" name=""/>
                        <pic:cNvPicPr>
                          <a:picLocks noChangeAspect="1"/>
                        </pic:cNvPicPr>
                        <pic:nvPr/>
                      </pic:nvPicPr>
                      <pic:blipFill rotWithShape="1">
                        <a:blip r:embed="rId21"/>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476.25pt;height:635.00pt;mso-wrap-distance-left:0.00pt;mso-wrap-distance-top:0.00pt;mso-wrap-distance-right:0.00pt;mso-wrap-distance-bottom:0.00pt;z-index:1;" stroked="false">
                <v:imagedata r:id="rId21" o:title=""/>
                <o:lock v:ext="edit" rotation="t"/>
              </v:shape>
            </w:pict>
          </mc:Fallback>
        </mc:AlternateContent>
      </w:r>
      <w:r>
        <w:rPr>
          <w:b/>
          <w:bCs/>
          <w:u w:val="single"/>
          <w:lang w:val="vi-VN"/>
        </w:rPr>
      </w:r>
      <w:r>
        <w:rPr>
          <w:b/>
          <w:bCs/>
          <w:u w:val="single"/>
          <w:lang w:val="vi-VN"/>
        </w:rPr>
      </w:r>
    </w:p>
    <w:p>
      <w:pPr>
        <w:pBdr/>
        <w:spacing w:after="200" w:line="276" w:lineRule="auto"/>
        <w:ind/>
        <w:jc w:val="center"/>
        <w:rPr>
          <w:b/>
          <w:bCs/>
          <w:highlight w:val="none"/>
          <w:lang w:val="pt-BR"/>
        </w:rPr>
      </w:pPr>
      <w:r>
        <w:rPr>
          <w:b/>
          <w:highlight w:val="none"/>
          <w:lang w:val="pt-BR"/>
        </w:rPr>
      </w:r>
      <w:r>
        <w:rPr>
          <w:b/>
          <w:bCs/>
          <w:highlight w:val="none"/>
          <w:lang w:val="pt-BR"/>
        </w:rPr>
      </w:r>
      <w:r>
        <w:rPr>
          <w:b/>
          <w:bCs/>
          <w:highlight w:val="none"/>
          <w:lang w:val="pt-BR"/>
        </w:rPr>
      </w:r>
    </w:p>
    <w:p>
      <w:pPr>
        <w:pBdr/>
        <w:spacing w:after="200" w:line="276" w:lineRule="auto"/>
        <w:ind/>
        <w:jc w:val="center"/>
        <w:rPr>
          <w:b/>
          <w:bCs/>
          <w:highlight w:val="none"/>
          <w:lang w:val="pt-BR"/>
        </w:rPr>
      </w:pPr>
      <w:r>
        <w:rPr>
          <w:b/>
          <w:highlight w:val="none"/>
          <w:lang w:val="pt-BR"/>
        </w:rPr>
      </w:r>
      <w:r>
        <w:rPr>
          <w:b/>
          <w:bCs/>
          <w:highlight w:val="none"/>
          <w:lang w:val="pt-BR"/>
        </w:rPr>
      </w:r>
      <w:r>
        <w:rPr>
          <w:b/>
          <w:bCs/>
          <w:highlight w:val="none"/>
          <w:lang w:val="pt-BR"/>
        </w:rPr>
      </w:r>
    </w:p>
    <w:p>
      <w:pPr>
        <w:pBdr/>
        <w:spacing w:after="200" w:line="276" w:lineRule="auto"/>
        <w:ind/>
        <w:jc w:val="center"/>
        <w:rPr>
          <w:b/>
          <w:bCs/>
          <w:highlight w:val="none"/>
          <w:lang w:val="pt-BR"/>
        </w:rPr>
      </w:pPr>
      <w:r>
        <w:rPr>
          <w:lang w:val="vi-VN"/>
        </w:rPr>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bCs/>
          <w:highlight w:val="none"/>
          <w:lang w:val="pt-BR"/>
        </w:rPr>
      </w:r>
      <w:r>
        <w:rPr>
          <w:b/>
          <w:bCs/>
          <w:highlight w:val="none"/>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275/2026/0159/VFI-BC.55.A</w:t>
      </w:r>
      <w:r>
        <w:rPr>
          <w:i/>
          <w:lang w:val="pt-BR"/>
        </w:rPr>
        <w:t xml:space="preserve"> </w:t>
      </w:r>
      <w:r>
        <w:rPr>
          <w:i/>
          <w:lang w:val="pt-BR"/>
        </w:rPr>
        <w:t xml:space="preserve">21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12.50pt;height:150.0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12.50pt;height:150.00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0.00pt;height:150.00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00.00pt;height:150.00pt;mso-wrap-distance-left:0.00pt;mso-wrap-distance-top:0.00pt;mso-wrap-distance-right:0.00pt;mso-wrap-distance-bottom:0.00pt;z-index:1;" stroked="false">
                      <v:imagedata r:id="rId25"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286212" cy="2633682"/>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flipH="0" flipV="0">
                                <a:off x="0" y="0"/>
                                <a:ext cx="2286212" cy="263368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80.02pt;height:207.38pt;mso-wrap-distance-left:0.00pt;mso-wrap-distance-top:0.00pt;mso-wrap-distance-right:0.00pt;mso-wrap-distance-bottom:0.00pt;z-index:1;" stroked="false">
                      <v:imagedata r:id="rId26"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868825" cy="2352685"/>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flipH="0" flipV="0">
                                <a:off x="0" y="0"/>
                                <a:ext cx="2868824" cy="23526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25.89pt;height:185.25pt;mso-wrap-distance-left:0.00pt;mso-wrap-distance-top:0.00pt;mso-wrap-distance-right:0.00pt;mso-wrap-distance-bottom:0.00pt;z-index:1;" stroked="false">
                      <v:imagedata r:id="rId27"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275/2026/0159/VFI-BC.55.A</w:t>
      </w:r>
      <w:r>
        <w:rPr>
          <w:i/>
          <w:lang w:val="pt-BR"/>
        </w:rPr>
        <w:t xml:space="preserve"> </w:t>
      </w:r>
      <w:r>
        <w:rPr>
          <w:i/>
          <w:lang w:val="pt-BR"/>
        </w:rPr>
        <w:t xml:space="preserve">21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https://alonhadat.com.vn/m-pho-trinh-van-bo-118-6m2-6t-via-he-kd-van-phong-vip-gia-32-5-ty-17784636.html</w:t>
            </w:r>
            <w:r>
              <w:rPr>
                <w:color w:val="000000" w:themeColor="text1"/>
                <w:sz w:val="22"/>
                <w:szCs w:val="22"/>
              </w:rPr>
              <w:br/>
              <w:t xml:space="preserve">0934.697.090</w:t>
            </w:r>
            <w:r>
              <w:rPr>
                <w:sz w:val="22"/>
                <w:szCs w:val="22"/>
              </w:rPr>
              <w:t xml:space="preserve"> </w:t>
            </w:r>
            <w:r>
              <w:rPr>
                <w:sz w:val="22"/>
                <w:szCs w:val="22"/>
              </w:rP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32.000.000.000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29.440.000.000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(118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Vân Canh, Huyện Hoài Đức, Thành phố Hà Nội, Tài sản nằm trên mặt đường Trịnh Văn Bô</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vào thoáng không đâm thẳng cửa chính 'Thế tránh tiễn khí'</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558190" cy="1459960"/>
                      <wp:effectExtent l="0" t="0" r="0" b="0"/>
                      <wp:docPr id="15" name=""/>
                      <wp:cNvGraphicFramePr/>
                      <a:graphic xmlns:a="http://schemas.openxmlformats.org/drawingml/2006/main">
                        <a:graphicData uri="http://schemas.openxmlformats.org/drawingml/2006/picture">
                          <pic:pic xmlns:pic="http://schemas.openxmlformats.org/drawingml/2006/picture">
                            <pic:nvPicPr>
                              <pic:cNvPr id="386548309" name="" descr=""/>
                              <pic:cNvPicPr/>
                              <pic:nvPr/>
                            </pic:nvPicPr>
                            <pic:blipFill rotWithShape="1">
                              <a:blip r:embed="rId28"/>
                              <a:stretch/>
                            </pic:blipFill>
                            <pic:spPr bwMode="auto">
                              <a:xfrm flipH="0" flipV="0">
                                <a:off x="0" y="0"/>
                                <a:ext cx="2558189" cy="14599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01.43pt;height:114.96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83215" cy="1536160"/>
                      <wp:effectExtent l="0" t="0" r="0" b="0"/>
                      <wp:docPr id="16" name=""/>
                      <wp:cNvGraphicFramePr/>
                      <a:graphic xmlns:a="http://schemas.openxmlformats.org/drawingml/2006/main">
                        <a:graphicData uri="http://schemas.openxmlformats.org/drawingml/2006/picture">
                          <pic:pic xmlns:pic="http://schemas.openxmlformats.org/drawingml/2006/picture">
                            <pic:nvPicPr>
                              <pic:cNvPr id="2112923458" name="" descr=""/>
                              <pic:cNvPicPr/>
                              <pic:nvPr/>
                            </pic:nvPicPr>
                            <pic:blipFill rotWithShape="1">
                              <a:blip r:embed="rId29"/>
                              <a:stretch/>
                            </pic:blipFill>
                            <pic:spPr bwMode="auto">
                              <a:xfrm flipH="0" flipV="0">
                                <a:off x="0" y="0"/>
                                <a:ext cx="2683215" cy="15361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11.28pt;height:120.96pt;mso-wrap-distance-left:0.00pt;mso-wrap-distance-top:0.00pt;mso-wrap-distance-right:0.00pt;mso-wrap-distance-bottom:0.00pt;z-index:1;" stroked="false">
                      <v:imagedata r:id="rId29" o:title=""/>
                      <o:lock v:ext="edit" rotation="t"/>
                    </v:shape>
                  </w:pict>
                </mc:Fallback>
              </mc:AlternateContent>
            </w:r>
            <w:r>
              <w:rPr>
                <w:color w:val="000000"/>
                <w:sz w:val="22"/>
                <w:szCs w:val="22"/>
              </w:rPr>
            </w:r>
            <w:r>
              <w:rPr>
                <w:color w:val="000000"/>
                <w:sz w:val="22"/>
                <w:szCs w:val="22"/>
              </w:rP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Đặng Quốc Đại</w:t>
            </w: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jc w:val="center"/>
        <w:rPr>
          <w:b/>
          <w:bCs/>
          <w:iCs/>
          <w:lang w:val="pt-BR"/>
        </w:rPr>
      </w:pPr>
      <w:r>
        <w:rPr>
          <w:b/>
          <w:bCs/>
          <w:iCs/>
          <w:lang w:val="pt-BR"/>
        </w:rPr>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https://batdongsan.com.vn/ban-nha-biet-thu-lien-ke-duong-xuan-phuong-xa-van-canh-1-prj-khu-do-thi-van-canh/-hud-vi-tri-vip-via-he-rong-kd-vp-110m-23-ty-pr44866099</w:t>
            </w:r>
            <w:r>
              <w:rPr>
                <w:color w:val="000000" w:themeColor="text1"/>
                <w:sz w:val="22"/>
                <w:szCs w:val="22"/>
              </w:rPr>
              <w:br/>
              <w:t xml:space="preserve">0359821775</w:t>
            </w:r>
            <w:r>
              <w:rPr>
                <w:sz w:val="22"/>
                <w:szCs w:val="22"/>
              </w:rPr>
              <w:t xml:space="preserve"> </w:t>
            </w:r>
            <w:r>
              <w:rPr>
                <w:sz w:val="22"/>
                <w:szCs w:val="22"/>
              </w:rP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21.500.000.000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20.425.000.000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(110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Vân Canh, Huyện Hoài Đức, Thành phố Hà Nội,Tài sản nằm ở HUD Vân Canh khu liền kề 34-35 cách đường Trịnh Văn Bô khoảng 450m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Đường vào thoáng không đâm thẳng cửa chính 'Thế tránh tiễn khí'</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683215" cy="1669510"/>
                      <wp:effectExtent l="0" t="0" r="0" b="0"/>
                      <wp:docPr id="17" name=""/>
                      <wp:cNvGraphicFramePr/>
                      <a:graphic xmlns:a="http://schemas.openxmlformats.org/drawingml/2006/main">
                        <a:graphicData uri="http://schemas.openxmlformats.org/drawingml/2006/picture">
                          <pic:pic xmlns:pic="http://schemas.openxmlformats.org/drawingml/2006/picture">
                            <pic:nvPicPr>
                              <pic:cNvPr id="1730277511" name="" descr=""/>
                              <pic:cNvPicPr/>
                              <pic:nvPr/>
                            </pic:nvPicPr>
                            <pic:blipFill rotWithShape="1">
                              <a:blip r:embed="rId30"/>
                              <a:stretch/>
                            </pic:blipFill>
                            <pic:spPr bwMode="auto">
                              <a:xfrm flipH="0" flipV="0">
                                <a:off x="0" y="0"/>
                                <a:ext cx="2683215" cy="16695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11.28pt;height:131.46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59880" cy="1698085"/>
                      <wp:effectExtent l="0" t="0" r="0" b="0"/>
                      <wp:docPr id="18" name=""/>
                      <wp:cNvGraphicFramePr/>
                      <a:graphic xmlns:a="http://schemas.openxmlformats.org/drawingml/2006/main">
                        <a:graphicData uri="http://schemas.openxmlformats.org/drawingml/2006/picture">
                          <pic:pic xmlns:pic="http://schemas.openxmlformats.org/drawingml/2006/picture">
                            <pic:nvPicPr>
                              <pic:cNvPr id="1763054360" name="" descr=""/>
                              <pic:cNvPicPr/>
                              <pic:nvPr/>
                            </pic:nvPicPr>
                            <pic:blipFill rotWithShape="1">
                              <a:blip r:embed="rId31"/>
                              <a:stretch/>
                            </pic:blipFill>
                            <pic:spPr bwMode="auto">
                              <a:xfrm flipH="0" flipV="0">
                                <a:off x="0" y="0"/>
                                <a:ext cx="2659879" cy="16980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09.44pt;height:133.71pt;mso-wrap-distance-left:0.00pt;mso-wrap-distance-top:0.00pt;mso-wrap-distance-right:0.00pt;mso-wrap-distance-bottom:0.00pt;z-index:1;" stroked="false">
                      <v:imagedata r:id="rId31"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Đặng Quốc Đại</w:t>
            </w:r>
            <w:r/>
          </w:p>
          <w:p>
            <w:pPr>
              <w:pBdr/>
              <w:spacing/>
              <w:ind/>
              <w:jc w:val="center"/>
              <w:rPr/>
            </w:pPr>
            <w:r/>
            <w:r/>
          </w:p>
        </w:tc>
      </w:tr>
    </w:tbl>
    <w:p>
      <w:pPr>
        <w:pBdr/>
        <w:spacing w:after="200" w:line="276" w:lineRule="auto"/>
        <w:ind/>
        <w:jc w:val="center"/>
        <w:rPr>
          <w:iCs/>
          <w:lang w:val="pt-BR"/>
        </w:rPr>
      </w:pPr>
      <w:r>
        <w:rPr>
          <w:iCs/>
          <w:lang w:val="pt-BR"/>
        </w:rPr>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https://bds68.com.vn/ban-nha-biet-thu-du-an/ha-noi/hoai-duc/khu-do-thi-van-canh/ban-nha-mp-trinh-van-bo-kdt-van-canh-hud-110m2-hoan-thien-gia-nhinh-28-ty-pr26726336</w:t>
            </w:r>
            <w:r>
              <w:rPr>
                <w:color w:val="000000" w:themeColor="text1"/>
                <w:sz w:val="22"/>
                <w:szCs w:val="22"/>
              </w:rPr>
              <w:br/>
            </w:r>
            <w:r>
              <w:rPr>
                <w:sz w:val="22"/>
                <w:szCs w:val="22"/>
              </w:rPr>
              <w:t xml:space="preserve">SĐT: </w:t>
            </w:r>
            <w:r>
              <w:rPr>
                <w:color w:val="000000" w:themeColor="text1"/>
                <w:sz w:val="22"/>
                <w:szCs w:val="22"/>
              </w:rPr>
              <w:t xml:space="preserve">0977164491</w:t>
            </w:r>
            <w:r>
              <w:rPr>
                <w:sz w:val="22"/>
                <w:szCs w:val="22"/>
              </w:rPr>
              <w:t xml:space="preserve"> </w:t>
            </w:r>
            <w:r>
              <w:rPr>
                <w:sz w:val="22"/>
                <w:szCs w:val="22"/>
              </w:rP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28.000.000.000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26.040.000.000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(110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Vân Canh, Huyện Hoài Đức, Thành phố Hà Nội, Tài sản nằm trên mặt đường Trịnh Văn Bô</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Đường vào thoáng không đâm thẳng cửa chính 'Thế tránh tiễn khí'</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349840" cy="1663628"/>
                      <wp:effectExtent l="0" t="0" r="0" b="0"/>
                      <wp:docPr id="19" name=""/>
                      <wp:cNvGraphicFramePr/>
                      <a:graphic xmlns:a="http://schemas.openxmlformats.org/drawingml/2006/main">
                        <a:graphicData uri="http://schemas.openxmlformats.org/drawingml/2006/picture">
                          <pic:pic xmlns:pic="http://schemas.openxmlformats.org/drawingml/2006/picture">
                            <pic:nvPicPr>
                              <pic:cNvPr id="496708117" name="" descr=""/>
                              <pic:cNvPicPr/>
                              <pic:nvPr/>
                            </pic:nvPicPr>
                            <pic:blipFill rotWithShape="1">
                              <a:blip r:embed="rId32"/>
                              <a:stretch/>
                            </pic:blipFill>
                            <pic:spPr bwMode="auto">
                              <a:xfrm flipH="0" flipV="0">
                                <a:off x="0" y="0"/>
                                <a:ext cx="2349839" cy="166362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85.03pt;height:130.99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47344" cy="1526635"/>
                      <wp:effectExtent l="0" t="0" r="0" b="0"/>
                      <wp:docPr id="20" name=""/>
                      <wp:cNvGraphicFramePr/>
                      <a:graphic xmlns:a="http://schemas.openxmlformats.org/drawingml/2006/main">
                        <a:graphicData uri="http://schemas.openxmlformats.org/drawingml/2006/picture">
                          <pic:pic xmlns:pic="http://schemas.openxmlformats.org/drawingml/2006/picture">
                            <pic:nvPicPr>
                              <pic:cNvPr id="666470405" name="" descr=""/>
                              <pic:cNvPicPr/>
                              <pic:nvPr/>
                            </pic:nvPicPr>
                            <pic:blipFill rotWithShape="1">
                              <a:blip r:embed="rId33"/>
                              <a:stretch/>
                            </pic:blipFill>
                            <pic:spPr bwMode="auto">
                              <a:xfrm flipH="0" flipV="0">
                                <a:off x="0" y="0"/>
                                <a:ext cx="2547343" cy="15266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00.58pt;height:120.21pt;mso-wrap-distance-left:0.00pt;mso-wrap-distance-top:0.00pt;mso-wrap-distance-right:0.00pt;mso-wrap-distance-bottom:0.00pt;z-index:1;" stroked="false">
                      <v:imagedata r:id="rId33" o:title=""/>
                      <o:lock v:ext="edit" rotation="t"/>
                    </v:shape>
                  </w:pict>
                </mc:Fallback>
              </mc:AlternateContent>
            </w:r>
            <w:r>
              <w:rPr>
                <w:color w:val="000000"/>
                <w:sz w:val="22"/>
                <w:szCs w:val="22"/>
              </w:rPr>
            </w:r>
            <w:r>
              <w:rPr>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left"/>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Đặng Quốc Đại</w:t>
            </w:r>
            <w:r>
              <w:rPr>
                <w:b/>
                <w:bCs/>
              </w:rPr>
            </w: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0B95871C"/>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8">
    <w:nsid w:val="5AFECAD7"/>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39">
    <w:nsid w:val="7DC3F35F"/>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Table Grid Light"/>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1"/>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2"/>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3"/>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4"/>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5"/>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w:basedOn w:val="10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w:basedOn w:val="10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1"/>
    <w:basedOn w:val="10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2"/>
    <w:basedOn w:val="10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3"/>
    <w:basedOn w:val="10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4"/>
    <w:basedOn w:val="10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5"/>
    <w:basedOn w:val="10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6"/>
    <w:basedOn w:val="10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1"/>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2"/>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3"/>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4"/>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5"/>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6"/>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5">
    <w:name w:val="Grid Table 6 Colorful - Accent 1"/>
    <w:basedOn w:val="10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6">
    <w:name w:val="Grid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7">
    <w:name w:val="Grid Table 6 Colorful - Accent 3"/>
    <w:basedOn w:val="10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8">
    <w:name w:val="Grid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9">
    <w:name w:val="Grid Table 6 Colorful - Accent 5"/>
    <w:basedOn w:val="10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6 Colorful - Accent 6"/>
    <w:basedOn w:val="10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7 Colorful"/>
    <w:basedOn w:val="10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1"/>
    <w:basedOn w:val="10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5"/>
    <w:basedOn w:val="10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6"/>
    <w:basedOn w:val="10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1"/>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2"/>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3"/>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4"/>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5"/>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6"/>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w:basedOn w:val="10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1"/>
    <w:basedOn w:val="10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2"/>
    <w:basedOn w:val="10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3"/>
    <w:basedOn w:val="10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4"/>
    <w:basedOn w:val="10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5"/>
    <w:basedOn w:val="10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6"/>
    <w:basedOn w:val="10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1"/>
    <w:basedOn w:val="10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3"/>
    <w:basedOn w:val="10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5"/>
    <w:basedOn w:val="10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6"/>
    <w:basedOn w:val="10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1"/>
    <w:basedOn w:val="10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2"/>
    <w:basedOn w:val="10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3"/>
    <w:basedOn w:val="10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4"/>
    <w:basedOn w:val="10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5"/>
    <w:basedOn w:val="10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6"/>
    <w:basedOn w:val="10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5 Dark"/>
    <w:basedOn w:val="10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1"/>
    <w:basedOn w:val="10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2"/>
    <w:basedOn w:val="10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3"/>
    <w:basedOn w:val="10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4"/>
    <w:basedOn w:val="10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5"/>
    <w:basedOn w:val="10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6"/>
    <w:basedOn w:val="10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1"/>
    <w:basedOn w:val="10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3"/>
    <w:basedOn w:val="10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5"/>
    <w:basedOn w:val="10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6"/>
    <w:basedOn w:val="10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7 Colorful"/>
    <w:basedOn w:val="10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1">
    <w:name w:val="List Table 7 Colorful - Accent 1"/>
    <w:basedOn w:val="10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2">
    <w:name w:val="List Table 7 Colorful - Accent 2"/>
    <w:basedOn w:val="10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3">
    <w:name w:val="List Table 7 Colorful - Accent 3"/>
    <w:basedOn w:val="10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4">
    <w:name w:val="List Table 7 Colorful - Accent 4"/>
    <w:basedOn w:val="10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5">
    <w:name w:val="List Table 7 Colorful - Accent 5"/>
    <w:basedOn w:val="10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6">
    <w:name w:val="List Table 7 Colorful - Accent 6"/>
    <w:basedOn w:val="10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7">
    <w:name w:val="Lined - Accent"/>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1"/>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2"/>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3"/>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4"/>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5"/>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6"/>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w:basedOn w:val="10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1"/>
    <w:basedOn w:val="10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2"/>
    <w:basedOn w:val="10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3"/>
    <w:basedOn w:val="10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4"/>
    <w:basedOn w:val="10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5"/>
    <w:basedOn w:val="10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6"/>
    <w:basedOn w:val="10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w:basedOn w:val="10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Heading 5"/>
    <w:basedOn w:val="1009"/>
    <w:next w:val="1009"/>
    <w:link w:val="9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9">
    <w:name w:val="Heading 6"/>
    <w:basedOn w:val="1009"/>
    <w:next w:val="1009"/>
    <w:link w:val="9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0">
    <w:name w:val="Heading 7"/>
    <w:basedOn w:val="1009"/>
    <w:next w:val="1009"/>
    <w:link w:val="9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1">
    <w:name w:val="Heading 8"/>
    <w:basedOn w:val="1009"/>
    <w:next w:val="1009"/>
    <w:link w:val="9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2">
    <w:name w:val="Heading 9"/>
    <w:basedOn w:val="1009"/>
    <w:next w:val="1009"/>
    <w:link w:val="9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3">
    <w:name w:val="Heading 5 Char"/>
    <w:basedOn w:val="1014"/>
    <w:link w:val="968"/>
    <w:uiPriority w:val="9"/>
    <w:pPr>
      <w:pBdr/>
      <w:spacing/>
      <w:ind/>
    </w:pPr>
    <w:rPr>
      <w:rFonts w:ascii="Arial" w:hAnsi="Arial" w:eastAsia="Arial" w:cs="Arial"/>
      <w:color w:val="0f4761" w:themeColor="accent1" w:themeShade="BF"/>
    </w:rPr>
  </w:style>
  <w:style w:type="character" w:styleId="974">
    <w:name w:val="Heading 6 Char"/>
    <w:basedOn w:val="1014"/>
    <w:link w:val="969"/>
    <w:uiPriority w:val="9"/>
    <w:pPr>
      <w:pBdr/>
      <w:spacing/>
      <w:ind/>
    </w:pPr>
    <w:rPr>
      <w:rFonts w:ascii="Arial" w:hAnsi="Arial" w:eastAsia="Arial" w:cs="Arial"/>
      <w:i/>
      <w:iCs/>
      <w:color w:val="595959" w:themeColor="text1" w:themeTint="A6"/>
    </w:rPr>
  </w:style>
  <w:style w:type="character" w:styleId="975">
    <w:name w:val="Heading 7 Char"/>
    <w:basedOn w:val="1014"/>
    <w:link w:val="970"/>
    <w:uiPriority w:val="9"/>
    <w:pPr>
      <w:pBdr/>
      <w:spacing/>
      <w:ind/>
    </w:pPr>
    <w:rPr>
      <w:rFonts w:ascii="Arial" w:hAnsi="Arial" w:eastAsia="Arial" w:cs="Arial"/>
      <w:color w:val="595959" w:themeColor="text1" w:themeTint="A6"/>
    </w:rPr>
  </w:style>
  <w:style w:type="character" w:styleId="976">
    <w:name w:val="Heading 8 Char"/>
    <w:basedOn w:val="1014"/>
    <w:link w:val="971"/>
    <w:uiPriority w:val="9"/>
    <w:pPr>
      <w:pBdr/>
      <w:spacing/>
      <w:ind/>
    </w:pPr>
    <w:rPr>
      <w:rFonts w:ascii="Arial" w:hAnsi="Arial" w:eastAsia="Arial" w:cs="Arial"/>
      <w:i/>
      <w:iCs/>
      <w:color w:val="272727" w:themeColor="text1" w:themeTint="D8"/>
    </w:rPr>
  </w:style>
  <w:style w:type="character" w:styleId="977">
    <w:name w:val="Heading 9 Char"/>
    <w:basedOn w:val="1014"/>
    <w:link w:val="972"/>
    <w:uiPriority w:val="9"/>
    <w:pPr>
      <w:pBdr/>
      <w:spacing/>
      <w:ind/>
    </w:pPr>
    <w:rPr>
      <w:rFonts w:ascii="Arial" w:hAnsi="Arial" w:eastAsia="Arial" w:cs="Arial"/>
      <w:i/>
      <w:iCs/>
      <w:color w:val="272727" w:themeColor="text1" w:themeTint="D8"/>
    </w:rPr>
  </w:style>
  <w:style w:type="paragraph" w:styleId="978">
    <w:name w:val="Subtitle"/>
    <w:basedOn w:val="1009"/>
    <w:next w:val="1009"/>
    <w:link w:val="979"/>
    <w:uiPriority w:val="11"/>
    <w:qFormat/>
    <w:pPr>
      <w:numPr>
        <w:ilvl w:val="1"/>
      </w:numPr>
      <w:pBdr/>
      <w:spacing/>
      <w:ind/>
    </w:pPr>
    <w:rPr>
      <w:color w:val="595959" w:themeColor="text1" w:themeTint="A6"/>
      <w:spacing w:val="15"/>
      <w:sz w:val="28"/>
      <w:szCs w:val="28"/>
    </w:rPr>
  </w:style>
  <w:style w:type="character" w:styleId="979">
    <w:name w:val="Subtitle Char"/>
    <w:basedOn w:val="1014"/>
    <w:link w:val="978"/>
    <w:uiPriority w:val="11"/>
    <w:pPr>
      <w:pBdr/>
      <w:spacing/>
      <w:ind/>
    </w:pPr>
    <w:rPr>
      <w:color w:val="595959" w:themeColor="text1" w:themeTint="A6"/>
      <w:spacing w:val="15"/>
      <w:sz w:val="28"/>
      <w:szCs w:val="28"/>
    </w:rPr>
  </w:style>
  <w:style w:type="paragraph" w:styleId="980">
    <w:name w:val="Quote"/>
    <w:basedOn w:val="1009"/>
    <w:next w:val="1009"/>
    <w:link w:val="981"/>
    <w:uiPriority w:val="29"/>
    <w:qFormat/>
    <w:pPr>
      <w:pBdr/>
      <w:spacing w:before="160"/>
      <w:ind/>
      <w:jc w:val="center"/>
    </w:pPr>
    <w:rPr>
      <w:i/>
      <w:iCs/>
      <w:color w:val="404040" w:themeColor="text1" w:themeTint="BF"/>
    </w:rPr>
  </w:style>
  <w:style w:type="character" w:styleId="981">
    <w:name w:val="Quote Char"/>
    <w:basedOn w:val="1014"/>
    <w:link w:val="980"/>
    <w:uiPriority w:val="29"/>
    <w:pPr>
      <w:pBdr/>
      <w:spacing/>
      <w:ind/>
    </w:pPr>
    <w:rPr>
      <w:i/>
      <w:iCs/>
      <w:color w:val="404040" w:themeColor="text1" w:themeTint="BF"/>
    </w:rPr>
  </w:style>
  <w:style w:type="character" w:styleId="982">
    <w:name w:val="Intense Emphasis"/>
    <w:basedOn w:val="1014"/>
    <w:uiPriority w:val="21"/>
    <w:qFormat/>
    <w:pPr>
      <w:pBdr/>
      <w:spacing/>
      <w:ind/>
    </w:pPr>
    <w:rPr>
      <w:i/>
      <w:iCs/>
      <w:color w:val="0f4761" w:themeColor="accent1" w:themeShade="BF"/>
    </w:rPr>
  </w:style>
  <w:style w:type="paragraph" w:styleId="983">
    <w:name w:val="Intense Quote"/>
    <w:basedOn w:val="1009"/>
    <w:next w:val="1009"/>
    <w:link w:val="98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4">
    <w:name w:val="Intense Quote Char"/>
    <w:basedOn w:val="1014"/>
    <w:link w:val="983"/>
    <w:uiPriority w:val="30"/>
    <w:pPr>
      <w:pBdr/>
      <w:spacing/>
      <w:ind/>
    </w:pPr>
    <w:rPr>
      <w:i/>
      <w:iCs/>
      <w:color w:val="0f4761" w:themeColor="accent1" w:themeShade="BF"/>
    </w:rPr>
  </w:style>
  <w:style w:type="character" w:styleId="985">
    <w:name w:val="Intense Reference"/>
    <w:basedOn w:val="1014"/>
    <w:uiPriority w:val="32"/>
    <w:qFormat/>
    <w:pPr>
      <w:pBdr/>
      <w:spacing/>
      <w:ind/>
    </w:pPr>
    <w:rPr>
      <w:b/>
      <w:bCs/>
      <w:smallCaps/>
      <w:color w:val="0f4761" w:themeColor="accent1" w:themeShade="BF"/>
      <w:spacing w:val="5"/>
    </w:rPr>
  </w:style>
  <w:style w:type="paragraph" w:styleId="986">
    <w:name w:val="No Spacing"/>
    <w:basedOn w:val="1009"/>
    <w:uiPriority w:val="1"/>
    <w:qFormat/>
    <w:pPr>
      <w:pBdr/>
      <w:spacing w:after="0" w:line="240" w:lineRule="auto"/>
      <w:ind/>
    </w:pPr>
  </w:style>
  <w:style w:type="character" w:styleId="987">
    <w:name w:val="Subtle Emphasis"/>
    <w:basedOn w:val="1014"/>
    <w:uiPriority w:val="19"/>
    <w:qFormat/>
    <w:pPr>
      <w:pBdr/>
      <w:spacing/>
      <w:ind/>
    </w:pPr>
    <w:rPr>
      <w:i/>
      <w:iCs/>
      <w:color w:val="404040" w:themeColor="text1" w:themeTint="BF"/>
    </w:rPr>
  </w:style>
  <w:style w:type="character" w:styleId="988">
    <w:name w:val="Subtle Reference"/>
    <w:basedOn w:val="1014"/>
    <w:uiPriority w:val="31"/>
    <w:qFormat/>
    <w:pPr>
      <w:pBdr/>
      <w:spacing/>
      <w:ind/>
    </w:pPr>
    <w:rPr>
      <w:smallCaps/>
      <w:color w:val="5a5a5a" w:themeColor="text1" w:themeTint="A5"/>
    </w:rPr>
  </w:style>
  <w:style w:type="character" w:styleId="989">
    <w:name w:val="Book Title"/>
    <w:basedOn w:val="1014"/>
    <w:uiPriority w:val="33"/>
    <w:qFormat/>
    <w:pPr>
      <w:pBdr/>
      <w:spacing/>
      <w:ind/>
    </w:pPr>
    <w:rPr>
      <w:b/>
      <w:bCs/>
      <w:i/>
      <w:iCs/>
      <w:spacing w:val="5"/>
    </w:rPr>
  </w:style>
  <w:style w:type="paragraph" w:styleId="990">
    <w:name w:val="Caption"/>
    <w:basedOn w:val="1009"/>
    <w:next w:val="1009"/>
    <w:uiPriority w:val="35"/>
    <w:unhideWhenUsed/>
    <w:qFormat/>
    <w:pPr>
      <w:pBdr/>
      <w:spacing w:after="200" w:line="240" w:lineRule="auto"/>
      <w:ind/>
    </w:pPr>
    <w:rPr>
      <w:i/>
      <w:iCs/>
      <w:color w:val="0e2841" w:themeColor="text2"/>
      <w:sz w:val="18"/>
      <w:szCs w:val="18"/>
    </w:rPr>
  </w:style>
  <w:style w:type="paragraph" w:styleId="991">
    <w:name w:val="footnote text"/>
    <w:basedOn w:val="1009"/>
    <w:link w:val="992"/>
    <w:uiPriority w:val="99"/>
    <w:semiHidden/>
    <w:unhideWhenUsed/>
    <w:pPr>
      <w:pBdr/>
      <w:spacing w:after="0" w:line="240" w:lineRule="auto"/>
      <w:ind/>
    </w:pPr>
    <w:rPr>
      <w:sz w:val="20"/>
      <w:szCs w:val="20"/>
    </w:rPr>
  </w:style>
  <w:style w:type="character" w:styleId="992">
    <w:name w:val="Footnote Text Char"/>
    <w:basedOn w:val="1014"/>
    <w:link w:val="991"/>
    <w:uiPriority w:val="99"/>
    <w:semiHidden/>
    <w:pPr>
      <w:pBdr/>
      <w:spacing/>
      <w:ind/>
    </w:pPr>
    <w:rPr>
      <w:sz w:val="20"/>
      <w:szCs w:val="20"/>
    </w:rPr>
  </w:style>
  <w:style w:type="character" w:styleId="993">
    <w:name w:val="footnote reference"/>
    <w:basedOn w:val="1014"/>
    <w:uiPriority w:val="99"/>
    <w:semiHidden/>
    <w:unhideWhenUsed/>
    <w:pPr>
      <w:pBdr/>
      <w:spacing/>
      <w:ind/>
    </w:pPr>
    <w:rPr>
      <w:vertAlign w:val="superscript"/>
    </w:rPr>
  </w:style>
  <w:style w:type="paragraph" w:styleId="994">
    <w:name w:val="endnote text"/>
    <w:basedOn w:val="1009"/>
    <w:link w:val="995"/>
    <w:uiPriority w:val="99"/>
    <w:semiHidden/>
    <w:unhideWhenUsed/>
    <w:pPr>
      <w:pBdr/>
      <w:spacing w:after="0" w:line="240" w:lineRule="auto"/>
      <w:ind/>
    </w:pPr>
    <w:rPr>
      <w:sz w:val="20"/>
      <w:szCs w:val="20"/>
    </w:rPr>
  </w:style>
  <w:style w:type="character" w:styleId="995">
    <w:name w:val="Endnote Text Char"/>
    <w:basedOn w:val="1014"/>
    <w:link w:val="994"/>
    <w:uiPriority w:val="99"/>
    <w:semiHidden/>
    <w:pPr>
      <w:pBdr/>
      <w:spacing/>
      <w:ind/>
    </w:pPr>
    <w:rPr>
      <w:sz w:val="20"/>
      <w:szCs w:val="20"/>
    </w:rPr>
  </w:style>
  <w:style w:type="character" w:styleId="996">
    <w:name w:val="endnote reference"/>
    <w:basedOn w:val="1014"/>
    <w:uiPriority w:val="99"/>
    <w:semiHidden/>
    <w:unhideWhenUsed/>
    <w:pPr>
      <w:pBdr/>
      <w:spacing/>
      <w:ind/>
    </w:pPr>
    <w:rPr>
      <w:vertAlign w:val="superscript"/>
    </w:rPr>
  </w:style>
  <w:style w:type="paragraph" w:styleId="997">
    <w:name w:val="toc 1"/>
    <w:basedOn w:val="1009"/>
    <w:next w:val="1009"/>
    <w:uiPriority w:val="39"/>
    <w:unhideWhenUsed/>
    <w:pPr>
      <w:pBdr/>
      <w:spacing w:after="100"/>
      <w:ind/>
    </w:pPr>
  </w:style>
  <w:style w:type="paragraph" w:styleId="998">
    <w:name w:val="toc 2"/>
    <w:basedOn w:val="1009"/>
    <w:next w:val="1009"/>
    <w:uiPriority w:val="39"/>
    <w:unhideWhenUsed/>
    <w:pPr>
      <w:pBdr/>
      <w:spacing w:after="100"/>
      <w:ind w:left="220"/>
    </w:pPr>
  </w:style>
  <w:style w:type="paragraph" w:styleId="999">
    <w:name w:val="toc 3"/>
    <w:basedOn w:val="1009"/>
    <w:next w:val="1009"/>
    <w:uiPriority w:val="39"/>
    <w:unhideWhenUsed/>
    <w:pPr>
      <w:pBdr/>
      <w:spacing w:after="100"/>
      <w:ind w:left="440"/>
    </w:pPr>
  </w:style>
  <w:style w:type="paragraph" w:styleId="1000">
    <w:name w:val="toc 4"/>
    <w:basedOn w:val="1009"/>
    <w:next w:val="1009"/>
    <w:uiPriority w:val="39"/>
    <w:unhideWhenUsed/>
    <w:pPr>
      <w:pBdr/>
      <w:spacing w:after="100"/>
      <w:ind w:left="660"/>
    </w:pPr>
  </w:style>
  <w:style w:type="paragraph" w:styleId="1001">
    <w:name w:val="toc 5"/>
    <w:basedOn w:val="1009"/>
    <w:next w:val="1009"/>
    <w:uiPriority w:val="39"/>
    <w:unhideWhenUsed/>
    <w:pPr>
      <w:pBdr/>
      <w:spacing w:after="100"/>
      <w:ind w:left="880"/>
    </w:pPr>
  </w:style>
  <w:style w:type="paragraph" w:styleId="1002">
    <w:name w:val="toc 6"/>
    <w:basedOn w:val="1009"/>
    <w:next w:val="1009"/>
    <w:uiPriority w:val="39"/>
    <w:unhideWhenUsed/>
    <w:pPr>
      <w:pBdr/>
      <w:spacing w:after="100"/>
      <w:ind w:left="1100"/>
    </w:pPr>
  </w:style>
  <w:style w:type="paragraph" w:styleId="1003">
    <w:name w:val="toc 7"/>
    <w:basedOn w:val="1009"/>
    <w:next w:val="1009"/>
    <w:uiPriority w:val="39"/>
    <w:unhideWhenUsed/>
    <w:pPr>
      <w:pBdr/>
      <w:spacing w:after="100"/>
      <w:ind w:left="1320"/>
    </w:pPr>
  </w:style>
  <w:style w:type="paragraph" w:styleId="1004">
    <w:name w:val="toc 8"/>
    <w:basedOn w:val="1009"/>
    <w:next w:val="1009"/>
    <w:uiPriority w:val="39"/>
    <w:unhideWhenUsed/>
    <w:pPr>
      <w:pBdr/>
      <w:spacing w:after="100"/>
      <w:ind w:left="1540"/>
    </w:pPr>
  </w:style>
  <w:style w:type="paragraph" w:styleId="1005">
    <w:name w:val="toc 9"/>
    <w:basedOn w:val="1009"/>
    <w:next w:val="1009"/>
    <w:uiPriority w:val="39"/>
    <w:unhideWhenUsed/>
    <w:pPr>
      <w:pBdr/>
      <w:spacing w:after="100"/>
      <w:ind w:left="1760"/>
    </w:pPr>
  </w:style>
  <w:style w:type="character" w:styleId="1006">
    <w:name w:val="Placeholder Text"/>
    <w:basedOn w:val="1014"/>
    <w:uiPriority w:val="99"/>
    <w:semiHidden/>
    <w:pPr>
      <w:pBdr/>
      <w:spacing/>
      <w:ind/>
    </w:pPr>
    <w:rPr>
      <w:color w:val="666666"/>
    </w:rPr>
  </w:style>
  <w:style w:type="paragraph" w:styleId="1007">
    <w:name w:val="TOC Heading"/>
    <w:uiPriority w:val="39"/>
    <w:unhideWhenUsed/>
    <w:pPr>
      <w:pBdr/>
      <w:spacing/>
      <w:ind/>
    </w:pPr>
  </w:style>
  <w:style w:type="paragraph" w:styleId="1008">
    <w:name w:val="table of figures"/>
    <w:basedOn w:val="1009"/>
    <w:next w:val="1009"/>
    <w:uiPriority w:val="99"/>
    <w:unhideWhenUsed/>
    <w:pPr>
      <w:pBdr/>
      <w:spacing w:after="0" w:afterAutospacing="0"/>
      <w:ind/>
    </w:pPr>
  </w:style>
  <w:style w:type="paragraph" w:styleId="1009" w:default="1">
    <w:name w:val="Normal"/>
    <w:qFormat/>
    <w:pPr>
      <w:pBdr/>
      <w:spacing w:after="0" w:line="240" w:lineRule="auto"/>
      <w:ind/>
    </w:pPr>
    <w:rPr>
      <w:rFonts w:ascii="Times New Roman" w:hAnsi="Times New Roman" w:eastAsia="Times New Roman" w:cs="Times New Roman"/>
      <w:sz w:val="24"/>
      <w:szCs w:val="24"/>
    </w:rPr>
  </w:style>
  <w:style w:type="paragraph" w:styleId="1010">
    <w:name w:val="Heading 1"/>
    <w:basedOn w:val="1009"/>
    <w:next w:val="1009"/>
    <w:link w:val="1017"/>
    <w:qFormat/>
    <w:pPr>
      <w:keepNext w:val="true"/>
      <w:pBdr/>
      <w:spacing w:after="120" w:before="120"/>
      <w:ind/>
      <w:jc w:val="center"/>
      <w:outlineLvl w:val="0"/>
    </w:pPr>
    <w:rPr>
      <w:b/>
      <w:bCs/>
      <w:sz w:val="27"/>
      <w:szCs w:val="27"/>
    </w:rPr>
  </w:style>
  <w:style w:type="paragraph" w:styleId="1011">
    <w:name w:val="Heading 2"/>
    <w:basedOn w:val="1009"/>
    <w:next w:val="1009"/>
    <w:link w:val="101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2">
    <w:name w:val="Heading 3"/>
    <w:basedOn w:val="1009"/>
    <w:next w:val="1009"/>
    <w:link w:val="1019"/>
    <w:qFormat/>
    <w:pPr>
      <w:keepNext w:val="true"/>
      <w:pBdr/>
      <w:spacing w:before="60"/>
      <w:ind/>
      <w:outlineLvl w:val="2"/>
    </w:pPr>
    <w:rPr>
      <w:sz w:val="28"/>
      <w:szCs w:val="28"/>
    </w:rPr>
  </w:style>
  <w:style w:type="paragraph" w:styleId="1013">
    <w:name w:val="Heading 4"/>
    <w:basedOn w:val="1009"/>
    <w:next w:val="1009"/>
    <w:link w:val="1020"/>
    <w:qFormat/>
    <w:pPr>
      <w:keepNext w:val="true"/>
      <w:pBdr/>
      <w:spacing/>
      <w:ind/>
      <w:jc w:val="center"/>
      <w:outlineLvl w:val="3"/>
    </w:pPr>
    <w:rPr>
      <w:b/>
      <w:bCs/>
    </w:rPr>
  </w:style>
  <w:style w:type="character" w:styleId="1014" w:default="1">
    <w:name w:val="Default Paragraph Font"/>
    <w:uiPriority w:val="1"/>
    <w:semiHidden/>
    <w:unhideWhenUsed/>
    <w:pPr>
      <w:pBdr/>
      <w:spacing/>
      <w:ind/>
    </w:pPr>
  </w:style>
  <w:style w:type="table" w:styleId="10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6" w:default="1">
    <w:name w:val="No List"/>
    <w:uiPriority w:val="99"/>
    <w:semiHidden/>
    <w:unhideWhenUsed/>
    <w:pPr>
      <w:pBdr/>
      <w:spacing/>
      <w:ind/>
    </w:pPr>
  </w:style>
  <w:style w:type="character" w:styleId="1017" w:customStyle="1">
    <w:name w:val="Heading 1 Char"/>
    <w:basedOn w:val="1014"/>
    <w:link w:val="1010"/>
    <w:pPr>
      <w:pBdr/>
      <w:spacing/>
      <w:ind/>
    </w:pPr>
    <w:rPr>
      <w:rFonts w:ascii="Times New Roman" w:hAnsi="Times New Roman" w:eastAsia="Times New Roman" w:cs="Times New Roman"/>
      <w:b/>
      <w:bCs/>
      <w:sz w:val="27"/>
      <w:szCs w:val="27"/>
    </w:rPr>
  </w:style>
  <w:style w:type="character" w:styleId="1018" w:customStyle="1">
    <w:name w:val="Heading 2 Char"/>
    <w:basedOn w:val="1014"/>
    <w:link w:val="1011"/>
    <w:uiPriority w:val="9"/>
    <w:pPr>
      <w:pBdr/>
      <w:spacing/>
      <w:ind/>
    </w:pPr>
    <w:rPr>
      <w:rFonts w:asciiTheme="majorHAnsi" w:hAnsiTheme="majorHAnsi" w:eastAsiaTheme="majorEastAsia" w:cstheme="majorBidi"/>
      <w:color w:val="365f91" w:themeColor="accent1" w:themeShade="BF"/>
      <w:sz w:val="26"/>
      <w:szCs w:val="26"/>
    </w:rPr>
  </w:style>
  <w:style w:type="character" w:styleId="1019" w:customStyle="1">
    <w:name w:val="Heading 3 Char"/>
    <w:basedOn w:val="1014"/>
    <w:link w:val="1012"/>
    <w:pPr>
      <w:pBdr/>
      <w:spacing/>
      <w:ind/>
    </w:pPr>
    <w:rPr>
      <w:rFonts w:ascii="Times New Roman" w:hAnsi="Times New Roman" w:eastAsia="Times New Roman" w:cs="Times New Roman"/>
      <w:sz w:val="28"/>
      <w:szCs w:val="28"/>
    </w:rPr>
  </w:style>
  <w:style w:type="character" w:styleId="1020" w:customStyle="1">
    <w:name w:val="Heading 4 Char"/>
    <w:basedOn w:val="1014"/>
    <w:link w:val="1013"/>
    <w:pPr>
      <w:pBdr/>
      <w:spacing/>
      <w:ind/>
    </w:pPr>
    <w:rPr>
      <w:rFonts w:ascii="Times New Roman" w:hAnsi="Times New Roman" w:eastAsia="Times New Roman" w:cs="Times New Roman"/>
      <w:b/>
      <w:bCs/>
      <w:sz w:val="24"/>
      <w:szCs w:val="24"/>
    </w:rPr>
  </w:style>
  <w:style w:type="character" w:styleId="1021">
    <w:name w:val="Hyperlink"/>
    <w:uiPriority w:val="99"/>
    <w:pPr>
      <w:pBdr/>
      <w:spacing/>
      <w:ind/>
    </w:pPr>
    <w:rPr>
      <w:color w:val="000000"/>
      <w:u w:val="single"/>
    </w:rPr>
  </w:style>
  <w:style w:type="character" w:styleId="1022">
    <w:name w:val="Strong"/>
    <w:uiPriority w:val="22"/>
    <w:qFormat/>
    <w:pPr>
      <w:pBdr/>
      <w:spacing/>
      <w:ind/>
    </w:pPr>
    <w:rPr>
      <w:b/>
      <w:bCs/>
    </w:rPr>
  </w:style>
  <w:style w:type="paragraph" w:styleId="1023">
    <w:name w:val="Balloon Text"/>
    <w:basedOn w:val="1009"/>
    <w:link w:val="1024"/>
    <w:uiPriority w:val="99"/>
    <w:semiHidden/>
    <w:unhideWhenUsed/>
    <w:pPr>
      <w:pBdr/>
      <w:spacing/>
      <w:ind/>
    </w:pPr>
    <w:rPr>
      <w:rFonts w:ascii="Tahoma" w:hAnsi="Tahoma" w:cs="Tahoma"/>
      <w:sz w:val="16"/>
      <w:szCs w:val="16"/>
    </w:rPr>
  </w:style>
  <w:style w:type="character" w:styleId="1024" w:customStyle="1">
    <w:name w:val="Balloon Text Char"/>
    <w:basedOn w:val="1014"/>
    <w:link w:val="1023"/>
    <w:uiPriority w:val="99"/>
    <w:semiHidden/>
    <w:pPr>
      <w:pBdr/>
      <w:spacing/>
      <w:ind/>
    </w:pPr>
    <w:rPr>
      <w:rFonts w:ascii="Tahoma" w:hAnsi="Tahoma" w:eastAsia="Times New Roman" w:cs="Tahoma"/>
      <w:sz w:val="16"/>
      <w:szCs w:val="16"/>
    </w:rPr>
  </w:style>
  <w:style w:type="paragraph" w:styleId="1025">
    <w:name w:val="Header"/>
    <w:basedOn w:val="1009"/>
    <w:link w:val="1026"/>
    <w:unhideWhenUsed/>
    <w:pPr>
      <w:pBdr/>
      <w:tabs>
        <w:tab w:val="center" w:leader="none" w:pos="4680"/>
        <w:tab w:val="right" w:leader="none" w:pos="9360"/>
      </w:tabs>
      <w:spacing/>
      <w:ind/>
    </w:pPr>
  </w:style>
  <w:style w:type="character" w:styleId="1026" w:customStyle="1">
    <w:name w:val="Header Char"/>
    <w:basedOn w:val="1014"/>
    <w:link w:val="1025"/>
    <w:pPr>
      <w:pBdr/>
      <w:spacing/>
      <w:ind/>
    </w:pPr>
    <w:rPr>
      <w:rFonts w:ascii="Times New Roman" w:hAnsi="Times New Roman" w:eastAsia="Times New Roman" w:cs="Times New Roman"/>
      <w:sz w:val="24"/>
      <w:szCs w:val="24"/>
    </w:rPr>
  </w:style>
  <w:style w:type="paragraph" w:styleId="1027">
    <w:name w:val="Footer"/>
    <w:basedOn w:val="1009"/>
    <w:link w:val="1028"/>
    <w:uiPriority w:val="99"/>
    <w:unhideWhenUsed/>
    <w:pPr>
      <w:pBdr/>
      <w:tabs>
        <w:tab w:val="center" w:leader="none" w:pos="4680"/>
        <w:tab w:val="right" w:leader="none" w:pos="9360"/>
      </w:tabs>
      <w:spacing/>
      <w:ind/>
    </w:pPr>
  </w:style>
  <w:style w:type="character" w:styleId="1028" w:customStyle="1">
    <w:name w:val="Footer Char"/>
    <w:basedOn w:val="1014"/>
    <w:link w:val="1027"/>
    <w:uiPriority w:val="99"/>
    <w:pPr>
      <w:pBdr/>
      <w:spacing/>
      <w:ind/>
    </w:pPr>
    <w:rPr>
      <w:rFonts w:ascii="Times New Roman" w:hAnsi="Times New Roman" w:eastAsia="Times New Roman" w:cs="Times New Roman"/>
      <w:sz w:val="24"/>
      <w:szCs w:val="24"/>
    </w:rPr>
  </w:style>
  <w:style w:type="character" w:styleId="1029" w:customStyle="1">
    <w:name w:val="normal-h1"/>
    <w:pPr>
      <w:pBdr/>
      <w:spacing/>
      <w:ind/>
    </w:pPr>
    <w:rPr>
      <w:rFonts w:hint="default" w:ascii=".VnTime" w:hAnsi=".VnTime"/>
      <w:color w:val="0000ff"/>
      <w:sz w:val="24"/>
      <w:szCs w:val="24"/>
    </w:rPr>
  </w:style>
  <w:style w:type="paragraph" w:styleId="1030" w:customStyle="1">
    <w:name w:val="normal-p"/>
    <w:basedOn w:val="1009"/>
    <w:pPr>
      <w:pBdr/>
      <w:spacing/>
      <w:ind/>
      <w:jc w:val="both"/>
    </w:pPr>
    <w:rPr>
      <w:sz w:val="20"/>
      <w:szCs w:val="20"/>
    </w:rPr>
  </w:style>
  <w:style w:type="paragraph" w:styleId="1031">
    <w:name w:val="List Paragraph"/>
    <w:basedOn w:val="1009"/>
    <w:link w:val="1118"/>
    <w:uiPriority w:val="34"/>
    <w:qFormat/>
    <w:pPr>
      <w:pBdr/>
      <w:spacing/>
      <w:ind w:left="720"/>
    </w:pPr>
  </w:style>
  <w:style w:type="paragraph" w:styleId="1032">
    <w:name w:val="Normal (Web)"/>
    <w:basedOn w:val="1009"/>
    <w:uiPriority w:val="99"/>
    <w:pPr>
      <w:pBdr/>
      <w:spacing w:after="100" w:afterAutospacing="1" w:before="100" w:beforeAutospacing="1"/>
      <w:ind/>
    </w:pPr>
  </w:style>
  <w:style w:type="paragraph" w:styleId="1033">
    <w:name w:val="Body Text"/>
    <w:basedOn w:val="1009"/>
    <w:link w:val="1034"/>
    <w:pPr>
      <w:pBdr/>
      <w:spacing w:after="120"/>
      <w:ind/>
      <w:jc w:val="both"/>
    </w:pPr>
  </w:style>
  <w:style w:type="character" w:styleId="1034" w:customStyle="1">
    <w:name w:val="Body Text Char"/>
    <w:basedOn w:val="1014"/>
    <w:link w:val="1033"/>
    <w:pPr>
      <w:pBdr/>
      <w:spacing/>
      <w:ind/>
    </w:pPr>
    <w:rPr>
      <w:rFonts w:ascii="Times New Roman" w:hAnsi="Times New Roman" w:eastAsia="Times New Roman" w:cs="Times New Roman"/>
      <w:sz w:val="24"/>
      <w:szCs w:val="24"/>
    </w:rPr>
  </w:style>
  <w:style w:type="table" w:styleId="1035">
    <w:name w:val="Table Grid"/>
    <w:basedOn w:val="101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7">
    <w:name w:val="annotation reference"/>
    <w:basedOn w:val="1014"/>
    <w:uiPriority w:val="99"/>
    <w:semiHidden/>
    <w:unhideWhenUsed/>
    <w:pPr>
      <w:pBdr/>
      <w:spacing/>
      <w:ind/>
    </w:pPr>
    <w:rPr>
      <w:sz w:val="16"/>
      <w:szCs w:val="16"/>
    </w:rPr>
  </w:style>
  <w:style w:type="paragraph" w:styleId="1038">
    <w:name w:val="annotation text"/>
    <w:basedOn w:val="1009"/>
    <w:link w:val="1039"/>
    <w:uiPriority w:val="99"/>
    <w:unhideWhenUsed/>
    <w:pPr>
      <w:pBdr/>
      <w:spacing/>
      <w:ind/>
    </w:pPr>
    <w:rPr>
      <w:sz w:val="20"/>
      <w:szCs w:val="20"/>
    </w:rPr>
  </w:style>
  <w:style w:type="character" w:styleId="1039" w:customStyle="1">
    <w:name w:val="Comment Text Char"/>
    <w:basedOn w:val="1014"/>
    <w:link w:val="1038"/>
    <w:uiPriority w:val="99"/>
    <w:pPr>
      <w:pBdr/>
      <w:spacing/>
      <w:ind/>
    </w:pPr>
    <w:rPr>
      <w:rFonts w:ascii="Times New Roman" w:hAnsi="Times New Roman" w:eastAsia="Times New Roman" w:cs="Times New Roman"/>
      <w:sz w:val="20"/>
      <w:szCs w:val="20"/>
    </w:rPr>
  </w:style>
  <w:style w:type="paragraph" w:styleId="1040">
    <w:name w:val="annotation subject"/>
    <w:basedOn w:val="1038"/>
    <w:next w:val="1038"/>
    <w:link w:val="1041"/>
    <w:uiPriority w:val="99"/>
    <w:semiHidden/>
    <w:unhideWhenUsed/>
    <w:pPr>
      <w:pBdr/>
      <w:spacing/>
      <w:ind/>
    </w:pPr>
    <w:rPr>
      <w:b/>
      <w:bCs/>
    </w:rPr>
  </w:style>
  <w:style w:type="character" w:styleId="1041" w:customStyle="1">
    <w:name w:val="Comment Subject Char"/>
    <w:basedOn w:val="1039"/>
    <w:link w:val="1040"/>
    <w:uiPriority w:val="99"/>
    <w:semiHidden/>
    <w:pPr>
      <w:pBdr/>
      <w:spacing/>
      <w:ind/>
    </w:pPr>
    <w:rPr>
      <w:rFonts w:ascii="Times New Roman" w:hAnsi="Times New Roman" w:eastAsia="Times New Roman" w:cs="Times New Roman"/>
      <w:b/>
      <w:bCs/>
      <w:sz w:val="20"/>
      <w:szCs w:val="20"/>
    </w:rPr>
  </w:style>
  <w:style w:type="paragraph" w:styleId="1042" w:customStyle="1">
    <w:name w:val="font5"/>
    <w:basedOn w:val="1009"/>
    <w:pPr>
      <w:pBdr/>
      <w:spacing w:after="100" w:afterAutospacing="1" w:before="100" w:beforeAutospacing="1"/>
      <w:ind/>
    </w:pPr>
    <w:rPr>
      <w:rFonts w:ascii="Tahoma" w:hAnsi="Tahoma" w:cs="Tahoma"/>
      <w:color w:val="000000"/>
      <w:sz w:val="18"/>
      <w:szCs w:val="18"/>
    </w:rPr>
  </w:style>
  <w:style w:type="paragraph" w:styleId="1043" w:customStyle="1">
    <w:name w:val="font6"/>
    <w:basedOn w:val="1009"/>
    <w:pPr>
      <w:pBdr/>
      <w:spacing w:after="100" w:afterAutospacing="1" w:before="100" w:beforeAutospacing="1"/>
      <w:ind/>
    </w:pPr>
    <w:rPr>
      <w:rFonts w:ascii="Tahoma" w:hAnsi="Tahoma" w:cs="Tahoma"/>
      <w:b/>
      <w:bCs/>
      <w:color w:val="000000"/>
      <w:sz w:val="18"/>
      <w:szCs w:val="18"/>
    </w:rPr>
  </w:style>
  <w:style w:type="paragraph" w:styleId="1044" w:customStyle="1">
    <w:name w:val="xl23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34"/>
    <w:basedOn w:val="1009"/>
    <w:pPr>
      <w:pBdr/>
      <w:spacing w:after="100" w:afterAutospacing="1" w:before="100" w:beforeAutospacing="1"/>
      <w:ind/>
      <w:jc w:val="center"/>
    </w:pPr>
  </w:style>
  <w:style w:type="paragraph" w:styleId="1046" w:customStyle="1">
    <w:name w:val="xl235"/>
    <w:basedOn w:val="1009"/>
    <w:pPr>
      <w:pBdr/>
      <w:spacing w:after="100" w:afterAutospacing="1" w:before="100" w:beforeAutospacing="1"/>
      <w:ind/>
      <w:jc w:val="center"/>
    </w:pPr>
    <w:rPr>
      <w:b/>
      <w:bCs/>
    </w:rPr>
  </w:style>
  <w:style w:type="paragraph" w:styleId="1047" w:customStyle="1">
    <w:name w:val="xl236"/>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8" w:customStyle="1">
    <w:name w:val="xl23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38"/>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3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40"/>
    <w:basedOn w:val="1009"/>
    <w:pPr>
      <w:pBdr/>
      <w:spacing w:after="100" w:afterAutospacing="1" w:before="100" w:beforeAutospacing="1"/>
      <w:ind/>
    </w:pPr>
  </w:style>
  <w:style w:type="paragraph" w:styleId="1052" w:customStyle="1">
    <w:name w:val="xl241"/>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42"/>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3"/>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44"/>
    <w:basedOn w:val="1009"/>
    <w:pPr>
      <w:pBdr/>
      <w:spacing w:after="100" w:afterAutospacing="1" w:before="100" w:beforeAutospacing="1"/>
      <w:ind/>
    </w:pPr>
    <w:rPr>
      <w:b/>
      <w:bCs/>
    </w:rPr>
  </w:style>
  <w:style w:type="paragraph" w:styleId="1056" w:customStyle="1">
    <w:name w:val="xl245"/>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47"/>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4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0" w:customStyle="1">
    <w:name w:val="xl24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5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5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3"/>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4"/>
    <w:basedOn w:val="100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5"/>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8"/>
    <w:basedOn w:val="100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0"/>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1"/>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2"/>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3"/>
    <w:basedOn w:val="1009"/>
    <w:pPr>
      <w:pBdr/>
      <w:shd w:val="clear" w:color="000000" w:fill="ffffff"/>
      <w:spacing w:after="100" w:afterAutospacing="1" w:before="100" w:beforeAutospacing="1"/>
      <w:ind/>
    </w:pPr>
  </w:style>
  <w:style w:type="paragraph" w:styleId="1075" w:customStyle="1">
    <w:name w:val="xl264"/>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5"/>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6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6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68"/>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9"/>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7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1"/>
    <w:basedOn w:val="100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3" w:customStyle="1">
    <w:name w:val="xl27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73"/>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74"/>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5"/>
    <w:basedOn w:val="1009"/>
    <w:pPr>
      <w:pBdr/>
      <w:spacing w:after="100" w:afterAutospacing="1" w:before="100" w:beforeAutospacing="1"/>
      <w:ind/>
    </w:pPr>
  </w:style>
  <w:style w:type="paragraph" w:styleId="1087" w:customStyle="1">
    <w:name w:val="xl27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77"/>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7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7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8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8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4"/>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5"/>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7"/>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8"/>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89"/>
    <w:basedOn w:val="1009"/>
    <w:pPr>
      <w:pBdr>
        <w:left w:val="single" w:color="000000" w:sz="4" w:space="0"/>
        <w:right w:val="single" w:color="000000" w:sz="4" w:space="0"/>
      </w:pBdr>
      <w:spacing w:after="100" w:afterAutospacing="1" w:before="100" w:beforeAutospacing="1"/>
      <w:ind/>
    </w:pPr>
    <w:rPr>
      <w:b/>
      <w:bCs/>
    </w:rPr>
  </w:style>
  <w:style w:type="paragraph" w:styleId="1101" w:customStyle="1">
    <w:name w:val="xl29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91"/>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92"/>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93"/>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94"/>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name w:val="Title"/>
    <w:basedOn w:val="1009"/>
    <w:link w:val="1107"/>
    <w:qFormat/>
    <w:pPr>
      <w:pBdr/>
      <w:spacing/>
      <w:ind/>
      <w:jc w:val="center"/>
    </w:pPr>
    <w:rPr>
      <w:b/>
      <w:bCs/>
      <w:sz w:val="32"/>
      <w:szCs w:val="26"/>
    </w:rPr>
  </w:style>
  <w:style w:type="character" w:styleId="1107" w:customStyle="1">
    <w:name w:val="Title Char"/>
    <w:basedOn w:val="1014"/>
    <w:link w:val="1106"/>
    <w:pPr>
      <w:pBdr/>
      <w:spacing/>
      <w:ind/>
    </w:pPr>
    <w:rPr>
      <w:rFonts w:ascii="Times New Roman" w:hAnsi="Times New Roman" w:eastAsia="Times New Roman" w:cs="Times New Roman"/>
      <w:b/>
      <w:bCs/>
      <w:sz w:val="32"/>
      <w:szCs w:val="26"/>
    </w:rPr>
  </w:style>
  <w:style w:type="character" w:styleId="1108" w:customStyle="1">
    <w:name w:val="Unresolved Mention1"/>
    <w:basedOn w:val="1014"/>
    <w:uiPriority w:val="99"/>
    <w:semiHidden/>
    <w:unhideWhenUsed/>
    <w:pPr>
      <w:pBdr/>
      <w:spacing/>
      <w:ind/>
    </w:pPr>
    <w:rPr>
      <w:color w:val="605e5c"/>
      <w:shd w:val="clear" w:color="auto" w:fill="e1dfdd"/>
    </w:rPr>
  </w:style>
  <w:style w:type="character" w:styleId="1109" w:customStyle="1">
    <w:name w:val="Body text (3)_"/>
    <w:link w:val="1110"/>
    <w:pPr>
      <w:pBdr/>
      <w:spacing/>
      <w:ind/>
    </w:pPr>
    <w:rPr>
      <w:rFonts w:ascii="Times New Roman" w:hAnsi="Times New Roman" w:cs="Times New Roman"/>
      <w:i/>
      <w:iCs/>
      <w:spacing w:val="4"/>
      <w:shd w:val="clear" w:color="auto" w:fill="ffffff"/>
    </w:rPr>
  </w:style>
  <w:style w:type="paragraph" w:styleId="1110" w:customStyle="1">
    <w:name w:val="Body text (3)1"/>
    <w:basedOn w:val="1009"/>
    <w:link w:val="110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1" w:customStyle="1">
    <w:name w:val="t-j"/>
    <w:basedOn w:val="1009"/>
    <w:pPr>
      <w:pBdr/>
      <w:spacing w:after="100" w:afterAutospacing="1" w:before="100" w:beforeAutospacing="1"/>
      <w:ind/>
    </w:pPr>
  </w:style>
  <w:style w:type="character" w:styleId="1112" w:customStyle="1">
    <w:name w:val="Unresolved Mention2"/>
    <w:basedOn w:val="1014"/>
    <w:uiPriority w:val="99"/>
    <w:semiHidden/>
    <w:unhideWhenUsed/>
    <w:pPr>
      <w:pBdr/>
      <w:spacing/>
      <w:ind/>
    </w:pPr>
    <w:rPr>
      <w:color w:val="605e5c"/>
      <w:shd w:val="clear" w:color="auto" w:fill="e1dfdd"/>
    </w:rPr>
  </w:style>
  <w:style w:type="character" w:styleId="1113">
    <w:name w:val="FollowedHyperlink"/>
    <w:basedOn w:val="1014"/>
    <w:uiPriority w:val="99"/>
    <w:semiHidden/>
    <w:unhideWhenUsed/>
    <w:pPr>
      <w:pBdr/>
      <w:spacing/>
      <w:ind/>
    </w:pPr>
    <w:rPr>
      <w:color w:val="800080" w:themeColor="followedHyperlink"/>
      <w:u w:val="single"/>
    </w:rPr>
  </w:style>
  <w:style w:type="character" w:styleId="1114" w:customStyle="1">
    <w:name w:val="text"/>
    <w:basedOn w:val="1014"/>
    <w:pPr>
      <w:pBdr/>
      <w:spacing/>
      <w:ind/>
    </w:pPr>
  </w:style>
  <w:style w:type="character" w:styleId="1115" w:customStyle="1">
    <w:name w:val="card-send-time__sendtime"/>
    <w:basedOn w:val="1014"/>
    <w:pPr>
      <w:pBdr/>
      <w:spacing/>
      <w:ind/>
    </w:pPr>
  </w:style>
  <w:style w:type="character" w:styleId="1116" w:customStyle="1">
    <w:name w:val="Đề cập Chưa giải quyết1"/>
    <w:basedOn w:val="1014"/>
    <w:uiPriority w:val="99"/>
    <w:semiHidden/>
    <w:unhideWhenUsed/>
    <w:pPr>
      <w:pBdr/>
      <w:spacing/>
      <w:ind/>
    </w:pPr>
    <w:rPr>
      <w:color w:val="605e5c"/>
      <w:shd w:val="clear" w:color="auto" w:fill="e1dfdd"/>
    </w:rPr>
  </w:style>
  <w:style w:type="paragraph" w:styleId="1117" w:customStyle="1">
    <w:name w:val="nqtitle"/>
    <w:basedOn w:val="1009"/>
    <w:pPr>
      <w:pBdr/>
      <w:spacing w:after="100" w:afterAutospacing="1" w:before="100" w:beforeAutospacing="1"/>
      <w:ind/>
    </w:pPr>
    <w:rPr>
      <w:lang w:val="vi-VN" w:eastAsia="vi-VN"/>
    </w:rPr>
  </w:style>
  <w:style w:type="character" w:styleId="1118" w:customStyle="1">
    <w:name w:val="List Paragraph Char"/>
    <w:link w:val="1031"/>
    <w:uiPriority w:val="34"/>
    <w:qFormat/>
    <w:pPr>
      <w:pBdr/>
      <w:spacing/>
      <w:ind/>
    </w:pPr>
    <w:rPr>
      <w:rFonts w:ascii="Times New Roman" w:hAnsi="Times New Roman" w:eastAsia="Times New Roman" w:cs="Times New Roman"/>
      <w:sz w:val="24"/>
      <w:szCs w:val="24"/>
    </w:rPr>
  </w:style>
  <w:style w:type="character" w:styleId="1119" w:customStyle="1">
    <w:name w:val="Đề cập Chưa giải quyết2"/>
    <w:basedOn w:val="1014"/>
    <w:uiPriority w:val="99"/>
    <w:semiHidden/>
    <w:unhideWhenUsed/>
    <w:pPr>
      <w:pBdr/>
      <w:spacing/>
      <w:ind/>
    </w:pPr>
    <w:rPr>
      <w:color w:val="605e5c"/>
      <w:shd w:val="clear" w:color="auto" w:fill="e1dfdd"/>
    </w:rPr>
  </w:style>
  <w:style w:type="character" w:styleId="1120" w:customStyle="1">
    <w:name w:val="Unresolved Mention3"/>
    <w:basedOn w:val="1014"/>
    <w:uiPriority w:val="99"/>
    <w:semiHidden/>
    <w:unhideWhenUsed/>
    <w:pPr>
      <w:pBdr/>
      <w:spacing/>
      <w:ind/>
    </w:pPr>
    <w:rPr>
      <w:color w:val="605e5c"/>
      <w:shd w:val="clear" w:color="auto" w:fill="e1dfdd"/>
    </w:rPr>
  </w:style>
  <w:style w:type="character" w:styleId="1121" w:customStyle="1">
    <w:name w:val="copy"/>
    <w:basedOn w:val="1014"/>
    <w:pPr>
      <w:pBdr/>
      <w:spacing/>
      <w:ind/>
    </w:pPr>
  </w:style>
  <w:style w:type="paragraph" w:styleId="1122" w:customStyle="1">
    <w:name w:val="align-justify"/>
    <w:basedOn w:val="1009"/>
    <w:pPr>
      <w:pBdr/>
      <w:spacing w:after="100" w:afterAutospacing="1" w:before="100" w:beforeAutospacing="1"/>
      <w:ind/>
    </w:pPr>
  </w:style>
  <w:style w:type="character" w:styleId="1123" w:customStyle="1">
    <w:name w:val="btn"/>
    <w:basedOn w:val="1014"/>
    <w:pPr>
      <w:pBdr/>
      <w:spacing/>
      <w:ind/>
    </w:pPr>
  </w:style>
  <w:style w:type="character" w:styleId="1124" w:customStyle="1">
    <w:name w:val="hide_mobile"/>
    <w:basedOn w:val="1014"/>
    <w:pPr>
      <w:pBdr/>
      <w:spacing/>
      <w:ind/>
    </w:pPr>
  </w:style>
  <w:style w:type="character" w:styleId="1125">
    <w:name w:val="Emphasis"/>
    <w:basedOn w:val="1014"/>
    <w:uiPriority w:val="20"/>
    <w:qFormat/>
    <w:pPr>
      <w:pBdr/>
      <w:spacing/>
      <w:ind/>
    </w:pPr>
    <w:rPr>
      <w:i/>
      <w:iCs/>
    </w:rPr>
  </w:style>
  <w:style w:type="character" w:styleId="1126" w:customStyle="1">
    <w:name w:val="t1"/>
    <w:basedOn w:val="1014"/>
    <w:pPr>
      <w:pBdr/>
      <w:spacing/>
      <w:ind/>
    </w:pPr>
  </w:style>
  <w:style w:type="character" w:styleId="1127" w:customStyle="1">
    <w:name w:val="Unresolved Mention4"/>
    <w:basedOn w:val="1014"/>
    <w:uiPriority w:val="99"/>
    <w:semiHidden/>
    <w:unhideWhenUsed/>
    <w:pPr>
      <w:pBdr/>
      <w:spacing/>
      <w:ind/>
    </w:pPr>
    <w:rPr>
      <w:color w:val="605e5c"/>
      <w:shd w:val="clear" w:color="auto" w:fill="e1dfdd"/>
    </w:rPr>
  </w:style>
  <w:style w:type="character" w:styleId="1128">
    <w:name w:val="Unresolved Mention"/>
    <w:basedOn w:val="101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summerland.com.vn/tiem-nang-dat-dich-vu-van-canh-hoai-duc-vuot-troi" TargetMode="External"/><Relationship Id="rId18" Type="http://schemas.openxmlformats.org/officeDocument/2006/relationships/image" Target="media/image3.png"/><Relationship Id="rId19" Type="http://schemas.openxmlformats.org/officeDocument/2006/relationships/image" Target="media/image4.jpg"/><Relationship Id="rId20" Type="http://schemas.openxmlformats.org/officeDocument/2006/relationships/image" Target="media/image5.jpg"/><Relationship Id="rId21" Type="http://schemas.openxmlformats.org/officeDocument/2006/relationships/image" Target="media/image6.png"/><Relationship Id="rId22" Type="http://schemas.openxmlformats.org/officeDocument/2006/relationships/image" Target="media/image7.jpg"/><Relationship Id="rId23" Type="http://schemas.openxmlformats.org/officeDocument/2006/relationships/image" Target="media/image8.jpg"/><Relationship Id="rId24" Type="http://schemas.openxmlformats.org/officeDocument/2006/relationships/image" Target="media/image9.jpg"/><Relationship Id="rId25" Type="http://schemas.openxmlformats.org/officeDocument/2006/relationships/image" Target="media/image10.jpg"/><Relationship Id="rId26" Type="http://schemas.openxmlformats.org/officeDocument/2006/relationships/image" Target="media/image11.jpg"/><Relationship Id="rId27" Type="http://schemas.openxmlformats.org/officeDocument/2006/relationships/image" Target="media/image12.jp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Dương</cp:lastModifiedBy>
  <cp:revision>276</cp:revision>
  <dcterms:created xsi:type="dcterms:W3CDTF">2025-09-15T09:58:00Z</dcterms:created>
  <dcterms:modified xsi:type="dcterms:W3CDTF">2026-01-22T10:36:45Z</dcterms:modified>
</cp:coreProperties>
</file>