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left"/>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399207" cy="365056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399207" cy="365056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275/2026/0003/VFI-CT.21.A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ĐÌNH DUY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val="0"/>
                                <w:iCs w:val="0"/>
                              </w:rPr>
                              <w:t xml:space="preserve">Quyền sử dụng đất tại thửa đất số: 238, tờ bản đồ số 9 có địa chỉ: Thôn Phú Thụ, xã Lại Thượng, huyện Thạch Thất, tỉnh Hà Tây </w:t>
                            </w:r>
                            <w:r>
                              <w:rPr>
                                <w:bCs/>
                                <w:i/>
                                <w:iCs/>
                              </w:rPr>
                              <w:t xml:space="preserve">(Nay là xã Thạch Thất, Thành phố Hà Nội</w:t>
                            </w:r>
                            <w:r>
                              <w:rPr>
                                <w:bCs/>
                                <w:i w:val="0"/>
                                <w:iCs w:val="0"/>
                              </w:rPr>
                              <w:t xml:space="preserve">) theo Giấy chứng nhận quyền sử dụng đất số: AN 047490, số vào sổ cấp giấy chứng nhận q</w:t>
                            </w:r>
                            <w:r>
                              <w:rPr>
                                <w:bCs/>
                                <w:i w:val="0"/>
                                <w:iCs w:val="0"/>
                              </w:rPr>
                              <w:t xml:space="preserve">uyền sử dụng đất: H.01749/QSDĐ/1922/QĐ-UB do Uỷ ban nhân dân huyện Thạch Thất cấp ngày 28/7/2008; Chủ sử dụng đất là Ông Nguyễn Đình Duy và vợ là Bà Đoàn Thanh Phương (</w:t>
                            </w:r>
                            <w:r>
                              <w:rPr>
                                <w:bCs/>
                                <w:i/>
                                <w:iCs/>
                              </w:rPr>
                              <w:t xml:space="preserve">cập nhật ngày 28/12/2022).</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25.13pt;height:287.4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275/2026/0003/VFI-CT.21.A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ĐÌNH DUY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val="0"/>
                          <w:iCs w:val="0"/>
                        </w:rPr>
                        <w:t xml:space="preserve">Quyền sử dụng đất tại thửa đất số: 238, tờ bản đồ số 9 có địa chỉ: Thôn Phú Thụ, xã Lại Thượng, huyện Thạch Thất, tỉnh Hà Tây </w:t>
                      </w:r>
                      <w:r>
                        <w:rPr>
                          <w:bCs/>
                          <w:i/>
                          <w:iCs/>
                        </w:rPr>
                        <w:t xml:space="preserve">(Nay là xã Thạch Thất, Thành phố Hà Nội</w:t>
                      </w:r>
                      <w:r>
                        <w:rPr>
                          <w:bCs/>
                          <w:i w:val="0"/>
                          <w:iCs w:val="0"/>
                        </w:rPr>
                        <w:t xml:space="preserve">) theo Giấy chứng nhận quyền sử dụng đất số: AN 047490, số vào sổ cấp giấy chứng nhận q</w:t>
                      </w:r>
                      <w:r>
                        <w:rPr>
                          <w:bCs/>
                          <w:i w:val="0"/>
                          <w:iCs w:val="0"/>
                        </w:rPr>
                        <w:t xml:space="preserve">uyền sử dụng đất: H.01749/QSDĐ/1922/QĐ-UB do Uỷ ban nhân dân huyện Thạch Thất cấp ngày 28/7/2008; Chủ sử dụng đất là Ông Nguyễn Đình Duy và vợ là Bà Đoàn Thanh Phương (</w:t>
                      </w:r>
                      <w:r>
                        <w:rPr>
                          <w:bCs/>
                          <w:i/>
                          <w:iCs/>
                        </w:rPr>
                        <w:t xml:space="preserve">cập nhật ngày 28/12/2022).</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20-22</w:t>
            </w:r>
            <w:r>
              <w:rPr>
                <w:b/>
                <w:bCs/>
              </w:rPr>
            </w:r>
            <w:r>
              <w:rPr>
                <w:b/>
                <w:bCs/>
              </w:rPr>
            </w:r>
          </w:p>
        </w:tc>
      </w:tr>
    </w:tbl>
    <w:p w14:paraId="65E81109"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63" w:type="dxa"/>
        <w:tblBorders/>
        <w:tblLayout w:type="fixed"/>
        <w:tblLook w:val="04A0" w:firstRow="1" w:lastRow="0" w:firstColumn="1" w:lastColumn="0" w:noHBand="0" w:noVBand="1"/>
      </w:tblPr>
      <w:tblGrid>
        <w:gridCol w:w="108"/>
        <w:gridCol w:w="1763"/>
        <w:gridCol w:w="8192"/>
      </w:tblGrid>
      <w:tr>
        <w:trPr>
          <w:trHeight w:val="1506"/>
        </w:trPr>
        <w:tc>
          <w:tcPr>
            <w:gridSpan w:val="2"/>
            <w:tcBorders/>
            <w:tcW w:w="1871" w:type="dxa"/>
            <w:textDirection w:val="lrTb"/>
            <w:noWrap w:val="false"/>
          </w:tcPr>
          <w:p w14:paraId="6BF0289A">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45399"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192" w:type="dxa"/>
            <w:textDirection w:val="lrTb"/>
            <w:noWrap w:val="false"/>
          </w:tcPr>
          <w:p w14:paraId="52F1A109">
            <w:pPr>
              <w:pBdr/>
              <w:spacing w:line="312" w:lineRule="auto"/>
              <w:ind w:right="-103" w:firstLine="0" w:left="0"/>
              <w:jc w:val="both"/>
              <w:rPr>
                <w:b/>
                <w:lang w:val="da-DK"/>
              </w:rPr>
            </w:pPr>
            <w:r>
              <w:rPr>
                <w:b/>
                <w:lang w:val="da-DK"/>
              </w:rPr>
              <w:t xml:space="preserve">CÔNG TY CỔ PHẦN THẨM ĐỊNHVÀ ĐẦU TƯ TÀI CHÍNH HOA SEN</w:t>
            </w:r>
            <w:r>
              <w:rPr>
                <w:b/>
                <w:lang w:val="da-DK"/>
              </w:rPr>
            </w:r>
            <w:r>
              <w:rPr>
                <w:b/>
                <w:lang w:val="da-DK"/>
              </w:rPr>
            </w:r>
          </w:p>
          <w:p w14:paraId="45AE5BF5">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3A19B85A">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0C2979E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536"/>
        </w:trPr>
        <w:tc>
          <w:tcPr>
            <w:gridSpan w:val="2"/>
            <w:shd w:val="clear" w:color="ffffff" w:fill="ffffff"/>
            <w:tcBorders/>
            <w:tcMar>
              <w:left w:w="108" w:type="dxa"/>
              <w:top w:w="0" w:type="dxa"/>
              <w:right w:w="108" w:type="dxa"/>
              <w:bottom w:w="0" w:type="dxa"/>
            </w:tcMar>
            <w:tcW w:w="9955" w:type="dxa"/>
            <w:textDirection w:val="lrTb"/>
            <w:noWrap w:val="false"/>
          </w:tcPr>
          <w:p w14:paraId="1A6F48C2">
            <w:pPr>
              <w:pStyle w:val="1025"/>
              <w:pBdr/>
              <w:spacing w:after="60"/>
              <w:ind w:right="-40" w:firstLine="0" w:left="0"/>
              <w:jc w:val="left"/>
              <w:rPr>
                <w:color w:val="000000" w:themeColor="text1"/>
                <w:sz w:val="24"/>
                <w:szCs w:val="24"/>
                <w:lang w:val="vi-VN"/>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275/2026/0003/VFI-CT.21.A                                           </w:t>
            </w: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05 tháng 01 năm 2026</w:t>
            </w:r>
            <w:r>
              <w:rPr>
                <w:color w:val="000000" w:themeColor="text1"/>
                <w:sz w:val="24"/>
                <w:szCs w:val="24"/>
                <w:lang w:val="vi-VN"/>
              </w:rPr>
            </w:r>
            <w:r>
              <w:rPr>
                <w:color w:val="000000" w:themeColor="text1"/>
                <w:sz w:val="24"/>
                <w:szCs w:val="24"/>
                <w:lang w:val="vi-VN"/>
              </w:rPr>
            </w:r>
          </w:p>
        </w:tc>
      </w:tr>
    </w:tbl>
    <w:p w14:paraId="60EC0402" w14:textId="3594439F">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Đình Duy</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275/2026/0003/VFI-HĐTĐ.21.A</w:t>
      </w:r>
      <w:r>
        <w:rPr>
          <w:spacing w:val="-4"/>
          <w:lang w:val="vi-VN"/>
        </w:rPr>
        <w:t xml:space="preserve"> ký ngày </w:t>
      </w:r>
      <w:r>
        <w:rPr>
          <w:color w:val="000000" w:themeColor="text1"/>
          <w:spacing w:val="-4"/>
        </w:rPr>
        <w:t xml:space="preserve">30 tháng 12 năm 2025</w:t>
      </w:r>
      <w:r>
        <w:rPr>
          <w:spacing w:val="-4"/>
          <w:lang w:val="vi-VN"/>
        </w:rPr>
        <w:t xml:space="preserve"> </w:t>
      </w:r>
      <w:r>
        <w:rPr>
          <w:spacing w:val="-4"/>
          <w:lang w:val="vi-VN"/>
        </w:rPr>
        <w:t xml:space="preserve">giữa </w:t>
      </w:r>
      <w:r>
        <w:rPr>
          <w:color w:val="000000" w:themeColor="text1"/>
          <w:spacing w:val="-4"/>
        </w:rPr>
        <w:t xml:space="preserve">Ông Nguyễn Đình Duy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275/2026/0003/VFI-BC.21.A</w:t>
      </w:r>
      <w:r>
        <w:rPr>
          <w:spacing w:val="-2"/>
          <w:lang w:val="pt-BR"/>
        </w:rPr>
        <w:t xml:space="preserve"> </w:t>
      </w:r>
      <w:r>
        <w:rPr>
          <w:spacing w:val="-2"/>
          <w:lang w:val="pt-BR"/>
        </w:rPr>
        <w:t xml:space="preserve">ngày 05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ĐÌNH DUY</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034085001000</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14:paraId="720E582E">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14:paraId="29C31280">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14:paraId="6AAD01AC">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Cs/>
          <w:i w:val="0"/>
          <w:iCs w:val="0"/>
        </w:rPr>
        <w:t xml:space="preserve">Quyền sử dụng đất tại thửa đất số: 238, tờ bản đồ số 9 có địa chỉ: Thôn Phú Thụ, xã Lại Thượng, huyện Thạch Thất, tỉnh Hà Tây </w:t>
      </w:r>
      <w:r>
        <w:rPr>
          <w:bCs/>
          <w:i/>
          <w:iCs/>
        </w:rPr>
        <w:t xml:space="preserve">(Nay là xã Thạch Thất, Thành phố Hà Nội</w:t>
      </w:r>
      <w:r>
        <w:rPr>
          <w:bCs/>
          <w:i w:val="0"/>
          <w:iCs w:val="0"/>
        </w:rPr>
        <w:t xml:space="preserve">) theo Giấy chứng nhận quyền sử dụng đất số: AN 047490, số vào sổ cấp giấy chứng nhận q</w:t>
      </w:r>
      <w:r>
        <w:rPr>
          <w:bCs/>
          <w:i w:val="0"/>
          <w:iCs w:val="0"/>
        </w:rPr>
        <w:t xml:space="preserve">uyền sử dụng đất: H.01749/QSDĐ/1922/QĐ-UB do Uỷ ban nhân dân huyện Thạch Thất cấp ngày 28/7/2008; Chủ sử dụng đất là Ông Nguyễn Đình Duy và vợ là Bà Đoàn Thanh Phương (</w:t>
      </w:r>
      <w:r>
        <w:rPr>
          <w:bCs/>
          <w:i/>
          <w:iCs/>
        </w:rPr>
        <w:t xml:space="preserve">cập nhật ngày 28/12/2022)</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656"/>
        <w:gridCol w:w="2163"/>
        <w:gridCol w:w="2126"/>
        <w:gridCol w:w="1843"/>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42B2CB00">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56" w:type="dxa"/>
            <w:vAlign w:val="center"/>
            <w:textDirection w:val="lrTb"/>
            <w:noWrap w:val="false"/>
          </w:tcPr>
          <w:p w14:paraId="0F5B7B26">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14:paraId="5DAB6FAB">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56F60390">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4BF3EB6A">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60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B2EDE17">
            <w:pPr>
              <w:pBdr/>
              <w:spacing w:after="0" w:before="0" w:line="276"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945" w:type="dxa"/>
            <w:vAlign w:val="center"/>
            <w:textDirection w:val="lrTb"/>
            <w:noWrap w:val="false"/>
          </w:tcPr>
          <w:p w14:paraId="0C4B0EA7">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238, tờ bản đồ số 9 có địa chỉ: Thôn Phú Thụ, xã Lại Thượng, huyện Thạch Thất, tỉnh Hà Tây </w:t>
            </w:r>
            <w:r>
              <w:rPr>
                <w:rFonts w:ascii="Times New Roman" w:hAnsi="Times New Roman" w:eastAsia="Times New Roman" w:cs="Times New Roman"/>
                <w:b/>
                <w:i/>
                <w:iCs/>
                <w:color w:val="000000"/>
                <w:sz w:val="24"/>
              </w:rPr>
              <w:t xml:space="preserve">(Nay là xã Thạch Thất, Thành phố Hà Nội)</w:t>
            </w:r>
            <w:r>
              <w:rPr>
                <w:rFonts w:ascii="Times New Roman" w:hAnsi="Times New Roman" w:eastAsia="Times New Roman" w:cs="Times New Roman"/>
                <w:b/>
                <w:color w:val="000000"/>
                <w:sz w:val="24"/>
              </w:rPr>
              <w:t xml:space="preserve"> theo Giấy chứng nhận quyền sử dụng đất số: AN 047490, số vào sổ cấp giấy chứng nhận quyền</w:t>
            </w:r>
            <w:r>
              <w:rPr>
                <w:rFonts w:ascii="Times New Roman" w:hAnsi="Times New Roman" w:eastAsia="Times New Roman" w:cs="Times New Roman"/>
                <w:b/>
                <w:color w:val="000000"/>
                <w:sz w:val="24"/>
              </w:rPr>
              <w:t xml:space="preserve"> sử dụng đất: H.01749/QSDĐ/1922/QĐ-UB do Uỷ ban nhân dân huyện Thạch Thất cấp ngày 28/7/2008; Chủ sử dụng đất là Ông Nguyễn Đình Duy và vợ là Bà Đoàn Thanh Phương </w:t>
            </w:r>
            <w:r>
              <w:rPr>
                <w:rFonts w:ascii="Times New Roman" w:hAnsi="Times New Roman" w:eastAsia="Times New Roman" w:cs="Times New Roman"/>
                <w:b/>
                <w:i/>
                <w:iCs/>
                <w:color w:val="000000"/>
                <w:sz w:val="24"/>
              </w:rPr>
              <w:t xml:space="preserve">(cập nhật ngày 28/12/2022).</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2916C629">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1AF2EBA">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656" w:type="dxa"/>
            <w:vAlign w:val="center"/>
            <w:textDirection w:val="lrTb"/>
            <w:noWrap w:val="false"/>
          </w:tcPr>
          <w:p w14:paraId="64588AE3">
            <w:pPr>
              <w:pBdr/>
              <w:spacing w:after="0" w:before="0" w:line="276"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2163" w:type="dxa"/>
            <w:vAlign w:val="center"/>
            <w:textDirection w:val="lrTb"/>
            <w:noWrap/>
          </w:tcPr>
          <w:p w14:paraId="33929493">
            <w:pPr>
              <w:pBdr/>
              <w:spacing w:after="0" w:before="0" w:line="276" w:lineRule="auto"/>
              <w:ind/>
              <w:jc w:val="center"/>
              <w:rPr/>
            </w:pPr>
            <w:r>
              <w:rPr>
                <w:rFonts w:ascii="Times New Roman" w:hAnsi="Times New Roman" w:eastAsia="Times New Roman" w:cs="Times New Roman"/>
                <w:color w:val="000000"/>
                <w:sz w:val="24"/>
              </w:rPr>
              <w:t xml:space="preserve">186,0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4CA225AE">
            <w:pPr>
              <w:pBdr/>
              <w:spacing w:after="0" w:before="0" w:line="276" w:lineRule="auto"/>
              <w:ind/>
              <w:jc w:val="center"/>
              <w:rPr/>
            </w:pPr>
            <w:r>
              <w:rPr>
                <w:rFonts w:ascii="Times New Roman" w:hAnsi="Times New Roman" w:eastAsia="Times New Roman" w:cs="Times New Roman"/>
                <w:color w:val="000000"/>
                <w:sz w:val="24"/>
              </w:rPr>
              <w:t xml:space="preserve">22.600.000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3BC5B4F7">
            <w:pPr>
              <w:pBdr/>
              <w:spacing w:after="0" w:before="0" w:line="276" w:lineRule="auto"/>
              <w:ind/>
              <w:jc w:val="center"/>
              <w:rPr/>
            </w:pPr>
            <w:r>
              <w:rPr>
                <w:rFonts w:ascii="Times New Roman" w:hAnsi="Times New Roman" w:eastAsia="Times New Roman" w:cs="Times New Roman"/>
                <w:color w:val="000000"/>
                <w:sz w:val="24"/>
              </w:rPr>
              <w:t xml:space="preserve">4.203.600.000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682" w:type="dxa"/>
            <w:vAlign w:val="center"/>
            <w:textDirection w:val="lrTb"/>
            <w:noWrap/>
          </w:tcPr>
          <w:p w14:paraId="74B4A521">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14:paraId="02F23A81">
            <w:pPr>
              <w:pBdr/>
              <w:spacing w:after="0" w:before="0" w:line="276" w:lineRule="auto"/>
              <w:ind/>
              <w:jc w:val="center"/>
              <w:rPr/>
            </w:pPr>
            <w:r>
              <w:rPr>
                <w:rFonts w:ascii="Times New Roman" w:hAnsi="Times New Roman" w:eastAsia="Times New Roman" w:cs="Times New Roman"/>
                <w:b/>
                <w:color w:val="000000"/>
                <w:sz w:val="24"/>
              </w:rPr>
              <w:t xml:space="preserve">4.203.600.000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682" w:type="dxa"/>
            <w:vAlign w:val="center"/>
            <w:textDirection w:val="lrTb"/>
            <w:noWrap/>
          </w:tcPr>
          <w:p w14:paraId="6849A857">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14:paraId="3F89A298">
            <w:pPr>
              <w:pBdr/>
              <w:spacing w:after="0" w:before="0" w:line="276" w:lineRule="auto"/>
              <w:ind/>
              <w:jc w:val="center"/>
              <w:rPr/>
            </w:pPr>
            <w:r>
              <w:rPr>
                <w:rFonts w:ascii="Times New Roman" w:hAnsi="Times New Roman" w:eastAsia="Times New Roman" w:cs="Times New Roman"/>
                <w:b/>
                <w:color w:val="000000"/>
                <w:sz w:val="24"/>
              </w:rPr>
              <w:t xml:space="preserve">4.204.000.000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6FE60D00">
            <w:pPr>
              <w:pBdr/>
              <w:spacing w:after="0" w:before="0" w:line="276" w:lineRule="auto"/>
              <w:ind/>
              <w:jc w:val="center"/>
              <w:rPr/>
            </w:pPr>
            <w:r>
              <w:rPr>
                <w:rFonts w:ascii="Times New Roman" w:hAnsi="Times New Roman" w:eastAsia="Times New Roman" w:cs="Times New Roman"/>
                <w:b/>
                <w:i/>
                <w:color w:val="000000"/>
                <w:sz w:val="24"/>
              </w:rPr>
              <w:t xml:space="preserve">(Bằng chữ: Bốn tỷ, hai trăm linh bốn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14:paraId="464A8BE7">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148" w:type="pct"/>
        <w:tblBorders/>
        <w:tblLayout w:type="fixed"/>
        <w:tblLook w:val="01E0" w:firstRow="1" w:lastRow="1" w:firstColumn="1" w:lastColumn="1" w:noHBand="0" w:noVBand="0"/>
      </w:tblPr>
      <w:tblGrid>
        <w:gridCol w:w="4687"/>
        <w:gridCol w:w="5120"/>
      </w:tblGrid>
      <w:tr>
        <w:trPr>
          <w:trHeight w:val="20"/>
        </w:trPr>
        <w:tc>
          <w:tcPr>
            <w:tcBorders/>
            <w:tcW w:w="4687" w:type="dxa"/>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20" w:type="dxa"/>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20" w:type="dxa"/>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20" w:type="dxa"/>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63" w:type="dxa"/>
        <w:tblBorders/>
        <w:tblLayout w:type="fixed"/>
        <w:tblLook w:val="04A0" w:firstRow="1" w:lastRow="0" w:firstColumn="1" w:lastColumn="0" w:noHBand="0" w:noVBand="1"/>
      </w:tblPr>
      <w:tblGrid>
        <w:gridCol w:w="108"/>
        <w:gridCol w:w="1763"/>
        <w:gridCol w:w="8192"/>
      </w:tblGrid>
      <w:tr>
        <w:trPr>
          <w:trHeight w:val="1506"/>
        </w:trPr>
        <w:tc>
          <w:tcPr>
            <w:gridSpan w:val="2"/>
            <w:tcBorders/>
            <w:tcW w:w="1871"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192" w:type="dxa"/>
            <w:textDirection w:val="lrTb"/>
            <w:noWrap w:val="false"/>
          </w:tcPr>
          <w:p w14:paraId="594FA112" w14:textId="77777777">
            <w:pPr>
              <w:pBdr/>
              <w:spacing w:line="312" w:lineRule="auto"/>
              <w:ind w:right="-103" w:firstLine="0" w:left="0"/>
              <w:jc w:val="both"/>
              <w:rPr>
                <w:b/>
                <w:lang w:val="da-DK"/>
              </w:rPr>
            </w:pPr>
            <w:r>
              <w:rPr>
                <w:b/>
                <w:lang w:val="da-DK"/>
              </w:rPr>
              <w:t xml:space="preserve">CÔNG TY CỔ PHẦN THẨM ĐỊNHVÀ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536"/>
        </w:trPr>
        <w:tc>
          <w:tcPr>
            <w:gridSpan w:val="2"/>
            <w:shd w:val="clear" w:color="auto" w:fill="auto"/>
            <w:tcBorders/>
            <w:tcMar>
              <w:left w:w="108" w:type="dxa"/>
              <w:top w:w="0" w:type="dxa"/>
              <w:right w:w="108" w:type="dxa"/>
              <w:bottom w:w="0" w:type="dxa"/>
            </w:tcMar>
            <w:tcW w:w="9955" w:type="dxa"/>
            <w:textDirection w:val="lrTb"/>
            <w:noWrap w:val="false"/>
          </w:tcPr>
          <w:p w14:paraId="45E9765C">
            <w:pPr>
              <w:pStyle w:val="1025"/>
              <w:pBdr/>
              <w:spacing w:after="60"/>
              <w:ind w:right="-40" w:firstLine="0" w:left="0"/>
              <w:jc w:val="left"/>
              <w:rPr>
                <w:color w:val="000000" w:themeColor="text1"/>
                <w:sz w:val="24"/>
                <w:szCs w:val="24"/>
                <w:lang w:val="vi-VN"/>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275/2026/0003/VFI-BC.21.A                                           </w:t>
            </w: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05 tháng 01 năm 2026</w:t>
            </w:r>
            <w:r>
              <w:rPr>
                <w:color w:val="000000" w:themeColor="text1"/>
                <w:sz w:val="24"/>
                <w:szCs w:val="24"/>
                <w:lang w:val="vi-VN"/>
              </w:rPr>
            </w:r>
            <w:r>
              <w:rPr>
                <w:color w:val="000000" w:themeColor="text1"/>
                <w:sz w:val="24"/>
                <w:szCs w:val="24"/>
                <w:lang w:val="vi-VN"/>
              </w:rPr>
            </w:r>
            <w:r>
              <w:rPr>
                <w:rStyle w:val="1024"/>
                <w:rFonts w:ascii="Times New Roman" w:hAnsi="Times New Roman"/>
                <w:i/>
                <w:color w:val="auto"/>
              </w:rPr>
            </w:r>
            <w:r>
              <w:rPr>
                <w:color w:val="000000" w:themeColor="text1"/>
                <w:sz w:val="24"/>
                <w:szCs w:val="24"/>
                <w:lang w:val="vi-VN"/>
              </w:rPr>
            </w:r>
            <w:r>
              <w:rPr>
                <w:color w:val="000000" w:themeColor="text1"/>
                <w:sz w:val="24"/>
                <w:szCs w:val="24"/>
                <w:lang w:val="vi-VN"/>
              </w:rPr>
            </w:r>
          </w:p>
        </w:tc>
      </w:tr>
    </w:tbl>
    <w:p w14:paraId="53E21BF3" w14:textId="59EB6EC9">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275/2026/0003/VFI-CT.21.A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05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4FF1B161">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41D73CB">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14:paraId="16104012">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14:paraId="52258B68">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14:paraId="79C684E3">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14:paraId="5E3DDB21">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14:paraId="621972A2" w14:textId="7EAC10D2">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5F2AA84">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55EDCA6E">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2CE7520">
            <w:pPr>
              <w:pBdr/>
              <w:spacing/>
              <w:ind/>
              <w:rPr/>
            </w:pPr>
            <w:r>
              <w:rPr>
                <w:b/>
                <w:bCs/>
              </w:rPr>
              <w:t xml:space="preserve">ÔNG NGUYỄN ĐÌNH DUY</w:t>
            </w:r>
            <w:r/>
          </w:p>
        </w:tc>
      </w:tr>
      <w:tr>
        <w:trPr>
          <w:trHeight w:val="20"/>
        </w:trPr>
        <w:tc>
          <w:tcPr>
            <w:tcBorders/>
            <w:tcW w:w="2518" w:type="dxa"/>
            <w:vAlign w:val="center"/>
            <w:textDirection w:val="lrTb"/>
            <w:noWrap w:val="false"/>
          </w:tcPr>
          <w:p w14:paraId="2C419DAC">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14:paraId="33D8573D">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49B2F269">
            <w:pPr>
              <w:pBdr/>
              <w:spacing w:after="40" w:before="40" w:line="276" w:lineRule="auto"/>
              <w:ind/>
              <w:jc w:val="both"/>
              <w:rPr>
                <w:color w:val="ff0000"/>
                <w:lang w:val="pt-BR"/>
              </w:rPr>
            </w:pPr>
            <w:r>
              <w:rPr>
                <w:color w:val="000000" w:themeColor="text1"/>
                <w:lang w:val="vi-VN"/>
              </w:rPr>
              <w:t xml:space="preserve">034085001000</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1F8ABCC">
            <w:pPr>
              <w:pBdr/>
              <w:spacing/>
              <w:ind/>
              <w:jc w:val="both"/>
              <w:rPr/>
            </w:pPr>
            <w:r>
              <w:rPr>
                <w:color w:val="000000" w:themeColor="text1"/>
              </w:rPr>
            </w:r>
            <w:r>
              <w:rPr>
                <w:bCs/>
                <w:i w:val="0"/>
                <w:iCs w:val="0"/>
              </w:rPr>
              <w:t xml:space="preserve">Quyền sử dụng đất tại thửa đất số: 238, tờ bản đồ số 9 có địa chỉ: Thôn Phú Thụ, xã Lại Thượng, huyện Thạch Thất, tỉnh Hà Tây </w:t>
            </w:r>
            <w:r>
              <w:rPr>
                <w:bCs/>
                <w:i/>
                <w:iCs/>
              </w:rPr>
              <w:t xml:space="preserve">(Nay là xã Thạch Thất, Thành phố Hà Nội</w:t>
            </w:r>
            <w:r>
              <w:rPr>
                <w:bCs/>
                <w:i w:val="0"/>
                <w:iCs w:val="0"/>
              </w:rPr>
              <w:t xml:space="preserve">) theo Giấy chứng nhận quyền sử dụng đất số: AN 047490, số vào sổ cấp giấy chứng nhận q</w:t>
            </w:r>
            <w:r>
              <w:rPr>
                <w:bCs/>
                <w:i w:val="0"/>
                <w:iCs w:val="0"/>
              </w:rPr>
              <w:t xml:space="preserve">uyền sử dụng đất: H.01749/QSDĐ/1922/QĐ-UB do Uỷ ban nhân dân huyện Thạch Thất cấp ngày 28/7/2008; Chủ sử dụng đất là Ông Nguyễn Đình Duy và vợ là Bà Đoàn Thanh Phương (</w:t>
            </w:r>
            <w:r>
              <w:rPr>
                <w:bCs/>
                <w:i/>
                <w:iCs/>
              </w:rPr>
              <w:t xml:space="preserve">cập nhật ngày 28/12/2022)</w:t>
            </w:r>
            <w:r>
              <w:rPr>
                <w:i/>
                <w:iCs/>
              </w:rPr>
              <w:t xml:space="preserve">.</w:t>
            </w: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Thạch Thất,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21.078711, 105.547463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7494B17B" w14:textId="41F9AB61">
      <w:pPr>
        <w:pStyle w:val="102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6"/>
        <w:numPr>
          <w:ilvl w:val="0"/>
          <w:numId w:val="2"/>
        </w:numPr>
        <w:pBdr/>
        <w:tabs>
          <w:tab w:val="left" w:leader="none" w:pos="993"/>
        </w:tabs>
        <w:spacing w:after="120" w:before="120" w:line="276" w:lineRule="auto"/>
        <w:ind/>
        <w:jc w:val="both"/>
        <w:rPr>
          <w:i/>
          <w:iCs/>
          <w:lang w:val="pt-BR"/>
        </w:rPr>
      </w:pPr>
      <w:r>
        <w:rPr>
          <w:lang w:val="pt-BR"/>
        </w:rPr>
      </w:r>
      <w:r>
        <w:rPr>
          <w:bCs/>
          <w:i w:val="0"/>
          <w:iCs w:val="0"/>
        </w:rPr>
        <w:t xml:space="preserve">Giấy chứng nhận quyền sử dụng đất số: AN 047490, số vào sổ cấp giấy chứng nhận q</w:t>
      </w:r>
      <w:r>
        <w:rPr>
          <w:bCs/>
          <w:i w:val="0"/>
          <w:iCs w:val="0"/>
        </w:rPr>
        <w:t xml:space="preserve">uyền sử dụng đất: H.01749/QSDĐ/1922/QĐ-UB do Uỷ ban nhân dân huyện Thạch Thất cấp ngày 28/7/2008; Chủ sử dụng đất là Ông Nguyễn Đình Duy và vợ là Bà Đoàn Thanh Phương (</w:t>
      </w:r>
      <w:r>
        <w:rPr>
          <w:bCs/>
          <w:i/>
          <w:iCs/>
        </w:rPr>
        <w:t xml:space="preserve">cập nhật ngày 28/12/2022)</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275/2026/0003/VFI-HĐTĐ.21.A</w:t>
      </w:r>
      <w:r>
        <w:rPr>
          <w:spacing w:val="-4"/>
          <w:lang w:val="vi-VN"/>
        </w:rPr>
        <w:t xml:space="preserve"> ký ngày </w:t>
      </w:r>
      <w:r>
        <w:rPr>
          <w:color w:val="000000" w:themeColor="text1"/>
          <w:spacing w:val="-4"/>
        </w:rPr>
        <w:t xml:space="preserve">30 tháng 12 năm 2025</w:t>
      </w:r>
      <w:r>
        <w:rPr>
          <w:spacing w:val="-4"/>
          <w:lang w:val="vi-VN"/>
        </w:rPr>
        <w:t xml:space="preserve"> </w:t>
      </w:r>
      <w:r>
        <w:rPr>
          <w:spacing w:val="-4"/>
          <w:lang w:val="vi-VN"/>
        </w:rPr>
        <w:t xml:space="preserve">giữa </w:t>
      </w:r>
      <w:r>
        <w:rPr>
          <w:color w:val="000000" w:themeColor="text1"/>
          <w:spacing w:val="-4"/>
        </w:rPr>
        <w:t xml:space="preserve">Ông Nguyễn Đình Duy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14:paraId="7BDC3A25" w14:textId="77D2CF95">
      <w:pPr>
        <w:pStyle w:val="102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E47C99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i/>
          <w:color w:val="000000"/>
          <w:sz w:val="24"/>
        </w:rPr>
        <w:t xml:space="preserve">Bất động sản Hà Nội 2025: Những điểm nhấn nổi bật nửa đầu năm</w:t>
      </w:r>
      <w:r/>
    </w:p>
    <w:p w14:paraId="08B2466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chững, người mua thận trọng khi xuống tiền</w:t>
      </w:r>
      <w:r/>
    </w:p>
    <w:p w14:paraId="3532F6A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w:t>
      </w:r>
      <w:r>
        <w:rPr>
          <w:rFonts w:ascii="Times New Roman" w:hAnsi="Times New Roman" w:eastAsia="Times New Roman" w:cs="Times New Roman"/>
          <w:color w:val="000000"/>
          <w:sz w:val="24"/>
        </w:rPr>
        <w:t xml:space="preserve">Con số này giảm 14% so với cùng kỳ năm 2024. 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w:t>
      </w:r>
      <w:r>
        <w:rPr>
          <w:rFonts w:ascii="Times New Roman" w:hAnsi="Times New Roman" w:eastAsia="Times New Roman" w:cs="Times New Roman"/>
          <w:color w:val="000000"/>
          <w:sz w:val="24"/>
        </w:rPr>
        <w:t xml:space="preserve"> vẫn đang tiếp diễn. Bên cạnh đó, giá bất động sản Hà Nội đặc biệt là phân khúc chung cư tăng mạnh trong thời gian dài cũng khiến người mua nhà gặp nhiều khó khăn hơn khi muốn tiếp cận sản phẩm.</w:t>
      </w:r>
      <w:r/>
    </w:p>
    <w:p w14:paraId="475739F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Thanh khoản phân hóa theo khu vực</w:t>
      </w:r>
      <w:r/>
    </w:p>
    <w:p w14:paraId="0BB950F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w:t>
      </w:r>
      <w:r>
        <w:rPr>
          <w:rFonts w:ascii="Times New Roman" w:hAnsi="Times New Roman" w:eastAsia="Times New Roman" w:cs="Times New Roman"/>
          <w:color w:val="000000"/>
          <w:sz w:val="24"/>
        </w:rPr>
        <w:t xml:space="preserve">ích cực hơn, đặc biệt là trong phân khúc nhà ở gắn liền với đất và căn hộ trung cấp. Theo One Mount Group, lượng tiêu thụ căn hộ mở mới trong quý 1/2025 giảm khoảng 3.200 căn, tương ứng 71% theo quý và 23% theo năm. Tỷ lệ hấp thụ lũy kế trong quý chỉ đạt 8</w:t>
      </w:r>
      <w:r>
        <w:rPr>
          <w:rFonts w:ascii="Times New Roman" w:hAnsi="Times New Roman" w:eastAsia="Times New Roman" w:cs="Times New Roman"/>
          <w:color w:val="000000"/>
          <w:sz w:val="24"/>
        </w:rPr>
        <w:t xml:space="preserve">0%. 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14:paraId="3F1188E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Nguồn cung dự án mới cải thiện nhưng chưa bùng nổ</w:t>
      </w:r>
      <w:r/>
    </w:p>
    <w:p w14:paraId="6A1D01B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 Các dự án mới tập trung ở một số dự án lớn t</w:t>
      </w:r>
      <w:r>
        <w:rPr>
          <w:rFonts w:ascii="Times New Roman" w:hAnsi="Times New Roman" w:eastAsia="Times New Roman" w:cs="Times New Roman"/>
          <w:color w:val="000000"/>
          <w:sz w:val="24"/>
        </w:rPr>
        <w:t xml:space="preserve">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w:t>
      </w:r>
      <w:r>
        <w:rPr>
          <w:rFonts w:ascii="Times New Roman" w:hAnsi="Times New Roman" w:eastAsia="Times New Roman" w:cs="Times New Roman"/>
          <w:color w:val="000000"/>
          <w:sz w:val="24"/>
        </w:rPr>
        <w:t xml:space="preserve">ở lại.</w:t>
      </w:r>
      <w:r/>
    </w:p>
    <w:p w14:paraId="42E83E2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từ nhu cầu thực</w:t>
      </w:r>
      <w:r/>
    </w:p>
    <w:p w14:paraId="2A65040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trực tuyến của Batdongsan.com.vn, từ đầu tháng 3, lượt tìm kiếm BĐS Hà Nội hồi phục trở lại khi ghi nhận mức tăng 27% so với tháng 2. Số liệu từ Savills và các sàn giao dịch lớn cho thấy mức độ quan tâm tới căn hộ trung cấp và nhà thấp tầng đ</w:t>
      </w:r>
      <w:r>
        <w:rPr>
          <w:rFonts w:ascii="Times New Roman" w:hAnsi="Times New Roman" w:eastAsia="Times New Roman" w:cs="Times New Roman"/>
          <w:color w:val="000000"/>
          <w:sz w:val="24"/>
        </w:rPr>
        <w:t xml:space="preserve">ang tăng lên, nhất là ở nhóm khách hàng mua để ở, thay vì đầu cơ. Đây là chỉ dấu tích cực cho thấy thị trường đang trở lại nền tảng thực – thay vì các cơn “sốt ảo” như giai đoạn 2020–2021. Giá nhà đất, đặc biệt là căn hộ tăng cao trong khi nguồn cung khan </w:t>
      </w:r>
      <w:r>
        <w:rPr>
          <w:rFonts w:ascii="Times New Roman" w:hAnsi="Times New Roman" w:eastAsia="Times New Roman" w:cs="Times New Roman"/>
          <w:color w:val="000000"/>
          <w:sz w:val="24"/>
        </w:rPr>
        <w:t xml:space="preserve">hiếm và tâm lý thận trọng của người mua khiến nhu cầu mua trong giai đoạn này không còn nặng tính đầu cơ, chủ yếu là người có nhu cầu thực mua để an cư. Nhìn chung, thị trường bất động sản Hà Nội đầu năm 2025 đang vận động trong trạng thái ổn định – thanh </w:t>
      </w:r>
      <w:r>
        <w:rPr>
          <w:rFonts w:ascii="Times New Roman" w:hAnsi="Times New Roman" w:eastAsia="Times New Roman" w:cs="Times New Roman"/>
          <w:color w:val="000000"/>
          <w:sz w:val="24"/>
        </w:rPr>
        <w:t xml:space="preserve">lọc – tích lũy, với thanh khoản tập trung tại các phân khúc có giá hợp lý và pháp lý rõ ràng. Tâm lý người mua cải thiện, nhưng vẫn chọn lọc và thận trọng trước khi xuống tiền.</w:t>
      </w:r>
      <w:r/>
    </w:p>
    <w:p w14:paraId="4B45054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t xml:space="preserve">Nhận định chuyên gia và dự báo thị trường BĐS Hà Nội 2025</w:t>
      </w:r>
      <w:r/>
    </w:p>
    <w:p w14:paraId="243DC58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r>
      <w:r>
        <w:rPr>
          <w:rFonts w:ascii="Times New Roman" w:hAnsi="Times New Roman" w:eastAsia="Times New Roman" w:cs="Times New Roman"/>
          <w:color w:val="000000"/>
          <w:sz w:val="24"/>
        </w:rPr>
        <w:t xml:space="preserve">Trong bối cảnh thị trường đang từng bước ổn định và dần định hình sau giai đoạn siết tín dụng và thanh lọc đầu tư, các chuyên gia cho rằng năm 2025 sẽ là “bản lề” quan trọng cho chu kỳ phục hồi của BĐS Hà Nội.</w:t>
      </w:r>
      <w:r/>
    </w:p>
    <w:p w14:paraId="31D266B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bền vững từ nhu cầu thực</w:t>
      </w:r>
      <w:r/>
    </w:p>
    <w:p w14:paraId="466D3BA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của Savills Việt Nam và các đơn vị nghiên cứu thị trường lớn như DKRA, Batdongsan.com.vn, lượng quan tâm tới bất động sản tại Hà Nội đã tăng trở lại trong quý 1/2025, đặc biệt ở nhóm khách hàng mua để ở và tích sản trung – dài hạn. “Nhu cầu t</w:t>
      </w:r>
      <w:r>
        <w:rPr>
          <w:rFonts w:ascii="Times New Roman" w:hAnsi="Times New Roman" w:eastAsia="Times New Roman" w:cs="Times New Roman"/>
          <w:color w:val="000000"/>
          <w:sz w:val="24"/>
        </w:rPr>
        <w:t xml:space="preserve">hực vẫn đang chiếm tỷ trọng lớn. Người mua hiện nay không còn chạy theo ‘sóng ngắn’ mà có xu hướng lựa chọn sản phẩm rõ pháp lý, chủ đầu tư uy tín và vị trí kết nối tốt,” – ông Troy Griffiths, Phó Tổng giám đốc Savills Việt Nam nhận định.</w:t>
      </w:r>
      <w:r/>
    </w:p>
    <w:p w14:paraId="6FD5BF3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Sự trở lại thận trọng của nhà đầu tư F0, F1</w:t>
      </w:r>
      <w:r/>
    </w:p>
    <w:p w14:paraId="2888300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Mặc dù thị trường chưa xuất hiện làn sóng đầu tư ồ ạt, nhưng nhà đầu tư F0 và F1 bắt đầu quay trở lại, đặc biệt ở các phân khúc như đất nền ven đô, căn hộ trung cấp có hỗ trợ tài chính. Tuy nhiên, so với giai đoạn 2021–2022, dòng tiền hiện nay tập trung h</w:t>
      </w:r>
      <w:r>
        <w:rPr>
          <w:rFonts w:ascii="Times New Roman" w:hAnsi="Times New Roman" w:eastAsia="Times New Roman" w:cs="Times New Roman"/>
          <w:color w:val="000000"/>
          <w:sz w:val="24"/>
        </w:rPr>
        <w:t xml:space="preserve">ơn, chọn lọc hơn và hướng tới mức sinh lời ổn định thay vì kỳ vọng siêu lợi nhuận.</w:t>
      </w:r>
      <w:r/>
    </w:p>
    <w:p w14:paraId="1B0DF6B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Tác động từ chính sách và tín dụng</w:t>
      </w:r>
      <w:r/>
    </w:p>
    <w:p w14:paraId="00BB8C6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Chính sách vĩ mô sẽ tiếp tục là yếu tố then chốt chi phối thị trường. Việc Ngân hàng Nhà nước giảm lãi suất điều hành từ quý 4/2024 đã bắt đầu có tác dụng kích cầu, tuy nhiên tín dụng bất động sản vẫn đang bị kiểm soát chặt với những phân khúc có yếu tố đ</w:t>
      </w:r>
      <w:r>
        <w:rPr>
          <w:rFonts w:ascii="Times New Roman" w:hAnsi="Times New Roman" w:eastAsia="Times New Roman" w:cs="Times New Roman"/>
          <w:color w:val="000000"/>
          <w:sz w:val="24"/>
        </w:rPr>
        <w:t xml:space="preserve">ầu cơ cao. Đồng thời, Luật Đất đai 2024 (có hiệu lực từ 1/1/2025) cũng tạo kỳ vọng giúp tháo gỡ các vướng mắc pháp lý, đẩy nhanh quá trình phê duyệt dự án và cải thiện nguồn cung trong trung hạn.</w:t>
      </w:r>
      <w:r/>
    </w:p>
    <w:p w14:paraId="7D21C6C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Ba kịch bản phát triển từ 2025–2030</w:t>
      </w:r>
      <w:r/>
    </w:p>
    <w:p w14:paraId="65C2B03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nhóm chuyên gia tại Hội Môi giới Bất động sản Việt Nam (VARS), thị trường Hà Nội có thể diễn biến theo ba kịch bản chính:</w:t>
      </w:r>
      <w:r/>
    </w:p>
    <w:p w14:paraId="3F89744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nhất là thị trường ổn định – phục hồi chậm: Nếu chính sách tiếp tục thận trọng, thị trường sẽ tăng trưởng nhẹ và bền vững trong 2–3 năm tới.</w:t>
      </w:r>
      <w:r/>
    </w:p>
    <w:p w14:paraId="73FAD05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hai là thị trường phục hồi mạnh: Trong trường hợp tín dụng được nới lỏng, pháp lý được tháo gỡ triệt để, thị trường có thể phục hồi rõ nét từ 2026.</w:t>
      </w:r>
      <w:r/>
    </w:p>
    <w:p w14:paraId="2E62A1C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ba là thị trường tăng trưởng nóng trở lại: Nếu xuất hiện cú hích lớn từ chính sách ưu đãi (gói tín dụng, ưu đãi thuế…), thị trường có thể bùng nổ, nhưng cũng kèm theo rủi ro nếu không kiểm soát tốt đầu cơ.</w:t>
      </w:r>
      <w:r/>
    </w:p>
    <w:p w14:paraId="1A9A458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Hà Nội đầu 2025 đang đi theo hướng phục hồi chậm nhưng chắc, với sự dẫn dắt từ nhu cầu thực và yếu tố pháp lý. Đây là thời điểm nhà đầu tư cần “chơi dài hơi” – đặt niềm tin vào những khu vực có quy hoạch rõ ràng, pháp lý minh bạch </w:t>
      </w:r>
      <w:r>
        <w:rPr>
          <w:rFonts w:ascii="Times New Roman" w:hAnsi="Times New Roman" w:eastAsia="Times New Roman" w:cs="Times New Roman"/>
          <w:color w:val="000000"/>
          <w:sz w:val="24"/>
        </w:rPr>
        <w:t xml:space="preserve">và tiềm năng tăng trưởng bền vững. Như vậy, dù còn nhiều khó khăn nhưng thị trường bất động sản Hà Nội trong nửa đầu năm 2025 cho thấy nhiều tín hiệu tích cực sau giai đoạn điều chỉnh kéo dài. Dù chưa có sự bùng nổ rõ nét, nhưng sự ổn định về thanh khoản, </w:t>
      </w:r>
      <w:r>
        <w:rPr>
          <w:rFonts w:ascii="Times New Roman" w:hAnsi="Times New Roman" w:eastAsia="Times New Roman" w:cs="Times New Roman"/>
          <w:color w:val="000000"/>
          <w:sz w:val="24"/>
        </w:rPr>
        <w:t xml:space="preserve">sự trở lại của nhà đầu tư cá nhân, cùng với các chính sách tháo gỡ pháp lý và tín dụng đang dần tạo dựng nền tảng cho một chu kỳ tăng trưởng bền vững hơn.</w:t>
      </w:r>
      <w:r/>
    </w:p>
    <w:p w14:paraId="0CE215F1">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 tham khảo: https://batdongsan.com.vn/tin-tuc/thi-truong-bat-dong-san-ha-noi-836237)</w:t>
      </w:r>
      <w:r>
        <w:rPr>
          <w:i/>
          <w:iCs/>
          <w:lang w:val="pt-BR"/>
        </w:rPr>
      </w:r>
      <w:r>
        <w:rPr>
          <w:bCs/>
          <w:i/>
          <w:lang w:val="pt-BR"/>
        </w:rPr>
      </w:r>
    </w:p>
    <w:p w14:paraId="20BF0D54" w14:textId="312C63AB">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7A648F07">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238, tờ bản đồ số 9 có địa chỉ: Thôn Phú Thụ, xã Lại Thượng, huyện Thạch Thất, tỉnh Hà Tây</w:t>
            </w:r>
            <w:r>
              <w:rPr>
                <w:rFonts w:ascii="Times New Roman" w:hAnsi="Times New Roman" w:eastAsia="Times New Roman" w:cs="Times New Roman"/>
                <w:b/>
                <w:i/>
                <w:iCs/>
                <w:color w:val="000000"/>
                <w:sz w:val="24"/>
              </w:rPr>
              <w:t xml:space="preserve"> (Nay là xã Thạch Thất, Thành phố Hà Nội)</w:t>
            </w:r>
            <w:r>
              <w:rPr>
                <w:rFonts w:ascii="Times New Roman" w:hAnsi="Times New Roman" w:eastAsia="Times New Roman" w:cs="Times New Roman"/>
                <w:b/>
                <w:color w:val="000000"/>
                <w:sz w:val="24"/>
              </w:rPr>
              <w:t xml:space="preserve"> theo Giấy chứng nhận quyền sử dụng đất số: AN 047490, số vào sổ cấp giấy chứng nhận quyền</w:t>
            </w:r>
            <w:r>
              <w:rPr>
                <w:rFonts w:ascii="Times New Roman" w:hAnsi="Times New Roman" w:eastAsia="Times New Roman" w:cs="Times New Roman"/>
                <w:b/>
                <w:color w:val="000000"/>
                <w:sz w:val="24"/>
              </w:rPr>
              <w:t xml:space="preserve"> sử dụng đất: H.01749/QSDĐ/1922/QĐ-UB do Uỷ ban nhân dân huyện Thạch Thất cấp ngày 28/7/2008; Chủ sử dụng đất là Ông Nguyễn Đình Duy và vợ là Bà Đoàn Thanh Phương </w:t>
            </w:r>
            <w:r>
              <w:rPr>
                <w:rFonts w:ascii="Times New Roman" w:hAnsi="Times New Roman" w:eastAsia="Times New Roman" w:cs="Times New Roman"/>
                <w:b/>
                <w:i/>
                <w:iCs/>
                <w:color w:val="000000"/>
                <w:sz w:val="24"/>
              </w:rPr>
              <w:t xml:space="preserve">(cập nhật ngày 28/12/2022).</w:t>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238</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9</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36652A8E">
            <w:pPr>
              <w:pBdr/>
              <w:spacing w:after="0" w:before="0" w:line="240" w:lineRule="auto"/>
              <w:ind/>
              <w:jc w:val="both"/>
              <w:rPr/>
            </w:pPr>
            <w:r>
              <w:rPr>
                <w:rFonts w:ascii="Times New Roman" w:hAnsi="Times New Roman" w:eastAsia="Times New Roman" w:cs="Times New Roman"/>
                <w:color w:val="000000"/>
                <w:sz w:val="24"/>
              </w:rPr>
              <w:t xml:space="preserve">Thôn Phú Thụ, xã Lại Thượng, huyện Thạch Thất, tỉnh Hà Tây</w:t>
            </w:r>
            <w:r>
              <w:rPr>
                <w:rFonts w:ascii="Times New Roman" w:hAnsi="Times New Roman" w:eastAsia="Times New Roman" w:cs="Times New Roman"/>
                <w:i/>
                <w:color w:val="000000"/>
                <w:sz w:val="24"/>
              </w:rPr>
              <w:t xml:space="preserve"> (Nay là xã Thạch Thất, Thành phố Hà Nội)</w:t>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60500E8">
            <w:pPr>
              <w:pBdr/>
              <w:spacing w:after="0" w:before="0" w:line="240" w:lineRule="auto"/>
              <w:ind/>
              <w:jc w:val="center"/>
              <w:rPr/>
            </w:pPr>
            <w:r>
              <w:rPr>
                <w:rFonts w:ascii="Times New Roman" w:hAnsi="Times New Roman" w:eastAsia="Times New Roman" w:cs="Times New Roman"/>
                <w:color w:val="000000"/>
                <w:sz w:val="24"/>
              </w:rPr>
              <w:t xml:space="preserve">186,0</w:t>
            </w: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3B047657">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C66C2E8">
            <w:pPr>
              <w:pBdr/>
              <w:spacing w:after="0" w:before="0" w:line="240" w:lineRule="auto"/>
              <w:ind/>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894A119">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58C0213E">
            <w:pPr>
              <w:pBdr/>
              <w:spacing w:after="0" w:before="0" w:line="240" w:lineRule="auto"/>
              <w:ind/>
              <w:jc w:val="both"/>
              <w:rPr/>
            </w:pPr>
            <w:r>
              <w:rPr>
                <w:rFonts w:ascii="Times New Roman" w:hAnsi="Times New Roman" w:eastAsia="Times New Roman" w:cs="Times New Roman"/>
                <w:color w:val="000000"/>
                <w:sz w:val="24"/>
              </w:rPr>
              <w:t xml:space="preserve">Nhà nước công nhận quyền sử dụng đất như Nhà nước giao đất không thu tiền sử dụng đất</w:t>
            </w: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388316AB">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Tổ thẩm định tham khảo website quy hoạch Meeymap.com nhận thấy tài sản thẩm định nằm trong quy hoạch đất ở.</w:t>
            </w:r>
            <w:r/>
          </w:p>
          <w:p w14:paraId="0F738FB6">
            <w:pPr>
              <w:pBdr/>
              <w:spacing w:after="0" w:before="0" w:line="240" w:lineRule="auto"/>
              <w:ind/>
              <w:jc w:val="both"/>
              <w:rPr/>
            </w:pPr>
            <w:r>
              <mc:AlternateContent>
                <mc:Choice Requires="wpg">
                  <w:drawing>
                    <wp:inline xmlns:wp="http://schemas.openxmlformats.org/drawingml/2006/wordprocessingDrawing" distT="0" distB="0" distL="0" distR="0">
                      <wp:extent cx="3924862" cy="184954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71213" name=""/>
                              <pic:cNvPicPr>
                                <a:picLocks noChangeAspect="1"/>
                              </pic:cNvPicPr>
                              <pic:nvPr/>
                            </pic:nvPicPr>
                            <pic:blipFill rotWithShape="1">
                              <a:blip r:embed="rId17"/>
                              <a:stretch/>
                            </pic:blipFill>
                            <pic:spPr bwMode="auto">
                              <a:xfrm flipH="0" flipV="0">
                                <a:off x="0" y="0"/>
                                <a:ext cx="3924861" cy="18495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9.04pt;height:145.63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vMerge w:val="restart"/>
            <w:textDirection w:val="lrTb"/>
            <w:noWrap w:val="false"/>
          </w:tcPr>
          <w:p w14:paraId="3284EDB7">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0A08628C">
            <w:pPr>
              <w:pBdr/>
              <w:spacing/>
              <w:ind/>
              <w:rPr>
                <w:color w:val="000000"/>
              </w:rPr>
            </w:pPr>
            <w:r>
              <w:rPr>
                <w:color w:val="000000"/>
              </w:rPr>
              <w:t xml:space="preserve">Địa chỉ thựuc tế:</w:t>
            </w:r>
            <w:r>
              <w:rPr>
                <w:color w:val="000000"/>
              </w:rPr>
            </w:r>
            <w:r>
              <w:rPr>
                <w:color w:val="000000"/>
              </w:rPr>
            </w:r>
          </w:p>
        </w:tc>
        <w:tc>
          <w:tcPr>
            <w:gridSpan w:val="3"/>
            <w:tcBorders/>
            <w:tcW w:w="6259" w:type="dxa"/>
            <w:vAlign w:val="center"/>
            <w:vMerge w:val="restart"/>
            <w:textDirection w:val="lrTb"/>
            <w:noWrap w:val="false"/>
          </w:tcPr>
          <w:p w14:paraId="1BB61946">
            <w:pPr>
              <w:pBdr/>
              <w:spacing/>
              <w:ind/>
              <w:jc w:val="both"/>
              <w:rPr>
                <w:color w:val="000000"/>
              </w:rPr>
            </w:pPr>
            <w:r>
              <w:rPr>
                <w:color w:val="000000"/>
              </w:rPr>
            </w:r>
            <w:r>
              <w:rPr>
                <w:color w:val="000000"/>
              </w:rPr>
              <w:t xml:space="preserve">Số 1, ngõ 22, đường DH07, Thôn Phú Thụ, xã Thạch Thất, Thành phố Hà Nội</w:t>
            </w:r>
            <w:r>
              <w:rPr>
                <w:color w:val="000000"/>
              </w:rPr>
            </w:r>
            <w:r>
              <w:rPr>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29CFFE1C">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42A39E05">
            <w:pPr>
              <w:pBdr/>
              <w:spacing w:after="0" w:before="0" w:line="240" w:lineRule="auto"/>
              <w:ind/>
              <w:jc w:val="center"/>
              <w:rPr/>
            </w:pPr>
            <w:r>
              <w:rPr>
                <w:rFonts w:ascii="Times New Roman" w:hAnsi="Times New Roman" w:eastAsia="Times New Roman" w:cs="Times New Roman"/>
                <w:color w:val="000000"/>
                <w:sz w:val="24"/>
              </w:rPr>
              <w:t xml:space="preserve">02 mặt tiền trước sau</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20B9535B">
            <w:pPr>
              <w:pBdr/>
              <w:spacing w:after="0" w:before="0" w:line="240" w:lineRule="auto"/>
              <w:ind/>
              <w:jc w:val="center"/>
              <w:rPr/>
            </w:pPr>
            <w:r>
              <w:rPr>
                <w:rFonts w:ascii="Times New Roman" w:hAnsi="Times New Roman" w:eastAsia="Times New Roman" w:cs="Times New Roman"/>
                <w:color w:val="000000"/>
                <w:sz w:val="24"/>
              </w:rPr>
              <w:t xml:space="preserve">Khoảng 3,2m</w:t>
            </w: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0D73AE55">
            <w:pPr>
              <w:pBdr/>
              <w:spacing w:after="0" w:before="0" w:line="240" w:lineRule="auto"/>
              <w:ind/>
              <w:jc w:val="center"/>
              <w:rPr/>
            </w:pPr>
            <w:r>
              <w:rPr>
                <w:rFonts w:ascii="Times New Roman" w:hAnsi="Times New Roman" w:eastAsia="Times New Roman" w:cs="Times New Roman"/>
                <w:color w:val="000000"/>
                <w:sz w:val="24"/>
              </w:rPr>
              <w:t xml:space="preserve">Khoảng 3,2m</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31EFA9DF">
            <w:pPr>
              <w:pBdr/>
              <w:spacing w:after="0" w:before="0" w:line="240" w:lineRule="auto"/>
              <w:ind/>
              <w:jc w:val="both"/>
              <w:rPr/>
            </w:pPr>
            <w:r>
              <w:rPr>
                <w:rFonts w:ascii="Times New Roman" w:hAnsi="Times New Roman" w:eastAsia="Times New Roman" w:cs="Times New Roman"/>
                <w:color w:val="000000"/>
                <w:sz w:val="24"/>
              </w:rPr>
              <w:t xml:space="preserve">Tài sản nằm tại Thôn Phú Thụ, xã Thạch Thất, Thành phố Hà Nội; cách đường Phú Thụ khoảng 10m, cách đường DH07 khoảng 240m.</w:t>
            </w: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2F1D644C">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Tiếp giáp đường bê tông khoảng 3,2m.</w:t>
            </w:r>
            <w:r>
              <w:rPr>
                <w:rFonts w:ascii="Times New Roman" w:hAnsi="Times New Roman" w:eastAsia="Times New Roman" w:cs="Times New Roman"/>
                <w:color w:val="000000"/>
                <w:sz w:val="24"/>
                <w:szCs w:val="24"/>
              </w:rPr>
            </w:r>
          </w:p>
          <w:p w14:paraId="5E971DB6">
            <w:pPr>
              <w:pBdr/>
              <w:spacing w:after="0" w:before="0" w:line="240"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color w:val="000000"/>
                <w:sz w:val="24"/>
              </w:rPr>
              <w:t xml:space="preserve">Hướng Tây: Tiếp giáp đường bê tông khoảng 2m</w:t>
            </w:r>
            <w:r>
              <w:rPr>
                <w:rFonts w:ascii="Times New Roman" w:hAnsi="Times New Roman" w:eastAsia="Times New Roman" w:cs="Times New Roman"/>
                <w:i/>
                <w:color w:val="000000"/>
                <w:sz w:val="24"/>
              </w:rPr>
              <w:t xml:space="preserve">. </w:t>
            </w:r>
            <w:r>
              <w:rPr>
                <w:rFonts w:ascii="Times New Roman" w:hAnsi="Times New Roman" w:eastAsia="Times New Roman" w:cs="Times New Roman"/>
                <w:bCs/>
                <w:i/>
                <w:color w:val="000000"/>
                <w:sz w:val="24"/>
                <w:szCs w:val="24"/>
              </w:rPr>
            </w:r>
          </w:p>
          <w:p w14:paraId="197D74C5">
            <w:pPr>
              <w:pBdr/>
              <w:spacing w:after="0" w:before="0" w:line="240" w:lineRule="auto"/>
              <w:ind/>
              <w:jc w:val="both"/>
              <w:rPr/>
            </w:pPr>
            <w:r>
              <w:rPr>
                <w:rFonts w:ascii="Times New Roman" w:hAnsi="Times New Roman" w:eastAsia="Times New Roman" w:cs="Times New Roman"/>
                <w:i/>
                <w:color w:val="000000"/>
                <w:sz w:val="24"/>
              </w:rPr>
            </w: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21.078711</w:t>
            </w:r>
            <w:r>
              <w:rPr>
                <w:color w:val="000000"/>
              </w:rPr>
              <w:t xml:space="preserve">, </w:t>
            </w:r>
            <w:r>
              <w:rPr>
                <w:color w:val="000000"/>
              </w:rPr>
              <w:t xml:space="preserve">105.547463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6048375" cy="295597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41461" name=""/>
                              <pic:cNvPicPr>
                                <a:picLocks noChangeAspect="1"/>
                              </pic:cNvPicPr>
                              <pic:nvPr/>
                            </pic:nvPicPr>
                            <pic:blipFill rotWithShape="1">
                              <a:blip r:embed="rId18"/>
                              <a:stretch/>
                            </pic:blipFill>
                            <pic:spPr bwMode="auto">
                              <a:xfrm>
                                <a:off x="0" y="0"/>
                                <a:ext cx="6048374" cy="29559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32.75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6D5087CE">
            <w:pPr>
              <w:pBdr/>
              <w:spacing w:after="0" w:before="0" w:line="240" w:lineRule="auto"/>
              <w:ind/>
              <w:jc w:val="center"/>
              <w:rPr/>
            </w:pPr>
            <w:r>
              <w:rPr>
                <w:rFonts w:ascii="Times New Roman" w:hAnsi="Times New Roman" w:eastAsia="Times New Roman" w:cs="Times New Roman"/>
                <w:color w:val="000000"/>
                <w:sz w:val="24"/>
              </w:rPr>
              <w:t xml:space="preserve">186,0</w:t>
            </w: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2215044C">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0700E3C3">
            <w:pPr>
              <w:pBdr/>
              <w:spacing w:after="0" w:before="0" w:line="240" w:lineRule="auto"/>
              <w:ind/>
              <w:jc w:val="center"/>
              <w:rPr/>
            </w:pPr>
            <w:r>
              <w:rPr>
                <w:rFonts w:ascii="Times New Roman" w:hAnsi="Times New Roman" w:eastAsia="Times New Roman" w:cs="Times New Roman"/>
                <w:color w:val="000000"/>
                <w:sz w:val="24"/>
              </w:rPr>
              <w:t xml:space="preserve">13,09</w:t>
            </w: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3F04FED0">
            <w:pPr>
              <w:pBdr/>
              <w:spacing w:after="0" w:before="0" w:line="240" w:lineRule="auto"/>
              <w:ind/>
              <w:jc w:val="center"/>
              <w:rPr/>
            </w:pPr>
            <w:r>
              <w:rPr>
                <w:rFonts w:ascii="Times New Roman" w:hAnsi="Times New Roman" w:eastAsia="Times New Roman" w:cs="Times New Roman"/>
                <w:color w:val="000000"/>
                <w:sz w:val="24"/>
              </w:rPr>
              <w:t xml:space="preserve">9,25-19,61</w:t>
            </w: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Đa giác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7E0E2D6">
            <w:pPr>
              <w:pBdr/>
              <w:spacing w:after="0" w:before="0" w:line="240" w:lineRule="auto"/>
              <w:ind/>
              <w:jc w:val="center"/>
              <w:rPr/>
            </w:pPr>
            <w:r>
              <w:rPr>
                <w:rFonts w:ascii="Times New Roman" w:hAnsi="Times New Roman" w:eastAsia="Times New Roman" w:cs="Times New Roman"/>
                <w:color w:val="000000"/>
                <w:sz w:val="24"/>
              </w:rPr>
              <w:t xml:space="preserve">Đông</w:t>
            </w: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w:t>
            </w:r>
            <w:r>
              <w:rPr>
                <w:color w:val="000000"/>
              </w:rPr>
            </w:r>
            <w:r>
              <w:rPr>
                <w:color w:val="000000"/>
              </w:rPr>
            </w:r>
          </w:p>
          <w:p w14:paraId="479648AB">
            <w:pPr>
              <w:pBdr/>
              <w:spacing/>
              <w:ind/>
              <w:rPr>
                <w:color w:val="000000"/>
              </w:rPr>
            </w:pPr>
            <w:r>
              <w:rPr>
                <w:color w:val="000000"/>
              </w:rPr>
              <w:t xml:space="preserve">Hạ tầng thoát nước: Rãnh có nắp, </w:t>
            </w:r>
            <w:r>
              <w:rPr>
                <w:color w:val="000000"/>
              </w:rPr>
            </w:r>
            <w:r>
              <w:rPr>
                <w:color w:val="000000"/>
              </w:rPr>
            </w:r>
          </w:p>
          <w:p w14:paraId="77E93143">
            <w:pPr>
              <w:pBdr/>
              <w:spacing/>
              <w:ind/>
              <w:rPr>
                <w:color w:val="000000"/>
              </w:rPr>
            </w:pPr>
            <w:r>
              <w:rPr>
                <w:color w:val="000000"/>
              </w:rPr>
              <w:t xml:space="preserve">Hạ tầng cấp điện: Điện lưới, </w:t>
            </w:r>
            <w:r>
              <w:rPr>
                <w:color w:val="000000"/>
              </w:rPr>
            </w:r>
            <w:r>
              <w:rPr>
                <w:color w:val="000000"/>
              </w:rPr>
            </w:r>
          </w:p>
          <w:p w14:paraId="3EF6DAAC">
            <w:pPr>
              <w:pBdr/>
              <w:spacing/>
              <w:ind/>
              <w:rPr>
                <w:color w:val="000000"/>
              </w:rPr>
            </w:pPr>
            <w:r>
              <w:rPr>
                <w:color w:val="000000"/>
              </w:rPr>
              <w:t xml:space="preserve">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88431EF">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2451A56B">
            <w:pPr>
              <w:pBdr/>
              <w:spacing w:after="0" w:before="0" w:line="240" w:lineRule="auto"/>
              <w:ind/>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0242C914">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11F405AD">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1F2560EB">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C23AAEC">
            <w:pPr>
              <w:pBdr/>
              <w:spacing/>
              <w:ind/>
              <w:jc w:val="both"/>
              <w:rPr/>
            </w:pPr>
            <w:r>
              <w:rPr>
                <w:color w:val="000000"/>
              </w:rPr>
              <w:t xml:space="preserve">+ Tại thời điểm khảo sát dưới sự hướng dẫn của Khách hàng, CTXD gắn liền với đất là Nhà 1,5 tầng xây dựng năm 2009, diện tích xây dựng khoảng 50m2.</w:t>
            </w:r>
            <w:r/>
          </w:p>
          <w:p w14:paraId="476DABE3" w14:textId="35CEE1D1">
            <w:pPr>
              <w:pBdr/>
              <w:spacing/>
              <w:ind/>
              <w:jc w:val="both"/>
              <w:rPr>
                <w:color w:val="000000"/>
              </w:rPr>
            </w:pPr>
            <w:r>
              <w:rPr>
                <w:color w:val="000000"/>
              </w:rPr>
              <w:t xml:space="preserve">+ Các công trình này xây dựng đã lâu và chưa được chứng nhận trên GCN.</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line="276" w:lineRule="auto"/>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30"/>
        <w:jc w:val="center"/>
        <w:tblW w:w="0" w:type="auto"/>
        <w:tblBorders/>
        <w:tblLayout w:type="fixed"/>
        <w:tblLook w:val="04A0" w:firstRow="1" w:lastRow="0" w:firstColumn="1" w:lastColumn="0" w:noHBand="0" w:noVBand="1"/>
      </w:tblPr>
      <w:tblGrid>
        <w:gridCol w:w="732"/>
        <w:gridCol w:w="1843"/>
        <w:gridCol w:w="2055"/>
        <w:gridCol w:w="2055"/>
        <w:gridCol w:w="1415"/>
        <w:gridCol w:w="1415"/>
      </w:tblGrid>
      <w:tr>
        <w:trPr>
          <w:jc w:val="center"/>
        </w:trPr>
        <w:tc>
          <w:tcPr>
            <w:tcBorders/>
            <w:tcW w:w="732"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84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055"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205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415"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415"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14:paraId="26B17FEA" w14:textId="77777777">
            <w:pPr>
              <w:pBdr/>
              <w:spacing/>
              <w:ind/>
              <w:jc w:val="center"/>
              <w:rPr/>
            </w:pPr>
            <w:r>
              <w:t xml:space="preserve">1</w:t>
            </w:r>
            <w:r/>
          </w:p>
        </w:tc>
        <w:tc>
          <w:tcPr>
            <w:tcBorders/>
            <w:tcW w:w="1843" w:type="dxa"/>
            <w:vAlign w:val="center"/>
            <w:textDirection w:val="lrTb"/>
            <w:noWrap w:val="false"/>
          </w:tcPr>
          <w:p w14:paraId="02850E00" w14:textId="77777777">
            <w:pPr>
              <w:pBdr/>
              <w:spacing/>
              <w:ind/>
              <w:jc w:val="center"/>
              <w:rPr/>
            </w:pPr>
            <w:r>
              <w:t xml:space="preserve">Địa chỉ trên sổ</w:t>
            </w:r>
            <w:r/>
          </w:p>
        </w:tc>
        <w:tc>
          <w:tcPr>
            <w:tcBorders/>
            <w:tcW w:w="2055" w:type="dxa"/>
            <w:vAlign w:val="center"/>
            <w:textDirection w:val="lrTb"/>
            <w:noWrap w:val="false"/>
          </w:tcPr>
          <w:p w14:paraId="4576CF3F" w14:textId="77777777">
            <w:pPr>
              <w:pBdr/>
              <w:spacing/>
              <w:ind/>
              <w:jc w:val="center"/>
              <w:rPr/>
            </w:pPr>
            <w:r>
              <w:t xml:space="preserve">Thôn Phú Thụ, xã Lại Thượng, huyện Thạch Thất, tỉnh Hà Tây</w:t>
            </w:r>
            <w:r>
              <w:t xml:space="preserve"> </w:t>
            </w:r>
            <w:r/>
          </w:p>
        </w:tc>
        <w:tc>
          <w:tcPr>
            <w:tcBorders/>
            <w:tcW w:w="2055" w:type="dxa"/>
            <w:vAlign w:val="center"/>
            <w:textDirection w:val="lrTb"/>
            <w:noWrap w:val="false"/>
          </w:tcPr>
          <w:p w14:paraId="79F97508" w14:textId="77777777">
            <w:pPr>
              <w:pBdr/>
              <w:spacing/>
              <w:ind/>
              <w:jc w:val="center"/>
              <w:rPr/>
            </w:pPr>
            <w:r>
              <w:t xml:space="preserve">Thôn Phú Thụ, xã Lại Thượng, huyện Thạch Thất, tỉnh Hà Tây</w:t>
            </w:r>
            <w:r>
              <w:t xml:space="preserve">✔</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2</w:t>
            </w:r>
            <w:r/>
          </w:p>
        </w:tc>
        <w:tc>
          <w:tcPr>
            <w:tcBorders/>
            <w:tcW w:w="1843" w:type="dxa"/>
            <w:vAlign w:val="center"/>
            <w:textDirection w:val="lrTb"/>
            <w:noWrap w:val="false"/>
          </w:tcPr>
          <w:p w14:paraId="02850E00" w14:textId="77777777">
            <w:pPr>
              <w:pBdr/>
              <w:spacing/>
              <w:ind/>
              <w:jc w:val="center"/>
              <w:rPr/>
            </w:pPr>
            <w:r>
              <w:t xml:space="preserve">Địa chỉ thực tế</w:t>
            </w:r>
            <w:r/>
          </w:p>
        </w:tc>
        <w:tc>
          <w:tcPr>
            <w:tcBorders/>
            <w:tcW w:w="2055" w:type="dxa"/>
            <w:vAlign w:val="center"/>
            <w:textDirection w:val="lrTb"/>
            <w:noWrap w:val="false"/>
          </w:tcPr>
          <w:p w14:paraId="4576CF3F" w14:textId="77777777">
            <w:pPr>
              <w:pBdr/>
              <w:spacing/>
              <w:ind/>
              <w:jc w:val="center"/>
              <w:rPr/>
            </w:pPr>
            <w:r>
              <w:t xml:space="preserve">Số 1, ngõ 22, đường DH07, Thôn Phú Thụ, xã Thạch Thất, Thành phố Hà Nội</w:t>
            </w:r>
            <w:r/>
          </w:p>
        </w:tc>
        <w:tc>
          <w:tcPr>
            <w:tcBorders/>
            <w:tcW w:w="2055" w:type="dxa"/>
            <w:vAlign w:val="center"/>
            <w:textDirection w:val="lrTb"/>
            <w:noWrap w:val="false"/>
          </w:tcPr>
          <w:p w14:paraId="79F97508" w14:textId="77777777">
            <w:pPr>
              <w:pBdr/>
              <w:spacing/>
              <w:ind/>
              <w:jc w:val="center"/>
              <w:rPr/>
            </w:pPr>
            <w:r>
              <w:t xml:space="preserve">Số 1, ngõ 22, đường DH07, Thôn Phú Thụ, xã Thạch Thất, Thành phố Hà Nội</w:t>
            </w:r>
            <w:r>
              <w:t xml:space="preserve">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3</w:t>
            </w:r>
            <w:r/>
          </w:p>
        </w:tc>
        <w:tc>
          <w:tcPr>
            <w:tcBorders/>
            <w:tcW w:w="1843" w:type="dxa"/>
            <w:vAlign w:val="center"/>
            <w:textDirection w:val="lrTb"/>
            <w:noWrap w:val="false"/>
          </w:tcPr>
          <w:p w14:paraId="02850E00" w14:textId="77777777">
            <w:pPr>
              <w:pBdr/>
              <w:spacing/>
              <w:ind/>
              <w:jc w:val="center"/>
              <w:rPr/>
            </w:pPr>
            <w:r>
              <w:t xml:space="preserve">Pháp lý</w:t>
            </w:r>
            <w:r/>
          </w:p>
        </w:tc>
        <w:tc>
          <w:tcPr>
            <w:tcBorders/>
            <w:tcW w:w="2055" w:type="dxa"/>
            <w:vAlign w:val="center"/>
            <w:textDirection w:val="lrTb"/>
            <w:noWrap w:val="false"/>
          </w:tcPr>
          <w:p w14:paraId="4576CF3F" w14:textId="77777777">
            <w:pPr>
              <w:pBdr/>
              <w:spacing/>
              <w:ind/>
              <w:jc w:val="center"/>
              <w:rPr/>
            </w:pPr>
            <w:r>
              <w:t xml:space="preserve">Giấy chứng nhận quyền sử dụng đất</w:t>
            </w:r>
            <w:r/>
          </w:p>
        </w:tc>
        <w:tc>
          <w:tcPr>
            <w:tcBorders/>
            <w:tcW w:w="2055" w:type="dxa"/>
            <w:vAlign w:val="center"/>
            <w:textDirection w:val="lrTb"/>
            <w:noWrap w:val="false"/>
          </w:tcPr>
          <w:p w14:paraId="79F97508" w14:textId="77777777">
            <w:pPr>
              <w:pBdr/>
              <w:spacing/>
              <w:ind/>
              <w:jc w:val="center"/>
              <w:rPr/>
            </w:pPr>
            <w:r>
              <w:t xml:space="preserve">Giấy chứng nhận quyền sử dụng đất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4</w:t>
            </w:r>
            <w:r/>
          </w:p>
        </w:tc>
        <w:tc>
          <w:tcPr>
            <w:tcBorders/>
            <w:tcW w:w="1843" w:type="dxa"/>
            <w:vAlign w:val="center"/>
            <w:textDirection w:val="lrTb"/>
            <w:noWrap w:val="false"/>
          </w:tcPr>
          <w:p w14:paraId="02850E00" w14:textId="77777777">
            <w:pPr>
              <w:pBdr/>
              <w:spacing/>
              <w:ind/>
              <w:jc w:val="center"/>
              <w:rPr/>
            </w:pPr>
            <w:r>
              <w:t xml:space="preserve">Loại đất</w:t>
            </w:r>
            <w:r/>
          </w:p>
        </w:tc>
        <w:tc>
          <w:tcPr>
            <w:tcBorders/>
            <w:tcW w:w="2055" w:type="dxa"/>
            <w:vAlign w:val="center"/>
            <w:textDirection w:val="lrTb"/>
            <w:noWrap w:val="false"/>
          </w:tcPr>
          <w:p w14:paraId="4576CF3F" w14:textId="77777777">
            <w:pPr>
              <w:pBdr/>
              <w:spacing/>
              <w:ind/>
              <w:jc w:val="center"/>
              <w:rPr/>
            </w:pPr>
            <w:r>
              <w:t xml:space="preserve">Đất ở nông thôn</w:t>
            </w:r>
            <w:r/>
          </w:p>
        </w:tc>
        <w:tc>
          <w:tcPr>
            <w:tcBorders/>
            <w:tcW w:w="2055" w:type="dxa"/>
            <w:vAlign w:val="center"/>
            <w:textDirection w:val="lrTb"/>
            <w:noWrap w:val="false"/>
          </w:tcPr>
          <w:p w14:paraId="79F97508" w14:textId="77777777">
            <w:pPr>
              <w:pBdr/>
              <w:spacing/>
              <w:ind/>
              <w:jc w:val="center"/>
              <w:rPr/>
            </w:pPr>
            <w:r>
              <w:t xml:space="preserve">Đất ở nông thôn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5</w:t>
            </w:r>
            <w:r/>
          </w:p>
        </w:tc>
        <w:tc>
          <w:tcPr>
            <w:tcBorders/>
            <w:tcW w:w="1843" w:type="dxa"/>
            <w:vAlign w:val="center"/>
            <w:textDirection w:val="lrTb"/>
            <w:noWrap w:val="false"/>
          </w:tcPr>
          <w:p w14:paraId="02850E00" w14:textId="77777777">
            <w:pPr>
              <w:pBdr/>
              <w:spacing/>
              <w:ind/>
              <w:jc w:val="center"/>
              <w:rPr/>
            </w:pPr>
            <w:r>
              <w:t xml:space="preserve">Thời hạn sử dụng</w:t>
            </w:r>
            <w:r/>
          </w:p>
        </w:tc>
        <w:tc>
          <w:tcPr>
            <w:tcBorders/>
            <w:tcW w:w="2055" w:type="dxa"/>
            <w:vAlign w:val="center"/>
            <w:textDirection w:val="lrTb"/>
            <w:noWrap w:val="false"/>
          </w:tcPr>
          <w:p w14:paraId="4576CF3F" w14:textId="77777777">
            <w:pPr>
              <w:pBdr/>
              <w:spacing/>
              <w:ind/>
              <w:jc w:val="center"/>
              <w:rPr/>
            </w:pPr>
            <w:r>
              <w:t xml:space="preserve">Lâu dài</w:t>
            </w:r>
            <w:r/>
          </w:p>
        </w:tc>
        <w:tc>
          <w:tcPr>
            <w:tcBorders/>
            <w:tcW w:w="2055" w:type="dxa"/>
            <w:vAlign w:val="center"/>
            <w:textDirection w:val="lrTb"/>
            <w:noWrap w:val="false"/>
          </w:tcPr>
          <w:p w14:paraId="79F97508" w14:textId="77777777">
            <w:pPr>
              <w:pBdr/>
              <w:spacing/>
              <w:ind/>
              <w:jc w:val="center"/>
              <w:rPr/>
            </w:pPr>
            <w:r>
              <w:t xml:space="preserve">Lâu dài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6</w:t>
            </w:r>
            <w:r/>
          </w:p>
        </w:tc>
        <w:tc>
          <w:tcPr>
            <w:tcBorders/>
            <w:tcW w:w="1843" w:type="dxa"/>
            <w:vAlign w:val="center"/>
            <w:textDirection w:val="lrTb"/>
            <w:noWrap w:val="false"/>
          </w:tcPr>
          <w:p w14:paraId="02850E00" w14:textId="77777777">
            <w:pPr>
              <w:pBdr/>
              <w:spacing/>
              <w:ind/>
              <w:jc w:val="center"/>
              <w:rPr/>
            </w:pPr>
            <w:r>
              <w:t xml:space="preserve">Diện tích</w:t>
            </w:r>
            <w:r/>
          </w:p>
        </w:tc>
        <w:tc>
          <w:tcPr>
            <w:tcBorders/>
            <w:tcW w:w="2055" w:type="dxa"/>
            <w:vAlign w:val="center"/>
            <w:textDirection w:val="lrTb"/>
            <w:noWrap w:val="false"/>
          </w:tcPr>
          <w:p w14:paraId="4576CF3F" w14:textId="77777777">
            <w:pPr>
              <w:pBdr/>
              <w:spacing/>
              <w:ind/>
              <w:jc w:val="center"/>
              <w:rPr/>
            </w:pPr>
            <w:r>
              <w:t xml:space="preserve">186,0</w:t>
            </w:r>
            <w:r/>
          </w:p>
        </w:tc>
        <w:tc>
          <w:tcPr>
            <w:tcBorders/>
            <w:tcW w:w="2055" w:type="dxa"/>
            <w:vAlign w:val="center"/>
            <w:textDirection w:val="lrTb"/>
            <w:noWrap w:val="false"/>
          </w:tcPr>
          <w:p w14:paraId="79F97508" w14:textId="77777777">
            <w:pPr>
              <w:pBdr/>
              <w:spacing/>
              <w:ind/>
              <w:jc w:val="center"/>
              <w:rPr/>
            </w:pPr>
            <w:r>
              <w:t xml:space="preserve">186,0 ✔</w:t>
            </w:r>
            <w:r/>
          </w:p>
        </w:tc>
        <w:tc>
          <w:tcPr>
            <w:tcBorders/>
            <w:tcW w:w="1415" w:type="dxa"/>
            <w:vAlign w:val="center"/>
            <w:textDirection w:val="lrTb"/>
            <w:noWrap w:val="false"/>
          </w:tcPr>
          <w:p w14:paraId="720BC03F" w14:textId="77777777">
            <w:pPr>
              <w:pBdr/>
              <w:spacing/>
              <w:ind/>
              <w:jc w:val="center"/>
              <w:rPr/>
            </w:pPr>
            <w:r>
              <w:t xml:space="preserve">0</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7</w:t>
            </w:r>
            <w:r/>
          </w:p>
        </w:tc>
        <w:tc>
          <w:tcPr>
            <w:tcBorders/>
            <w:tcW w:w="1843" w:type="dxa"/>
            <w:vAlign w:val="center"/>
            <w:textDirection w:val="lrTb"/>
            <w:noWrap w:val="false"/>
          </w:tcPr>
          <w:p w14:paraId="02850E00" w14:textId="77777777">
            <w:pPr>
              <w:pBdr/>
              <w:spacing/>
              <w:ind/>
              <w:jc w:val="center"/>
              <w:rPr/>
            </w:pPr>
            <w:r>
              <w:t xml:space="preserve">Mặt tiền</w:t>
            </w:r>
            <w:r/>
          </w:p>
        </w:tc>
        <w:tc>
          <w:tcPr>
            <w:tcBorders/>
            <w:tcW w:w="2055" w:type="dxa"/>
            <w:vAlign w:val="center"/>
            <w:textDirection w:val="lrTb"/>
            <w:noWrap w:val="false"/>
          </w:tcPr>
          <w:p w14:paraId="4576CF3F" w14:textId="77777777">
            <w:pPr>
              <w:pBdr/>
              <w:spacing/>
              <w:ind/>
              <w:jc w:val="center"/>
              <w:rPr/>
            </w:pPr>
            <w:r>
              <w:t xml:space="preserve">13,09</w:t>
            </w:r>
            <w:r/>
          </w:p>
        </w:tc>
        <w:tc>
          <w:tcPr>
            <w:tcBorders/>
            <w:tcW w:w="2055" w:type="dxa"/>
            <w:vAlign w:val="center"/>
            <w:textDirection w:val="lrTb"/>
            <w:noWrap w:val="false"/>
          </w:tcPr>
          <w:p w14:paraId="79F97508" w14:textId="77777777">
            <w:pPr>
              <w:pBdr/>
              <w:spacing/>
              <w:ind/>
              <w:jc w:val="center"/>
              <w:rPr/>
            </w:pPr>
            <w:r>
              <w:t xml:space="preserve">13,09 ✔</w:t>
            </w:r>
            <w:r/>
          </w:p>
        </w:tc>
        <w:tc>
          <w:tcPr>
            <w:tcBorders/>
            <w:tcW w:w="1415" w:type="dxa"/>
            <w:vAlign w:val="center"/>
            <w:textDirection w:val="lrTb"/>
            <w:noWrap w:val="false"/>
          </w:tcPr>
          <w:p w14:paraId="720BC03F" w14:textId="77777777">
            <w:pPr>
              <w:pBdr/>
              <w:spacing/>
              <w:ind/>
              <w:jc w:val="center"/>
              <w:rPr/>
            </w:pPr>
            <w:r>
              <w:t xml:space="preserve">0</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8</w:t>
            </w:r>
            <w:r/>
          </w:p>
        </w:tc>
        <w:tc>
          <w:tcPr>
            <w:tcBorders/>
            <w:tcW w:w="1843" w:type="dxa"/>
            <w:vAlign w:val="center"/>
            <w:textDirection w:val="lrTb"/>
            <w:noWrap w:val="false"/>
          </w:tcPr>
          <w:p w14:paraId="02850E00" w14:textId="77777777">
            <w:pPr>
              <w:pBdr/>
              <w:spacing/>
              <w:ind/>
              <w:jc w:val="center"/>
              <w:rPr/>
            </w:pPr>
            <w:r>
              <w:t xml:space="preserve">Chiều sâu</w:t>
            </w:r>
            <w:r/>
          </w:p>
        </w:tc>
        <w:tc>
          <w:tcPr>
            <w:tcBorders/>
            <w:tcW w:w="2055" w:type="dxa"/>
            <w:vAlign w:val="center"/>
            <w:textDirection w:val="lrTb"/>
            <w:noWrap w:val="false"/>
          </w:tcPr>
          <w:p w14:paraId="4576CF3F" w14:textId="77777777">
            <w:pPr>
              <w:pBdr/>
              <w:spacing/>
              <w:ind/>
              <w:jc w:val="center"/>
              <w:rPr/>
            </w:pPr>
            <w:r>
              <w:rPr>
                <w:rFonts w:ascii="Times New Roman" w:hAnsi="Times New Roman" w:eastAsia="Times New Roman" w:cs="Times New Roman"/>
                <w:color w:val="000000"/>
                <w:sz w:val="24"/>
              </w:rPr>
              <w:t xml:space="preserve">9,25-19,6</w:t>
            </w:r>
            <w:r/>
          </w:p>
        </w:tc>
        <w:tc>
          <w:tcPr>
            <w:tcBorders/>
            <w:tcW w:w="2055" w:type="dxa"/>
            <w:vAlign w:val="center"/>
            <w:textDirection w:val="lrTb"/>
            <w:noWrap w:val="false"/>
          </w:tcPr>
          <w:p w14:paraId="79F97508" w14:textId="77777777">
            <w:pPr>
              <w:pBdr/>
              <w:spacing/>
              <w:ind/>
              <w:jc w:val="center"/>
              <w:rPr/>
            </w:pPr>
            <w:r>
              <w:rPr>
                <w:rFonts w:ascii="Times New Roman" w:hAnsi="Times New Roman" w:eastAsia="Times New Roman" w:cs="Times New Roman"/>
                <w:color w:val="000000"/>
                <w:sz w:val="24"/>
              </w:rPr>
              <w:t xml:space="preserve">9,25-19,6</w:t>
            </w:r>
            <w:r>
              <w:t xml:space="preserve"> ✔</w:t>
            </w:r>
            <w:r/>
          </w:p>
        </w:tc>
        <w:tc>
          <w:tcPr>
            <w:tcBorders/>
            <w:tcW w:w="1415" w:type="dxa"/>
            <w:vAlign w:val="center"/>
            <w:textDirection w:val="lrTb"/>
            <w:noWrap w:val="false"/>
          </w:tcPr>
          <w:p w14:paraId="720BC03F" w14:textId="77777777">
            <w:pPr>
              <w:pBdr/>
              <w:spacing/>
              <w:ind/>
              <w:jc w:val="center"/>
              <w:rPr/>
            </w:pPr>
            <w:r>
              <w:t xml:space="preserve">0</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9</w:t>
            </w:r>
            <w:r/>
          </w:p>
        </w:tc>
        <w:tc>
          <w:tcPr>
            <w:tcBorders/>
            <w:tcW w:w="1843" w:type="dxa"/>
            <w:vAlign w:val="center"/>
            <w:textDirection w:val="lrTb"/>
            <w:noWrap w:val="false"/>
          </w:tcPr>
          <w:p w14:paraId="02850E00" w14:textId="77777777">
            <w:pPr>
              <w:pBdr/>
              <w:spacing/>
              <w:ind/>
              <w:jc w:val="center"/>
              <w:rPr/>
            </w:pPr>
            <w:r>
              <w:t xml:space="preserve">Mặt tiếp giáp</w:t>
            </w:r>
            <w:r/>
          </w:p>
        </w:tc>
        <w:tc>
          <w:tcPr>
            <w:tcBorders/>
            <w:tcW w:w="2055" w:type="dxa"/>
            <w:vAlign w:val="center"/>
            <w:textDirection w:val="lrTb"/>
            <w:noWrap w:val="false"/>
          </w:tcPr>
          <w:p w14:paraId="4DEB2BC8">
            <w:pPr>
              <w:pBdr/>
              <w:spacing w:after="0" w:before="0" w:line="240" w:lineRule="auto"/>
              <w:ind/>
              <w:jc w:val="center"/>
              <w:rPr/>
            </w:pPr>
            <w:r>
              <w:rPr>
                <w:rFonts w:ascii="Times New Roman" w:hAnsi="Times New Roman" w:eastAsia="Times New Roman" w:cs="Times New Roman"/>
                <w:color w:val="000000"/>
                <w:sz w:val="24"/>
              </w:rPr>
              <w:t xml:space="preserve">02 mặt tiền trước sau</w:t>
            </w:r>
            <w:r/>
          </w:p>
        </w:tc>
        <w:tc>
          <w:tcPr>
            <w:tcBorders/>
            <w:tcW w:w="2055" w:type="dxa"/>
            <w:vAlign w:val="center"/>
            <w:textDirection w:val="lrTb"/>
            <w:noWrap w:val="false"/>
          </w:tcPr>
          <w:p w14:paraId="31996AC4">
            <w:pPr>
              <w:pBdr/>
              <w:spacing w:after="0" w:before="0" w:line="240" w:lineRule="auto"/>
              <w:ind/>
              <w:jc w:val="center"/>
              <w:rPr/>
            </w:pPr>
            <w:r>
              <w:rPr>
                <w:rFonts w:ascii="Times New Roman" w:hAnsi="Times New Roman" w:eastAsia="Times New Roman" w:cs="Times New Roman"/>
                <w:color w:val="000000"/>
                <w:sz w:val="24"/>
              </w:rPr>
              <w:t xml:space="preserve">02 mặt tiền trước sau </w:t>
            </w:r>
            <w:r>
              <w:t xml:space="preserve">✔</w:t>
            </w:r>
            <w:r>
              <w:rPr>
                <w:rFonts w:ascii="Times New Roman" w:hAnsi="Times New Roman" w:eastAsia="Times New Roman" w:cs="Times New Roman"/>
                <w:color w:val="000000"/>
                <w:sz w:val="24"/>
              </w:rPr>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10</w:t>
            </w:r>
            <w:r/>
          </w:p>
        </w:tc>
        <w:tc>
          <w:tcPr>
            <w:tcBorders/>
            <w:tcW w:w="1843" w:type="dxa"/>
            <w:vAlign w:val="center"/>
            <w:textDirection w:val="lrTb"/>
            <w:noWrap w:val="false"/>
          </w:tcPr>
          <w:p w14:paraId="02850E00" w14:textId="77777777">
            <w:pPr>
              <w:pBdr/>
              <w:spacing/>
              <w:ind/>
              <w:jc w:val="center"/>
              <w:rPr/>
            </w:pPr>
            <w:r>
              <w:t xml:space="preserve">Hình dạng thửa đất</w:t>
            </w:r>
            <w:r/>
          </w:p>
        </w:tc>
        <w:tc>
          <w:tcPr>
            <w:tcBorders/>
            <w:tcW w:w="2055" w:type="dxa"/>
            <w:vAlign w:val="center"/>
            <w:textDirection w:val="lrTb"/>
            <w:noWrap w:val="false"/>
          </w:tcPr>
          <w:p w14:paraId="4576CF3F" w14:textId="77777777">
            <w:pPr>
              <w:pBdr/>
              <w:spacing/>
              <w:ind/>
              <w:jc w:val="center"/>
              <w:rPr/>
            </w:pPr>
            <w:r>
              <w:t xml:space="preserve">Đa giác</w:t>
            </w:r>
            <w:r/>
          </w:p>
        </w:tc>
        <w:tc>
          <w:tcPr>
            <w:tcBorders/>
            <w:tcW w:w="2055" w:type="dxa"/>
            <w:vAlign w:val="center"/>
            <w:textDirection w:val="lrTb"/>
            <w:noWrap w:val="false"/>
          </w:tcPr>
          <w:p w14:paraId="79F97508" w14:textId="77777777">
            <w:pPr>
              <w:pBdr/>
              <w:spacing/>
              <w:ind/>
              <w:jc w:val="center"/>
              <w:rPr/>
            </w:pPr>
            <w:r>
              <w:t xml:space="preserve">Đa giác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bl>
    <w:p w14:paraId="34C97D3D" w14:textId="2CA4AAB8">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2E107F0E">
      <w:pPr>
        <w:pStyle w:val="1026"/>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color w:val="000000"/>
        </w:rPr>
        <w:t xml:space="preserve">Tại thời điểm khảo sát dưới sự hướng dẫn của Khách hàng, CTXD gắn liền với đất là Nhà 1,5 tầng xây dựng năm 2009, diện tích xây dựng khoảng 50m2</w:t>
      </w:r>
      <w:r>
        <w:rPr>
          <w:spacing w:val="-2"/>
          <w:highlight w:val="none"/>
          <w:lang w:val="pt-BR" w:bidi="pt-BR"/>
        </w:rPr>
        <w:t xml:space="preserve">. Công trình chưa được chứng nhận trên GCN. Đồng thời, Tổ thẩm định không nhận đ</w:t>
      </w:r>
      <w:r>
        <w:rPr>
          <w:spacing w:val="-2"/>
          <w:highlight w:val="none"/>
          <w:lang w:val="pt-BR" w:bidi="pt-BR"/>
        </w:rPr>
        <w:t xml:space="preserve">ư</w:t>
      </w:r>
      <w:r>
        <w:rPr>
          <w:spacing w:val="-2"/>
          <w:highlight w:val="none"/>
          <w:lang w:val="pt-BR"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bidi="pt-BR"/>
        </w:rPr>
        <w:t xml:space="preserve">.</w:t>
      </w:r>
      <w:r>
        <w:rPr>
          <w:spacing w:val="-2"/>
          <w:highlight w:val="none"/>
          <w:lang w:val="pt-BR"/>
        </w:rPr>
      </w:r>
      <w:r>
        <w:rPr>
          <w:spacing w:val="-2"/>
          <w:lang w:val="pt-BR"/>
        </w:rPr>
      </w:r>
    </w:p>
    <w:p w14:paraId="110EA7E9" w14:textId="2D24DC9A">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6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DF9F33">
            <w:pPr>
              <w:pBdr/>
              <w:spacing w:after="0" w:before="0" w:line="240" w:lineRule="auto"/>
              <w:ind/>
              <w:jc w:val="center"/>
              <w:rPr/>
            </w:pPr>
            <w:r>
              <w:rPr>
                <w:rFonts w:ascii="Times New Roman" w:hAnsi="Times New Roman" w:eastAsia="Times New Roman" w:cs="Times New Roman"/>
                <w:color w:val="000000"/>
                <w:sz w:val="22"/>
              </w:rPr>
              <w:t xml:space="preserve">Thôn Phú Thụ, xã Thạch Thất,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C9032D">
            <w:pPr>
              <w:pBdr/>
              <w:spacing w:after="0" w:before="0" w:line="240" w:lineRule="auto"/>
              <w:ind/>
              <w:jc w:val="center"/>
              <w:rPr/>
            </w:pPr>
            <w:r>
              <w:rPr>
                <w:rFonts w:ascii="Times New Roman" w:hAnsi="Times New Roman" w:eastAsia="Times New Roman" w:cs="Times New Roman"/>
                <w:color w:val="000000"/>
                <w:sz w:val="22"/>
              </w:rPr>
              <w:t xml:space="preserve">Thôn Phú Thụ, xã Thạch Thất,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689AF9">
            <w:pPr>
              <w:pBdr/>
              <w:spacing w:after="0" w:before="0" w:line="240" w:lineRule="auto"/>
              <w:ind/>
              <w:jc w:val="center"/>
              <w:rPr/>
            </w:pPr>
            <w:r>
              <w:rPr>
                <w:rFonts w:ascii="Times New Roman" w:hAnsi="Times New Roman" w:eastAsia="Times New Roman" w:cs="Times New Roman"/>
                <w:color w:val="000000"/>
                <w:sz w:val="22"/>
              </w:rPr>
              <w:t xml:space="preserve">Thôn Phú Thụ, xã Thạch Thất,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70AB46">
            <w:pPr>
              <w:pBdr/>
              <w:spacing w:after="0" w:before="0" w:line="240" w:lineRule="auto"/>
              <w:ind/>
              <w:jc w:val="center"/>
              <w:rPr/>
            </w:pPr>
            <w:r>
              <w:rPr>
                <w:rFonts w:ascii="Times New Roman" w:hAnsi="Times New Roman" w:eastAsia="Times New Roman" w:cs="Times New Roman"/>
                <w:color w:val="000000"/>
                <w:sz w:val="22"/>
              </w:rPr>
              <w:t xml:space="preserve">Thôn Phú Thụ, xã Thạch Thất, Thành phố Hà Nội</w:t>
            </w:r>
            <w:r/>
          </w:p>
        </w:tc>
      </w:tr>
      <w:tr>
        <w:trPr>
          <w:trHeight w:val="36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DC19A8">
            <w:pPr>
              <w:pBdr/>
              <w:spacing w:after="0" w:before="0" w:line="240" w:lineRule="auto"/>
              <w:ind/>
              <w:jc w:val="center"/>
              <w:rPr/>
            </w:pPr>
            <w:r>
              <w:rPr>
                <w:rFonts w:ascii="Times New Roman" w:hAnsi="Times New Roman" w:eastAsia="Times New Roman" w:cs="Times New Roman"/>
                <w:color w:val="000000"/>
                <w:sz w:val="22"/>
              </w:rPr>
              <w:t xml:space="preserve">SĐT: 0374899546</w:t>
              <w:br/>
              <w:t xml:space="preserve">(Sale Chu Xuyên)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7410D8">
            <w:pPr>
              <w:pBdr/>
              <w:spacing w:after="0" w:before="0" w:line="240" w:lineRule="auto"/>
              <w:ind/>
              <w:jc w:val="center"/>
              <w:rPr/>
            </w:pPr>
            <w:r>
              <w:rPr>
                <w:rFonts w:ascii="Times New Roman" w:hAnsi="Times New Roman" w:eastAsia="Times New Roman" w:cs="Times New Roman"/>
                <w:color w:val="000000"/>
                <w:sz w:val="22"/>
              </w:rPr>
              <w:t xml:space="preserve">SĐT: 0374899546</w:t>
              <w:br/>
              <w:t xml:space="preserve">(Sale Chu Xuyên)</w:t>
            </w:r>
            <w:r>
              <w:rPr>
                <w:rFonts w:ascii="Times New Roman" w:hAnsi="Times New Roman" w:eastAsia="Times New Roman" w:cs="Times New Roman"/>
                <w:color w:val="000000"/>
                <w:sz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F2271D">
            <w:pPr>
              <w:pBdr/>
              <w:spacing w:after="0" w:before="0" w:line="240" w:lineRule="auto"/>
              <w:ind/>
              <w:jc w:val="center"/>
              <w:rPr/>
            </w:pPr>
            <w:r>
              <w:rPr>
                <w:rFonts w:ascii="Times New Roman" w:hAnsi="Times New Roman" w:eastAsia="Times New Roman" w:cs="Times New Roman"/>
                <w:color w:val="000000"/>
                <w:sz w:val="22"/>
              </w:rPr>
              <w:t xml:space="preserve">SĐT: 0912637167 </w:t>
              <w:br/>
              <w:t xml:space="preserve">(Sale Tấn Phát)</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DA832C">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FD7D21">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432294">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AD6F19">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9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5DEFCF">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424793">
            <w:pPr>
              <w:pBdr/>
              <w:spacing/>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4C41D5">
            <w:pPr>
              <w:pBdr/>
              <w:spacing/>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977A9C">
            <w:pPr>
              <w:pBdr/>
              <w:spacing/>
              <w:ind/>
              <w:jc w:val="center"/>
              <w:rPr/>
            </w:pPr>
            <w:r>
              <w:rPr>
                <w:rFonts w:ascii="Times New Roman" w:hAnsi="Times New Roman" w:eastAsia="Times New Roman" w:cs="Times New Roman"/>
                <w:color w:val="000000"/>
                <w:sz w:val="22"/>
              </w:rPr>
              <w:t xml:space="preserve">Đất ở tại nông thôn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C8622">
            <w:pPr>
              <w:pBdr/>
              <w:spacing w:after="0" w:before="0" w:line="240" w:lineRule="auto"/>
              <w:ind/>
              <w:jc w:val="center"/>
              <w:rPr/>
            </w:pPr>
            <w:r>
              <w:rPr>
                <w:rFonts w:ascii="Times New Roman" w:hAnsi="Times New Roman" w:eastAsia="Times New Roman" w:cs="Times New Roman"/>
                <w:color w:val="000000"/>
                <w:sz w:val="22"/>
              </w:rPr>
              <w:t xml:space="preserve">Tài sản nằm tại Thôn Phú Thụ, xã Thạch Thất, Thành phố Hà Nội; cách đường Phú Thụ khoảng 10m, cách đường DH07 khoảng 240m.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90A54C">
            <w:pPr>
              <w:pBdr/>
              <w:spacing w:after="0" w:before="0" w:line="240" w:lineRule="auto"/>
              <w:ind/>
              <w:jc w:val="center"/>
              <w:rPr/>
            </w:pPr>
            <w:r>
              <w:rPr>
                <w:rFonts w:ascii="Times New Roman" w:hAnsi="Times New Roman" w:eastAsia="Times New Roman" w:cs="Times New Roman"/>
                <w:color w:val="000000"/>
                <w:sz w:val="22"/>
              </w:rPr>
              <w:t xml:space="preserve">Tài sản nằm tại Thôn Phú Thụ, xã Thạch Thất, Thành phố Hà Nội; cách trục chính thôn khoảng 30m, cách đường DH07 khoảng 400m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FC9703">
            <w:pPr>
              <w:pBdr/>
              <w:spacing w:after="0" w:before="0" w:line="240" w:lineRule="auto"/>
              <w:ind/>
              <w:jc w:val="center"/>
              <w:rPr/>
            </w:pPr>
            <w:r>
              <w:rPr>
                <w:rFonts w:ascii="Times New Roman" w:hAnsi="Times New Roman" w:eastAsia="Times New Roman" w:cs="Times New Roman"/>
                <w:color w:val="000000"/>
                <w:sz w:val="22"/>
              </w:rPr>
              <w:t xml:space="preserve">Tài sản nằm tại Thôn Phú Thụ, xã Thạch Thất, Thành phố Hà Nội; cách trục trục chính thôn khoảng 50m, cách đường DH07 khoảng 120m.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8EEF24">
            <w:pPr>
              <w:pBdr/>
              <w:spacing w:after="0" w:before="0" w:line="240" w:lineRule="auto"/>
              <w:ind/>
              <w:jc w:val="center"/>
              <w:rPr/>
            </w:pPr>
            <w:r>
              <w:rPr>
                <w:rFonts w:ascii="Times New Roman" w:hAnsi="Times New Roman" w:eastAsia="Times New Roman" w:cs="Times New Roman"/>
                <w:color w:val="000000"/>
                <w:sz w:val="22"/>
              </w:rPr>
              <w:t xml:space="preserve">Tài sản nằm tại Thôn Phú Thụ, xã Thạch Thất, Thành phố Hà Nội; cách trục trục chính thôn khoảng 50m, cách đường DH07 khoảng 400m.</w:t>
            </w:r>
            <w:r/>
          </w:p>
        </w:tc>
      </w:tr>
      <w:tr>
        <w:trPr>
          <w:trHeight w:val="30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27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B85D81">
            <w:pPr>
              <w:pBdr/>
              <w:spacing w:after="0" w:before="0" w:line="240" w:lineRule="auto"/>
              <w:ind/>
              <w:jc w:val="center"/>
              <w:rPr/>
            </w:pPr>
            <w:r>
              <w:rPr>
                <w:rFonts w:ascii="Times New Roman" w:hAnsi="Times New Roman" w:eastAsia="Times New Roman" w:cs="Times New Roman"/>
                <w:color w:val="000000"/>
                <w:sz w:val="22"/>
              </w:rPr>
              <w:t xml:space="preserve">Khoảng 3,2m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407835">
            <w:pPr>
              <w:pBdr/>
              <w:spacing w:after="0" w:before="0" w:line="240" w:lineRule="auto"/>
              <w:ind/>
              <w:jc w:val="center"/>
              <w:rPr/>
            </w:pPr>
            <w:r>
              <w:rPr>
                <w:rFonts w:ascii="Times New Roman" w:hAnsi="Times New Roman" w:eastAsia="Times New Roman" w:cs="Times New Roman"/>
                <w:color w:val="000000"/>
                <w:sz w:val="22"/>
              </w:rPr>
              <w:t xml:space="preserve">Khoảng 3m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AE013A">
            <w:pPr>
              <w:pBdr/>
              <w:spacing w:after="0" w:before="0" w:line="240" w:lineRule="auto"/>
              <w:ind/>
              <w:jc w:val="center"/>
              <w:rPr/>
            </w:pPr>
            <w:r>
              <w:rPr>
                <w:rFonts w:ascii="Times New Roman" w:hAnsi="Times New Roman" w:eastAsia="Times New Roman" w:cs="Times New Roman"/>
                <w:color w:val="000000"/>
                <w:sz w:val="22"/>
              </w:rPr>
              <w:t xml:space="preserve">Khoảng 2,5m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65D85B">
            <w:pPr>
              <w:pBdr/>
              <w:spacing w:after="0" w:before="0" w:line="240" w:lineRule="auto"/>
              <w:ind/>
              <w:jc w:val="center"/>
              <w:rPr/>
            </w:pPr>
            <w:r>
              <w:rPr>
                <w:rFonts w:ascii="Times New Roman" w:hAnsi="Times New Roman" w:eastAsia="Times New Roman" w:cs="Times New Roman"/>
                <w:color w:val="000000"/>
                <w:sz w:val="22"/>
              </w:rPr>
              <w:t xml:space="preserve">Khoảng 3m</w:t>
            </w:r>
            <w:r/>
          </w:p>
        </w:tc>
      </w:tr>
      <w:tr>
        <w:trPr>
          <w:trHeight w:val="18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94BFD4">
            <w:pPr>
              <w:pBdr/>
              <w:spacing w:after="0" w:before="0" w:line="240" w:lineRule="auto"/>
              <w:ind/>
              <w:jc w:val="center"/>
              <w:rPr/>
            </w:pPr>
            <w:r>
              <w:rPr>
                <w:rFonts w:ascii="Times New Roman" w:hAnsi="Times New Roman" w:eastAsia="Times New Roman" w:cs="Times New Roman"/>
                <w:color w:val="000000"/>
                <w:sz w:val="22"/>
              </w:rPr>
              <w:t xml:space="preserve">186,0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BBB8EB">
            <w:pPr>
              <w:pBdr/>
              <w:spacing w:after="0" w:before="0" w:line="240" w:lineRule="auto"/>
              <w:ind/>
              <w:jc w:val="center"/>
              <w:rPr/>
            </w:pPr>
            <w:r>
              <w:rPr>
                <w:rFonts w:ascii="Times New Roman" w:hAnsi="Times New Roman" w:eastAsia="Times New Roman" w:cs="Times New Roman"/>
                <w:color w:val="000000"/>
                <w:sz w:val="22"/>
              </w:rPr>
              <w:t xml:space="preserve">61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FD10C1">
            <w:pPr>
              <w:pBdr/>
              <w:spacing w:after="0" w:before="0" w:line="240" w:lineRule="auto"/>
              <w:ind/>
              <w:jc w:val="center"/>
              <w:rPr/>
            </w:pPr>
            <w:r>
              <w:rPr>
                <w:rFonts w:ascii="Times New Roman" w:hAnsi="Times New Roman" w:eastAsia="Times New Roman" w:cs="Times New Roman"/>
                <w:color w:val="000000"/>
                <w:sz w:val="22"/>
              </w:rPr>
              <w:t xml:space="preserve">62,1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79E79">
            <w:pPr>
              <w:pBdr/>
              <w:spacing w:after="0" w:before="0" w:line="240" w:lineRule="auto"/>
              <w:ind/>
              <w:jc w:val="center"/>
              <w:rPr/>
            </w:pPr>
            <w:r>
              <w:rPr>
                <w:rFonts w:ascii="Times New Roman" w:hAnsi="Times New Roman" w:eastAsia="Times New Roman" w:cs="Times New Roman"/>
                <w:color w:val="000000"/>
                <w:sz w:val="22"/>
              </w:rPr>
              <w:t xml:space="preserve">105,8</w:t>
            </w:r>
            <w:r/>
          </w:p>
        </w:tc>
      </w:tr>
      <w:tr>
        <w:trPr>
          <w:trHeight w:val="20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EE3A18">
            <w:pPr>
              <w:pBdr/>
              <w:spacing w:after="0" w:before="0" w:line="240" w:lineRule="auto"/>
              <w:ind/>
              <w:jc w:val="center"/>
              <w:rPr/>
            </w:pPr>
            <w:r>
              <w:rPr>
                <w:rFonts w:ascii="Times New Roman" w:hAnsi="Times New Roman" w:eastAsia="Times New Roman" w:cs="Times New Roman"/>
                <w:color w:val="000000"/>
                <w:sz w:val="22"/>
              </w:rPr>
              <w:t xml:space="preserve">13,09</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2BFD33">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75832">
            <w:pPr>
              <w:pBdr/>
              <w:spacing w:after="0" w:before="0" w:line="240" w:lineRule="auto"/>
              <w:ind/>
              <w:jc w:val="center"/>
              <w:rPr/>
            </w:pPr>
            <w:r>
              <w:rPr>
                <w:rFonts w:ascii="Times New Roman" w:hAnsi="Times New Roman" w:eastAsia="Times New Roman" w:cs="Times New Roman"/>
                <w:color w:val="000000"/>
                <w:sz w:val="22"/>
              </w:rPr>
              <w:t xml:space="preserve">4,92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720486">
            <w:pPr>
              <w:pBdr/>
              <w:spacing w:after="0" w:before="0" w:line="240" w:lineRule="auto"/>
              <w:ind/>
              <w:jc w:val="center"/>
              <w:rPr/>
            </w:pPr>
            <w:r>
              <w:rPr>
                <w:rFonts w:ascii="Times New Roman" w:hAnsi="Times New Roman" w:eastAsia="Times New Roman" w:cs="Times New Roman"/>
                <w:color w:val="000000"/>
                <w:sz w:val="22"/>
              </w:rPr>
              <w:t xml:space="preserve">6,97</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1EEC0D1">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02 mặt tiền trước sau</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684652">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01 mặt tiền</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34AFD1">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01 mặt tiền</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9E40B6">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01 mặt tiền</w:t>
            </w:r>
            <w:r>
              <w:rPr>
                <w:b w:val="0"/>
                <w:bCs w:val="0"/>
              </w:rPr>
            </w:r>
            <w:r>
              <w:rPr>
                <w:b w:val="0"/>
                <w:bCs w:val="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B0112C">
            <w:pPr>
              <w:pBdr/>
              <w:spacing w:after="0" w:before="0" w:line="240" w:lineRule="auto"/>
              <w:ind/>
              <w:jc w:val="center"/>
              <w:rPr/>
            </w:pPr>
            <w:r>
              <w:rPr>
                <w:rFonts w:ascii="Times New Roman" w:hAnsi="Times New Roman" w:eastAsia="Times New Roman" w:cs="Times New Roman"/>
                <w:color w:val="000000"/>
                <w:sz w:val="22"/>
              </w:rPr>
              <w:t xml:space="preserve">Đa giác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DF2E95">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6AC94D">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3FE466">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D58AC75">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5DCBFEE">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8FC2E8">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518D66">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136089">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9426C4">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9DEDE80">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7030F15">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2071CB">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FB836A">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79E579">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0AC582">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C55B892">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AA6BE74">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CFD0BB">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34BE18">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8A0CBA">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2F849C">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D6F90EB">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ED25415">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40ABBFE">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7833E04">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00391BF">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4112E7A">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67F78C">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F3D924">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9AC083">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8242ED">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20131E">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4B057E">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1.550.000.000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1.425.000.000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1.472.500.000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2.100.000.000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1.425.000.000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1.472.500.000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2.100.000.000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23.360.656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23.711.755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19.848.771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1.425.000.000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1.472.500.000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2.100.000.000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23.360.656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23.711.755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19.848.771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DC18AF">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4D1F5408">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6ECF31FC">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3EAAAD24">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22.131.148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23.711.755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19.848.771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8955D9">
            <w:pPr>
              <w:pBdr/>
              <w:spacing w:after="0" w:before="0" w:line="240" w:lineRule="auto"/>
              <w:ind/>
              <w:jc w:val="center"/>
              <w:rPr/>
            </w:pPr>
            <w:r>
              <w:rPr>
                <w:rFonts w:ascii="Times New Roman" w:hAnsi="Times New Roman" w:eastAsia="Times New Roman" w:cs="Times New Roman"/>
                <w:b/>
                <w:color w:val="000000"/>
                <w:sz w:val="22"/>
              </w:rPr>
              <w:t xml:space="preserve">Tài sản nằm tại Thôn Phú Thụ, xã Thạch Thất, Thành phố Hà Nội; cách đường Phú Thụ khoảng 10m, cách đường DH07 khoảng 240m.</w:t>
            </w:r>
            <w:r/>
          </w:p>
        </w:tc>
        <w:tc>
          <w:tcPr>
            <w:shd w:val="clear" w:color="000000" w:fill="ffffff"/>
            <w:tcBorders/>
            <w:tcW w:w="1522" w:type="dxa"/>
            <w:vAlign w:val="center"/>
            <w:textDirection w:val="lrTb"/>
            <w:noWrap w:val="false"/>
          </w:tcPr>
          <w:p w14:paraId="27506CE5">
            <w:pPr>
              <w:pBdr/>
              <w:spacing w:after="0" w:before="0" w:line="240" w:lineRule="auto"/>
              <w:ind/>
              <w:jc w:val="center"/>
              <w:rPr/>
            </w:pPr>
            <w:r>
              <w:rPr>
                <w:rFonts w:ascii="Times New Roman" w:hAnsi="Times New Roman" w:eastAsia="Times New Roman" w:cs="Times New Roman"/>
                <w:b/>
                <w:color w:val="000000"/>
                <w:sz w:val="22"/>
              </w:rPr>
              <w:t xml:space="preserve">Tài sản nằm tại Thôn Phú Thụ, xã Thạch Thất, Thành phố Hà Nội; cách trục chính thôn khoảng 30m, cách đường DH07 khoảng 400m</w:t>
            </w:r>
            <w:r/>
          </w:p>
        </w:tc>
        <w:tc>
          <w:tcPr>
            <w:shd w:val="clear" w:color="000000" w:fill="ffffff"/>
            <w:tcBorders/>
            <w:tcW w:w="1522" w:type="dxa"/>
            <w:vAlign w:val="center"/>
            <w:textDirection w:val="lrTb"/>
            <w:noWrap w:val="false"/>
          </w:tcPr>
          <w:p w14:paraId="17E2038A">
            <w:pPr>
              <w:pBdr/>
              <w:spacing w:after="0" w:before="0" w:line="240" w:lineRule="auto"/>
              <w:ind/>
              <w:jc w:val="center"/>
              <w:rPr/>
            </w:pPr>
            <w:r>
              <w:rPr>
                <w:rFonts w:ascii="Times New Roman" w:hAnsi="Times New Roman" w:eastAsia="Times New Roman" w:cs="Times New Roman"/>
                <w:b/>
                <w:color w:val="000000"/>
                <w:sz w:val="22"/>
              </w:rPr>
              <w:t xml:space="preserve">Tài sản nằm tại Thôn Phú Thụ, xã Thạch Thất, Thành phố Hà Nội; cách trục trục chính thôn khoảng 50m, cách đường DH07 khoảng 120m.</w:t>
            </w:r>
            <w:r/>
          </w:p>
        </w:tc>
        <w:tc>
          <w:tcPr>
            <w:shd w:val="clear" w:color="000000" w:fill="ffffff"/>
            <w:tcBorders/>
            <w:tcW w:w="1522" w:type="dxa"/>
            <w:vAlign w:val="center"/>
            <w:textDirection w:val="lrTb"/>
            <w:noWrap w:val="false"/>
          </w:tcPr>
          <w:p w14:paraId="387F39FD">
            <w:pPr>
              <w:pBdr/>
              <w:spacing w:after="0" w:before="0" w:line="240" w:lineRule="auto"/>
              <w:ind/>
              <w:jc w:val="center"/>
              <w:rPr/>
            </w:pPr>
            <w:r>
              <w:rPr>
                <w:rFonts w:ascii="Times New Roman" w:hAnsi="Times New Roman" w:eastAsia="Times New Roman" w:cs="Times New Roman"/>
                <w:b/>
                <w:color w:val="000000"/>
                <w:sz w:val="22"/>
              </w:rPr>
              <w:t xml:space="preserve">Tài sản nằm tại Thôn Phú Thụ, xã Thạch Thất, Thành phố Hà Nội; cách trục trục chính thôn khoảng 50m, cách đường DH07 khoảng 400m.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1.168.033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-1.185.588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992.439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24.528.689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22.526.167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20.841.210</w:t>
            </w:r>
            <w:r>
              <w:rPr>
                <w:color w:val="000000"/>
                <w:sz w:val="22"/>
                <w:szCs w:val="22"/>
              </w:rPr>
            </w:r>
            <w:r>
              <w:rPr>
                <w:color w:val="000000"/>
                <w:sz w:val="22"/>
                <w:szCs w:val="22"/>
              </w:rPr>
            </w:r>
          </w:p>
        </w:tc>
      </w:tr>
      <w:tr>
        <w:trPr>
          <w:trHeight w:val="775"/>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050B1D7">
            <w:pPr>
              <w:pBdr/>
              <w:spacing w:after="0" w:before="0" w:line="240" w:lineRule="auto"/>
              <w:ind/>
              <w:jc w:val="center"/>
              <w:rPr/>
            </w:pPr>
            <w:r>
              <w:rPr>
                <w:rFonts w:ascii="Times New Roman" w:hAnsi="Times New Roman" w:eastAsia="Times New Roman" w:cs="Times New Roman"/>
                <w:b/>
                <w:color w:val="000000"/>
                <w:sz w:val="22"/>
              </w:rPr>
              <w:t xml:space="preserve">Khoảng 3,2m</w:t>
            </w:r>
            <w:r/>
          </w:p>
        </w:tc>
        <w:tc>
          <w:tcPr>
            <w:shd w:val="clear" w:color="000000" w:fill="ffffff"/>
            <w:tcBorders/>
            <w:tcW w:w="1522" w:type="dxa"/>
            <w:vAlign w:val="center"/>
            <w:textDirection w:val="lrTb"/>
            <w:noWrap w:val="false"/>
          </w:tcPr>
          <w:p w14:paraId="03271490">
            <w:pPr>
              <w:pBdr/>
              <w:spacing w:after="0" w:before="0" w:line="240" w:lineRule="auto"/>
              <w:ind/>
              <w:jc w:val="center"/>
              <w:rPr/>
            </w:pPr>
            <w:r>
              <w:rPr>
                <w:rFonts w:ascii="Times New Roman" w:hAnsi="Times New Roman" w:eastAsia="Times New Roman" w:cs="Times New Roman"/>
                <w:b/>
                <w:color w:val="000000"/>
                <w:sz w:val="22"/>
              </w:rPr>
              <w:t xml:space="preserve">Khoảng 3m</w:t>
            </w:r>
            <w:r/>
          </w:p>
        </w:tc>
        <w:tc>
          <w:tcPr>
            <w:shd w:val="clear" w:color="000000" w:fill="ffffff"/>
            <w:tcBorders/>
            <w:tcW w:w="1522" w:type="dxa"/>
            <w:vAlign w:val="center"/>
            <w:textDirection w:val="lrTb"/>
            <w:noWrap w:val="false"/>
          </w:tcPr>
          <w:p w14:paraId="032B5D0D">
            <w:pPr>
              <w:pBdr/>
              <w:spacing w:after="0" w:before="0" w:line="240" w:lineRule="auto"/>
              <w:ind/>
              <w:jc w:val="center"/>
              <w:rPr/>
            </w:pPr>
            <w:r>
              <w:rPr>
                <w:rFonts w:ascii="Times New Roman" w:hAnsi="Times New Roman" w:eastAsia="Times New Roman" w:cs="Times New Roman"/>
                <w:b/>
                <w:color w:val="000000"/>
                <w:sz w:val="22"/>
              </w:rPr>
              <w:t xml:space="preserve">Khoảng 2,5m</w:t>
            </w:r>
            <w:r/>
          </w:p>
        </w:tc>
        <w:tc>
          <w:tcPr>
            <w:shd w:val="clear" w:color="000000" w:fill="ffffff"/>
            <w:tcBorders/>
            <w:tcW w:w="1522" w:type="dxa"/>
            <w:vAlign w:val="center"/>
            <w:textDirection w:val="lrTb"/>
            <w:noWrap w:val="false"/>
          </w:tcPr>
          <w:p w14:paraId="145AA031">
            <w:pPr>
              <w:pBdr/>
              <w:spacing w:after="0" w:before="0" w:line="240" w:lineRule="auto"/>
              <w:ind/>
              <w:jc w:val="center"/>
              <w:rPr/>
            </w:pPr>
            <w:r>
              <w:rPr>
                <w:rFonts w:ascii="Times New Roman" w:hAnsi="Times New Roman" w:eastAsia="Times New Roman" w:cs="Times New Roman"/>
                <w:b/>
                <w:color w:val="000000"/>
                <w:sz w:val="22"/>
              </w:rPr>
              <w:t xml:space="preserve">Khoảng 3m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1.185.588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24.528.689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23.711.755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20.841.210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046092">
            <w:pPr>
              <w:pBdr/>
              <w:spacing w:after="0" w:before="0" w:line="240" w:lineRule="auto"/>
              <w:ind/>
              <w:jc w:val="center"/>
              <w:rPr/>
            </w:pPr>
            <w:r>
              <w:rPr>
                <w:rFonts w:ascii="Times New Roman" w:hAnsi="Times New Roman" w:eastAsia="Times New Roman" w:cs="Times New Roman"/>
                <w:b/>
                <w:color w:val="000000"/>
                <w:sz w:val="22"/>
              </w:rPr>
              <w:t xml:space="preserve">186,0</w:t>
            </w:r>
            <w:r/>
          </w:p>
        </w:tc>
        <w:tc>
          <w:tcPr>
            <w:shd w:val="clear" w:color="000000" w:fill="ffffff"/>
            <w:tcBorders/>
            <w:tcW w:w="1522" w:type="dxa"/>
            <w:vAlign w:val="center"/>
            <w:textDirection w:val="lrTb"/>
            <w:noWrap w:val="false"/>
          </w:tcPr>
          <w:p w14:paraId="1CB8503F">
            <w:pPr>
              <w:pBdr/>
              <w:spacing w:after="0" w:before="0" w:line="240" w:lineRule="auto"/>
              <w:ind/>
              <w:jc w:val="center"/>
              <w:rPr/>
            </w:pPr>
            <w:r>
              <w:rPr>
                <w:rFonts w:ascii="Times New Roman" w:hAnsi="Times New Roman" w:eastAsia="Times New Roman" w:cs="Times New Roman"/>
                <w:b/>
                <w:color w:val="000000"/>
                <w:sz w:val="22"/>
              </w:rPr>
              <w:t xml:space="preserve">61,0</w:t>
            </w:r>
            <w:r/>
          </w:p>
        </w:tc>
        <w:tc>
          <w:tcPr>
            <w:shd w:val="clear" w:color="000000" w:fill="ffffff"/>
            <w:tcBorders/>
            <w:tcW w:w="1522" w:type="dxa"/>
            <w:vAlign w:val="center"/>
            <w:textDirection w:val="lrTb"/>
            <w:noWrap w:val="false"/>
          </w:tcPr>
          <w:p w14:paraId="1613ECBC">
            <w:pPr>
              <w:pBdr/>
              <w:spacing w:after="0" w:before="0" w:line="240" w:lineRule="auto"/>
              <w:ind/>
              <w:jc w:val="center"/>
              <w:rPr/>
            </w:pPr>
            <w:r>
              <w:rPr>
                <w:rFonts w:ascii="Times New Roman" w:hAnsi="Times New Roman" w:eastAsia="Times New Roman" w:cs="Times New Roman"/>
                <w:b/>
                <w:color w:val="000000"/>
                <w:sz w:val="22"/>
              </w:rPr>
              <w:t xml:space="preserve">62,1</w:t>
            </w:r>
            <w:r/>
          </w:p>
        </w:tc>
        <w:tc>
          <w:tcPr>
            <w:shd w:val="clear" w:color="000000" w:fill="ffffff"/>
            <w:tcBorders/>
            <w:tcW w:w="1522" w:type="dxa"/>
            <w:vAlign w:val="center"/>
            <w:textDirection w:val="lrTb"/>
            <w:noWrap w:val="false"/>
          </w:tcPr>
          <w:p w14:paraId="4AEA5D99">
            <w:pPr>
              <w:pBdr/>
              <w:spacing w:after="0" w:before="0" w:line="240" w:lineRule="auto"/>
              <w:ind/>
              <w:jc w:val="center"/>
              <w:rPr/>
            </w:pPr>
            <w:r>
              <w:rPr>
                <w:rFonts w:ascii="Times New Roman" w:hAnsi="Times New Roman" w:eastAsia="Times New Roman" w:cs="Times New Roman"/>
                <w:b/>
                <w:color w:val="000000"/>
                <w:sz w:val="22"/>
              </w:rPr>
              <w:t xml:space="preserve">105,8</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-2.803.279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-2.845.411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-1.587.902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21.725.410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20.866.344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19.253.308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4CD160">
            <w:pPr>
              <w:pBdr/>
              <w:spacing w:after="0" w:before="0" w:line="240" w:lineRule="auto"/>
              <w:ind/>
              <w:jc w:val="center"/>
              <w:rPr/>
            </w:pPr>
            <w:r>
              <w:rPr>
                <w:rFonts w:ascii="Times New Roman" w:hAnsi="Times New Roman" w:eastAsia="Times New Roman" w:cs="Times New Roman"/>
                <w:b/>
                <w:color w:val="000000"/>
                <w:sz w:val="22"/>
              </w:rPr>
              <w:t xml:space="preserve">13,09</w:t>
            </w:r>
            <w:r/>
          </w:p>
        </w:tc>
        <w:tc>
          <w:tcPr>
            <w:shd w:val="clear" w:color="000000" w:fill="ffffff"/>
            <w:tcBorders/>
            <w:tcW w:w="1522" w:type="dxa"/>
            <w:vAlign w:val="center"/>
            <w:textDirection w:val="lrTb"/>
            <w:noWrap w:val="false"/>
          </w:tcPr>
          <w:p w14:paraId="08AE937B">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000000" w:fill="ffffff"/>
            <w:tcBorders/>
            <w:tcW w:w="1522" w:type="dxa"/>
            <w:vAlign w:val="center"/>
            <w:textDirection w:val="lrTb"/>
            <w:noWrap w:val="false"/>
          </w:tcPr>
          <w:p w14:paraId="2709E969">
            <w:pPr>
              <w:pBdr/>
              <w:spacing w:after="0" w:before="0" w:line="240" w:lineRule="auto"/>
              <w:ind/>
              <w:jc w:val="center"/>
              <w:rPr/>
            </w:pPr>
            <w:r>
              <w:rPr>
                <w:rFonts w:ascii="Times New Roman" w:hAnsi="Times New Roman" w:eastAsia="Times New Roman" w:cs="Times New Roman"/>
                <w:b/>
                <w:color w:val="000000"/>
                <w:sz w:val="22"/>
              </w:rPr>
              <w:t xml:space="preserve">4,92</w:t>
            </w:r>
            <w:r/>
          </w:p>
        </w:tc>
        <w:tc>
          <w:tcPr>
            <w:shd w:val="clear" w:color="000000" w:fill="ffffff"/>
            <w:tcBorders/>
            <w:tcW w:w="1522" w:type="dxa"/>
            <w:vAlign w:val="center"/>
            <w:textDirection w:val="lrTb"/>
            <w:noWrap w:val="false"/>
          </w:tcPr>
          <w:p w14:paraId="5E79329B">
            <w:pPr>
              <w:pBdr/>
              <w:spacing w:after="0" w:before="0" w:line="240" w:lineRule="auto"/>
              <w:ind/>
              <w:jc w:val="center"/>
              <w:rPr/>
            </w:pPr>
            <w:r>
              <w:rPr>
                <w:rFonts w:ascii="Times New Roman" w:hAnsi="Times New Roman" w:eastAsia="Times New Roman" w:cs="Times New Roman"/>
                <w:b/>
                <w:color w:val="000000"/>
                <w:sz w:val="22"/>
              </w:rPr>
              <w:t xml:space="preserve">6,97</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2.336.066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2.371.176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1.389.414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24.061.476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23.237.520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20.642.722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D68B08">
            <w:pPr>
              <w:pBdr/>
              <w:spacing w:after="0" w:before="0" w:line="240" w:lineRule="auto"/>
              <w:ind/>
              <w:jc w:val="center"/>
              <w:rPr/>
            </w:pPr>
            <w:r>
              <w:rPr>
                <w:rFonts w:ascii="Times New Roman" w:hAnsi="Times New Roman" w:eastAsia="Times New Roman" w:cs="Times New Roman"/>
                <w:b/>
                <w:color w:val="000000"/>
                <w:sz w:val="22"/>
              </w:rPr>
              <w:t xml:space="preserve">02 mặt tiền trước sau</w:t>
            </w:r>
            <w:r/>
          </w:p>
        </w:tc>
        <w:tc>
          <w:tcPr>
            <w:shd w:val="clear" w:color="000000" w:fill="ffffff"/>
            <w:tcBorders/>
            <w:tcW w:w="1522" w:type="dxa"/>
            <w:vAlign w:val="center"/>
            <w:textDirection w:val="lrTb"/>
            <w:noWrap w:val="false"/>
          </w:tcPr>
          <w:p w14:paraId="2CE70483">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250CD4DE">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179B2784">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1.168.033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1.185.588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992.439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25.229.509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24.423.108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21.635.161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3C72C1">
            <w:pPr>
              <w:pBdr/>
              <w:spacing w:after="0" w:before="0" w:line="240" w:lineRule="auto"/>
              <w:ind/>
              <w:jc w:val="center"/>
              <w:rPr/>
            </w:pPr>
            <w:r>
              <w:rPr>
                <w:rFonts w:ascii="Times New Roman" w:hAnsi="Times New Roman" w:eastAsia="Times New Roman" w:cs="Times New Roman"/>
                <w:b/>
                <w:color w:val="000000"/>
                <w:sz w:val="22"/>
              </w:rPr>
              <w:t xml:space="preserve">Đa giác</w:t>
            </w:r>
            <w:r/>
          </w:p>
        </w:tc>
        <w:tc>
          <w:tcPr>
            <w:shd w:val="clear" w:color="000000" w:fill="ffffff"/>
            <w:tcBorders/>
            <w:tcW w:w="1522" w:type="dxa"/>
            <w:vAlign w:val="center"/>
            <w:textDirection w:val="lrTb"/>
            <w:noWrap w:val="false"/>
          </w:tcPr>
          <w:p w14:paraId="561674D9">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000000" w:fill="ffffff"/>
            <w:tcBorders/>
            <w:tcW w:w="1522" w:type="dxa"/>
            <w:vAlign w:val="center"/>
            <w:textDirection w:val="lrTb"/>
            <w:noWrap w:val="false"/>
          </w:tcPr>
          <w:p w14:paraId="731A7734">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000000" w:fill="ffffff"/>
            <w:tcBorders/>
            <w:tcW w:w="1522" w:type="dxa"/>
            <w:vAlign w:val="center"/>
            <w:textDirection w:val="lrTb"/>
            <w:noWrap w:val="false"/>
          </w:tcPr>
          <w:p w14:paraId="0C09CE1F">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-1.168.033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-1.185.588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-992.439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24.061.476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23.237.520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20.642.722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24.061.476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23.237.520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20.642.722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22.647.239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6,24%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-8,85%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8.643.444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9.958.939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5.954.633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EFC8E3">
            <w:pPr>
              <w:pBdr/>
              <w:spacing w:after="0" w:before="0" w:line="240" w:lineRule="auto"/>
              <w:ind/>
              <w:jc w:val="center"/>
              <w:rPr/>
            </w:pPr>
            <w:r>
              <w:rPr>
                <w:rFonts w:ascii="Times New Roman" w:hAnsi="Times New Roman" w:eastAsia="Times New Roman" w:cs="Times New Roman"/>
                <w:color w:val="000000"/>
                <w:sz w:val="22"/>
              </w:rPr>
              <w:t xml:space="preserve">5% - 12%</w:t>
            </w:r>
            <w:r/>
          </w:p>
        </w:tc>
        <w:tc>
          <w:tcPr>
            <w:shd w:val="clear" w:color="000000" w:fill="ffffff"/>
            <w:tcBorders/>
            <w:tcW w:w="1522" w:type="dxa"/>
            <w:vAlign w:val="center"/>
            <w:textDirection w:val="lrTb"/>
            <w:noWrap/>
          </w:tcPr>
          <w:p w14:paraId="02F1A3AC">
            <w:pPr>
              <w:pBdr/>
              <w:spacing w:after="0" w:before="0" w:line="240" w:lineRule="auto"/>
              <w:ind/>
              <w:jc w:val="center"/>
              <w:rPr/>
            </w:pPr>
            <w:r>
              <w:rPr>
                <w:rFonts w:ascii="Times New Roman" w:hAnsi="Times New Roman" w:eastAsia="Times New Roman" w:cs="Times New Roman"/>
                <w:color w:val="000000"/>
                <w:sz w:val="22"/>
              </w:rPr>
              <w:t xml:space="preserve">5% - 12%</w:t>
            </w:r>
            <w:r/>
          </w:p>
        </w:tc>
        <w:tc>
          <w:tcPr>
            <w:shd w:val="clear" w:color="000000" w:fill="ffffff"/>
            <w:tcBorders/>
            <w:tcW w:w="1522" w:type="dxa"/>
            <w:vAlign w:val="center"/>
            <w:textDirection w:val="lrTb"/>
            <w:noWrap/>
          </w:tcPr>
          <w:p w14:paraId="66E2EDF9">
            <w:pPr>
              <w:pBdr/>
              <w:spacing w:after="0" w:before="0" w:line="240" w:lineRule="auto"/>
              <w:ind/>
              <w:jc w:val="center"/>
              <w:rPr/>
            </w:pPr>
            <w:r>
              <w:rPr>
                <w:rFonts w:ascii="Times New Roman" w:hAnsi="Times New Roman" w:eastAsia="Times New Roman" w:cs="Times New Roman"/>
                <w:color w:val="000000"/>
                <w:sz w:val="22"/>
              </w:rPr>
              <w:t xml:space="preserve">5% - 8%</w:t>
            </w: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700.820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474.235</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793.951</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-8,85</w:t>
      </w:r>
      <w:r>
        <w:t xml:space="preserve">% </w:t>
      </w:r>
      <w:r>
        <w:t xml:space="preserve">đến</w:t>
      </w:r>
      <w:r>
        <w:t xml:space="preserve"> </w:t>
      </w:r>
      <w:r>
        <w:t xml:space="preserve"> </w:t>
      </w:r>
      <w:r>
        <w:t xml:space="preserve">6,24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24.061.476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8.022.096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23.237.520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7.745.065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20.642.722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6.880.219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22.647.380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22.600.000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22.600.000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6"/>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p w14:paraId="02C558F7">
      <w:pPr>
        <w:pBdr/>
        <w:shd w:val="nil" w:color="auto"/>
        <w:spacing/>
        <w:ind/>
        <w:rPr/>
      </w:pPr>
      <w:r>
        <w:br w:type="page" w:clear="all"/>
      </w: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656"/>
        <w:gridCol w:w="2163"/>
        <w:gridCol w:w="2126"/>
        <w:gridCol w:w="1843"/>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89E297B">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56" w:type="dxa"/>
            <w:vAlign w:val="center"/>
            <w:textDirection w:val="lrTb"/>
            <w:noWrap w:val="false"/>
          </w:tcPr>
          <w:p w14:paraId="27376B0B">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63" w:type="dxa"/>
            <w:vAlign w:val="center"/>
            <w:textDirection w:val="lrTb"/>
            <w:noWrap w:val="false"/>
          </w:tcPr>
          <w:p w14:paraId="6977C54E">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56C894A8">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280DB942">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60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30EFBEBC">
            <w:pPr>
              <w:pBdr/>
              <w:spacing w:after="0" w:before="0" w:line="276"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945" w:type="dxa"/>
            <w:vAlign w:val="center"/>
            <w:textDirection w:val="lrTb"/>
            <w:noWrap w:val="false"/>
          </w:tcPr>
          <w:p w14:paraId="4EC6E0CE">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238, tờ bản đồ số 9 có địa chỉ: Thôn Phú Thụ, xã Lại Thượng, huyện Thạch Thất, tỉnh Hà Tây </w:t>
            </w:r>
            <w:r>
              <w:rPr>
                <w:rFonts w:ascii="Times New Roman" w:hAnsi="Times New Roman" w:eastAsia="Times New Roman" w:cs="Times New Roman"/>
                <w:b/>
                <w:i/>
                <w:iCs/>
                <w:color w:val="000000"/>
                <w:sz w:val="24"/>
              </w:rPr>
              <w:t xml:space="preserve">(Nay là xã Thạch Thất, Thành phố Hà Nội)</w:t>
            </w:r>
            <w:r>
              <w:rPr>
                <w:rFonts w:ascii="Times New Roman" w:hAnsi="Times New Roman" w:eastAsia="Times New Roman" w:cs="Times New Roman"/>
                <w:b/>
                <w:color w:val="000000"/>
                <w:sz w:val="24"/>
              </w:rPr>
              <w:t xml:space="preserve"> theo Giấy chứng nhận quyền sử dụng đất số: AN 047490, số vào sổ cấp giấy chứng nhận quyền</w:t>
            </w:r>
            <w:r>
              <w:rPr>
                <w:rFonts w:ascii="Times New Roman" w:hAnsi="Times New Roman" w:eastAsia="Times New Roman" w:cs="Times New Roman"/>
                <w:b/>
                <w:color w:val="000000"/>
                <w:sz w:val="24"/>
              </w:rPr>
              <w:t xml:space="preserve"> sử dụng đất: H.01749/QSDĐ/1922/QĐ-UB do Uỷ ban nhân dân huyện Thạch Thất cấp ngày 28/7/2008; Chủ sử dụng đất là Ông Nguyễn Đình Duy và vợ là Bà Đoàn Thanh Phương </w:t>
            </w:r>
            <w:r>
              <w:rPr>
                <w:rFonts w:ascii="Times New Roman" w:hAnsi="Times New Roman" w:eastAsia="Times New Roman" w:cs="Times New Roman"/>
                <w:b/>
                <w:i/>
                <w:iCs/>
                <w:color w:val="000000"/>
                <w:sz w:val="24"/>
              </w:rPr>
              <w:t xml:space="preserve">(cập nhật ngày 28/12/2022).</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42D157AE">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DB97556">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656" w:type="dxa"/>
            <w:vAlign w:val="center"/>
            <w:textDirection w:val="lrTb"/>
            <w:noWrap w:val="false"/>
          </w:tcPr>
          <w:p w14:paraId="6206E80C">
            <w:pPr>
              <w:pBdr/>
              <w:spacing w:after="0" w:before="0" w:line="276"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2163" w:type="dxa"/>
            <w:vAlign w:val="center"/>
            <w:textDirection w:val="lrTb"/>
            <w:noWrap/>
          </w:tcPr>
          <w:p w14:paraId="2047C89C">
            <w:pPr>
              <w:pBdr/>
              <w:spacing w:after="0" w:before="0" w:line="276" w:lineRule="auto"/>
              <w:ind/>
              <w:jc w:val="center"/>
              <w:rPr/>
            </w:pPr>
            <w:r>
              <w:rPr>
                <w:rFonts w:ascii="Times New Roman" w:hAnsi="Times New Roman" w:eastAsia="Times New Roman" w:cs="Times New Roman"/>
                <w:color w:val="000000"/>
                <w:sz w:val="24"/>
              </w:rPr>
              <w:t xml:space="preserve">186,0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1176E79F">
            <w:pPr>
              <w:pBdr/>
              <w:spacing w:after="0" w:before="0" w:line="276" w:lineRule="auto"/>
              <w:ind/>
              <w:jc w:val="center"/>
              <w:rPr/>
            </w:pPr>
            <w:r>
              <w:rPr>
                <w:rFonts w:ascii="Times New Roman" w:hAnsi="Times New Roman" w:eastAsia="Times New Roman" w:cs="Times New Roman"/>
                <w:color w:val="000000"/>
                <w:sz w:val="24"/>
              </w:rPr>
              <w:t xml:space="preserve">22.600.000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1D4B56F2">
            <w:pPr>
              <w:pBdr/>
              <w:spacing w:after="0" w:before="0" w:line="276" w:lineRule="auto"/>
              <w:ind/>
              <w:jc w:val="center"/>
              <w:rPr/>
            </w:pPr>
            <w:r>
              <w:rPr>
                <w:rFonts w:ascii="Times New Roman" w:hAnsi="Times New Roman" w:eastAsia="Times New Roman" w:cs="Times New Roman"/>
                <w:color w:val="000000"/>
                <w:sz w:val="24"/>
              </w:rPr>
              <w:t xml:space="preserve">4.203.600.000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682" w:type="dxa"/>
            <w:vAlign w:val="center"/>
            <w:textDirection w:val="lrTb"/>
            <w:noWrap/>
          </w:tcPr>
          <w:p w14:paraId="4C9F47E1">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14:paraId="4DA30BEC">
            <w:pPr>
              <w:pBdr/>
              <w:spacing w:after="0" w:before="0" w:line="276" w:lineRule="auto"/>
              <w:ind/>
              <w:jc w:val="center"/>
              <w:rPr/>
            </w:pPr>
            <w:r>
              <w:rPr>
                <w:rFonts w:ascii="Times New Roman" w:hAnsi="Times New Roman" w:eastAsia="Times New Roman" w:cs="Times New Roman"/>
                <w:b/>
                <w:color w:val="000000"/>
                <w:sz w:val="24"/>
              </w:rPr>
              <w:t xml:space="preserve">4.203.600.000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682" w:type="dxa"/>
            <w:vAlign w:val="center"/>
            <w:textDirection w:val="lrTb"/>
            <w:noWrap/>
          </w:tcPr>
          <w:p w14:paraId="0CF65885">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14:paraId="20B33BAD">
            <w:pPr>
              <w:pBdr/>
              <w:spacing w:after="0" w:before="0" w:line="276" w:lineRule="auto"/>
              <w:ind/>
              <w:jc w:val="center"/>
              <w:rPr/>
            </w:pPr>
            <w:r>
              <w:rPr>
                <w:rFonts w:ascii="Times New Roman" w:hAnsi="Times New Roman" w:eastAsia="Times New Roman" w:cs="Times New Roman"/>
                <w:b/>
                <w:color w:val="000000"/>
                <w:sz w:val="24"/>
              </w:rPr>
              <w:t xml:space="preserve">4.204.000.000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714FAA5C">
            <w:pPr>
              <w:pBdr/>
              <w:spacing w:after="0" w:before="0" w:line="276" w:lineRule="auto"/>
              <w:ind/>
              <w:jc w:val="center"/>
              <w:rPr/>
            </w:pPr>
            <w:r>
              <w:rPr>
                <w:rFonts w:ascii="Times New Roman" w:hAnsi="Times New Roman" w:eastAsia="Times New Roman" w:cs="Times New Roman"/>
                <w:b/>
                <w:i/>
                <w:color w:val="000000"/>
                <w:sz w:val="24"/>
              </w:rPr>
              <w:t xml:space="preserve">(Bằng chữ: Bốn tỷ, hai trăm linh bốn triệu đồng chẵn./.)</w:t>
            </w:r>
            <w:r/>
          </w:p>
        </w:tc>
      </w:tr>
    </w:tbl>
    <w:p w14:paraId="187E2E91" w14:textId="56B58432">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6"/>
        <w:numPr>
          <w:ilvl w:val="0"/>
          <w:numId w:val="3"/>
        </w:numPr>
        <w:pBdr/>
        <w:tabs>
          <w:tab w:val="left" w:leader="none" w:pos="993"/>
        </w:tabs>
        <w:spacing w:after="120" w:before="120" w:line="288" w:lineRule="auto"/>
        <w:ind/>
        <w:jc w:val="both"/>
        <w:rPr>
          <w:lang w:val="vi-VN"/>
          <w14:ligatures w14:val="none"/>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w:t>
      </w:r>
      <w:r>
        <w:rPr>
          <w:lang w:val="vi-VN"/>
        </w:rPr>
        <w:t xml:space="preserve">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14:ligatures w14:val="none"/>
        </w:rPr>
      </w:r>
    </w:p>
    <w:p w14:paraId="74816701">
      <w:pPr>
        <w:pStyle w:val="1026"/>
        <w:numPr>
          <w:ilvl w:val="0"/>
          <w:numId w:val="3"/>
        </w:numPr>
        <w:pBdr/>
        <w:tabs>
          <w:tab w:val="left" w:leader="none" w:pos="993"/>
        </w:tabs>
        <w:spacing w:after="120" w:before="120" w:line="288" w:lineRule="auto"/>
        <w:ind/>
        <w:jc w:val="both"/>
        <w:rPr>
          <w:lang w:val="vi-VN"/>
          <w14:ligatures w14:val="none"/>
        </w:rPr>
      </w:pPr>
      <w:r>
        <w:rPr>
          <w:lang w:val="vi-VN" w:bidi="vi-VN"/>
        </w:rPr>
      </w:r>
      <w:r>
        <w:rPr>
          <w:lang w:val="vi-VN"/>
        </w:rPr>
        <w:t xml:space="preserve">Tại thời điểm khảo sát dưới sự hướng dẫn của Khách hàng, CTXD gắn liền với đất là Nhà 1,5 tầng xây dựng năm 2009, diện tích xây dựng khoảng 50m2</w:t>
      </w:r>
      <w:r>
        <w:rPr>
          <w:lang w:val="vi-VN" w:bidi="pt-BR"/>
        </w:rPr>
        <w:t xml:space="preserve">. Công trình chưa được chứng nhận trên GCN. Đồng thời, Tổ thẩm định không nhận đ</w:t>
      </w:r>
      <w:r>
        <w:rPr>
          <w:lang w:val="vi-VN" w:bidi="pt-BR"/>
        </w:rPr>
        <w:t xml:space="preserve">ư</w:t>
      </w:r>
      <w:r>
        <w:rPr>
          <w:lang w:val="vi-VN"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lang w:val="vi-VN" w:bidi="pt-BR"/>
        </w:rPr>
        <w:t xml:space="preserve"> nghị đơn vị sử dụng kết quả lưu ý</w:t>
      </w:r>
      <w:r>
        <w:rPr>
          <w:lang w:val="vi-VN" w:bidi="pt-BR"/>
        </w:rPr>
        <w:t xml:space="preserve">.</w:t>
      </w:r>
      <w:r>
        <w:rPr>
          <w:lang w:val="vi-VN"/>
        </w:rPr>
      </w:r>
      <w:r>
        <w:rPr>
          <w:lang w:val="vi-VN"/>
          <w14:ligatures w14:val="none"/>
        </w:rPr>
      </w:r>
    </w:p>
    <w:p w14:paraId="0F9E384F" w14:textId="63102E36">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275/2026/0003/VFI-CT.21.A</w:t>
      </w:r>
      <w:r>
        <w:rPr>
          <w:color w:val="ff0000"/>
          <w:lang w:val="vi-VN"/>
        </w:rPr>
        <w:t xml:space="preserve"> </w:t>
      </w:r>
      <w:r>
        <w:rPr>
          <w:color w:val="000000" w:themeColor="text1"/>
        </w:rPr>
        <w:t xml:space="preserve">ngày 05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148" w:type="pct"/>
        <w:tblBorders/>
        <w:tblLayout w:type="fixed"/>
        <w:tblLook w:val="01E0" w:firstRow="1" w:lastRow="1" w:firstColumn="1" w:lastColumn="1" w:noHBand="0" w:noVBand="0"/>
      </w:tblPr>
      <w:tblGrid>
        <w:gridCol w:w="4687"/>
        <w:gridCol w:w="5120"/>
      </w:tblGrid>
      <w:tr>
        <w:trPr>
          <w:trHeight w:val="20"/>
        </w:trPr>
        <w:tc>
          <w:tcPr>
            <w:tcBorders/>
            <w:tcW w:w="4687"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20"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20"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20" w:type="dxa"/>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275/2026/0003/VFI-BC.21.A</w:t>
      </w:r>
      <w:r>
        <w:rPr>
          <w:i/>
          <w:lang w:val="pt-BR"/>
        </w:rPr>
        <w:t xml:space="preserve"> </w:t>
      </w:r>
      <w:r>
        <w:rPr>
          <w:i/>
          <w:lang w:val="pt-BR"/>
        </w:rPr>
        <w:t xml:space="preserve">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78134" name=""/>
                              <pic:cNvPicPr>
                                <a:picLocks noChangeAspect="1"/>
                              </pic:cNvPicPr>
                              <pic:nvPr/>
                            </pic:nvPicPr>
                            <pic:blipFill rotWithShape="1">
                              <a:blip r:embed="rId20"/>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sát+Người hướng dẫn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05033" name=""/>
                              <pic:cNvPicPr>
                                <a:picLocks noChangeAspect="1"/>
                              </pic:cNvPicPr>
                              <pic:nvPr/>
                            </pic:nvPicPr>
                            <pic:blipFill rotWithShape="1">
                              <a:blip r:embed="rId21"/>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8766" cy="218907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38517" name=""/>
                              <pic:cNvPicPr>
                                <a:picLocks noChangeAspect="1"/>
                              </pic:cNvPicPr>
                              <pic:nvPr/>
                            </pic:nvPicPr>
                            <pic:blipFill rotWithShape="1">
                              <a:blip r:embed="rId22"/>
                              <a:stretch/>
                            </pic:blipFill>
                            <pic:spPr bwMode="auto">
                              <a:xfrm flipH="0" flipV="0">
                                <a:off x="0" y="0"/>
                                <a:ext cx="2918765" cy="2189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82pt;height:172.3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Đường sau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82365"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2826" cy="225962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47691" name=""/>
                              <pic:cNvPicPr>
                                <a:picLocks noChangeAspect="1"/>
                              </pic:cNvPicPr>
                              <pic:nvPr/>
                            </pic:nvPicPr>
                            <pic:blipFill rotWithShape="1">
                              <a:blip r:embed="rId24"/>
                              <a:stretch/>
                            </pic:blipFill>
                            <pic:spPr bwMode="auto">
                              <a:xfrm flipH="0" flipV="0">
                                <a:off x="0" y="0"/>
                                <a:ext cx="3012826" cy="22596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7.23pt;height:177.92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275/2026/0003/VFI-BC.21.A</w:t>
      </w:r>
      <w:r>
        <w:rPr>
          <w:i/>
          <w:lang w:val="pt-BR"/>
        </w:rPr>
        <w:t xml:space="preserve"> </w:t>
      </w:r>
      <w:r>
        <w:rPr>
          <w:i/>
          <w:lang w:val="pt-BR"/>
        </w:rPr>
        <w:t xml:space="preserve">ngày 05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mc:AlternateContent>
          <mc:Choice Requires="wpg">
            <w:drawing>
              <wp:inline xmlns:wp="http://schemas.openxmlformats.org/drawingml/2006/wordprocessingDrawing" distT="0" distB="0" distL="0" distR="0">
                <wp:extent cx="4781331" cy="617363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23367" name=""/>
                        <pic:cNvPicPr>
                          <a:picLocks noChangeAspect="1"/>
                        </pic:cNvPicPr>
                        <pic:nvPr/>
                      </pic:nvPicPr>
                      <pic:blipFill rotWithShape="1">
                        <a:blip r:embed="rId25"/>
                        <a:stretch/>
                      </pic:blipFill>
                      <pic:spPr bwMode="auto">
                        <a:xfrm flipH="0" flipV="0">
                          <a:off x="0" y="0"/>
                          <a:ext cx="4781331" cy="61736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6.48pt;height:486.11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598055" cy="112244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41654" name=""/>
                              <pic:cNvPicPr>
                                <a:picLocks noChangeAspect="1"/>
                              </pic:cNvPicPr>
                              <pic:nvPr/>
                            </pic:nvPicPr>
                            <pic:blipFill rotWithShape="1">
                              <a:blip r:embed="rId26"/>
                              <a:stretch/>
                            </pic:blipFill>
                            <pic:spPr bwMode="auto">
                              <a:xfrm flipH="0" flipV="0">
                                <a:off x="0" y="0"/>
                                <a:ext cx="1598055" cy="11224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5.83pt;height:88.38pt;mso-wrap-distance-left:0.00pt;mso-wrap-distance-top:0.00pt;mso-wrap-distance-right:0.00pt;mso-wrap-distance-bottom:0.00pt;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rPr>
            </w:pPr>
            <w:r>
              <w:rPr>
                <w:b/>
                <w:bCs/>
              </w:rPr>
              <w:t xml:space="preserve">Trương Thị Diệp</w:t>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r>
      <w:r>
        <mc:AlternateContent>
          <mc:Choice Requires="wpg">
            <w:drawing>
              <wp:inline xmlns:wp="http://schemas.openxmlformats.org/drawingml/2006/wordprocessingDrawing" distT="0" distB="0" distL="0" distR="0">
                <wp:extent cx="5490070" cy="718170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72858" name=""/>
                        <pic:cNvPicPr>
                          <a:picLocks noChangeAspect="1"/>
                        </pic:cNvPicPr>
                        <pic:nvPr/>
                      </pic:nvPicPr>
                      <pic:blipFill rotWithShape="1">
                        <a:blip r:embed="rId27"/>
                        <a:stretch/>
                      </pic:blipFill>
                      <pic:spPr bwMode="auto">
                        <a:xfrm flipH="0" flipV="0">
                          <a:off x="0" y="0"/>
                          <a:ext cx="5490069" cy="71817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2.29pt;height:565.49pt;mso-wrap-distance-left:0.00pt;mso-wrap-distance-top:0.00pt;mso-wrap-distance-right:0.00pt;mso-wrap-distance-bottom:0.00pt;z-index:1;" stroked="false">
                <v:imagedata r:id="rId27" o:title=""/>
                <o:lock v:ext="edit" rotation="t"/>
              </v:shape>
            </w:pict>
          </mc:Fallback>
        </mc:AlternateContent>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FBA138D">
            <w:pPr>
              <w:pBdr/>
              <w:spacing/>
              <w:ind/>
              <w:jc w:val="center"/>
              <w:rPr>
                <w:b/>
                <w:bCs/>
              </w:rPr>
            </w:pPr>
            <w:r>
              <w:rPr>
                <w:b/>
                <w:bCs/>
              </w:rPr>
            </w:r>
            <w:r>
              <w:rPr>
                <w:b/>
                <w:bCs/>
              </w:rPr>
            </w:r>
            <w:r>
              <w:rPr>
                <w:b/>
                <w:bCs/>
              </w:rPr>
            </w:r>
          </w:p>
        </w:tc>
        <w:tc>
          <w:tcPr>
            <w:tcBorders/>
            <w:tcW w:w="4776" w:type="dxa"/>
            <w:vAlign w:val="center"/>
            <w:textDirection w:val="lrTb"/>
            <w:noWrap/>
          </w:tcPr>
          <w:p w14:paraId="00D0E485">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598056" cy="112244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11027" name=""/>
                              <pic:cNvPicPr>
                                <a:picLocks noChangeAspect="1"/>
                              </pic:cNvPicPr>
                              <pic:nvPr/>
                            </pic:nvPicPr>
                            <pic:blipFill rotWithShape="1">
                              <a:blip r:embed="rId26"/>
                              <a:stretch/>
                            </pic:blipFill>
                            <pic:spPr bwMode="auto">
                              <a:xfrm rot="0" flipH="0" flipV="0">
                                <a:off x="0" y="0"/>
                                <a:ext cx="1598054" cy="11224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5.83pt;height:88.38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14:paraId="031BD368">
            <w:pPr>
              <w:pBdr/>
              <w:spacing/>
              <w:ind/>
              <w:jc w:val="center"/>
              <w:rPr>
                <w:b/>
                <w:bCs/>
              </w:rPr>
            </w:pPr>
            <w:r>
              <w:rPr>
                <w:b/>
                <w:bCs/>
              </w:rPr>
            </w:r>
            <w:r>
              <w:rPr>
                <w:b/>
                <w:bCs/>
              </w:rPr>
            </w:r>
            <w:r>
              <w:rPr>
                <w:b/>
                <w:bCs/>
              </w:rPr>
            </w:r>
          </w:p>
        </w:tc>
        <w:tc>
          <w:tcPr>
            <w:tcBorders/>
            <w:tcW w:w="4776" w:type="dxa"/>
            <w:vAlign w:val="center"/>
            <w:textDirection w:val="lrTb"/>
            <w:noWrap/>
          </w:tcPr>
          <w:p w14:paraId="2A12FCB2">
            <w:pPr>
              <w:pBdr/>
              <w:spacing/>
              <w:ind/>
              <w:jc w:val="center"/>
              <w:rPr>
                <w:b/>
                <w:bCs/>
              </w:rPr>
            </w:pPr>
            <w:r>
              <w:rPr>
                <w:b/>
                <w:bCs/>
              </w:rPr>
              <w:t xml:space="preserve">Trương Thị Diệp</w:t>
            </w:r>
            <w:r>
              <w:rPr>
                <w:b/>
                <w:bCs/>
              </w:rPr>
            </w:r>
            <w:r>
              <w:rPr>
                <w:b/>
                <w:bCs/>
              </w:rPr>
            </w:r>
          </w:p>
          <w:p w14:paraId="0AB5ACA1">
            <w:pPr>
              <w:pBdr/>
              <w:spacing/>
              <w:ind/>
              <w:jc w:val="center"/>
              <w:rPr/>
            </w:pPr>
            <w:r/>
            <w:r/>
          </w:p>
        </w:tc>
      </w:tr>
    </w:tbl>
    <w:p w14:paraId="2C630E19">
      <w:pPr>
        <w:pBdr/>
        <w:spacing w:after="200" w:line="276" w:lineRule="auto"/>
        <w:ind/>
        <w:rPr>
          <w:b/>
          <w:bCs/>
          <w:lang w:val="pt-BR"/>
        </w:rPr>
      </w:pPr>
      <w:r>
        <w:rPr>
          <w:b/>
          <w:bCs/>
          <w:iCs/>
          <w:lang w:val="pt-BR"/>
        </w:rPr>
      </w:r>
      <w:r>
        <mc:AlternateContent>
          <mc:Choice Requires="wpg">
            <w:drawing>
              <wp:inline xmlns:wp="http://schemas.openxmlformats.org/drawingml/2006/wordprocessingDrawing" distT="0" distB="0" distL="0" distR="0">
                <wp:extent cx="6048375" cy="740687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05414" name=""/>
                        <pic:cNvPicPr>
                          <a:picLocks noChangeAspect="1"/>
                        </pic:cNvPicPr>
                        <pic:nvPr/>
                      </pic:nvPicPr>
                      <pic:blipFill rotWithShape="1">
                        <a:blip r:embed="rId28"/>
                        <a:stretch/>
                      </pic:blipFill>
                      <pic:spPr bwMode="auto">
                        <a:xfrm>
                          <a:off x="0" y="0"/>
                          <a:ext cx="6048374" cy="74068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583.22pt;mso-wrap-distance-left:0.00pt;mso-wrap-distance-top:0.00pt;mso-wrap-distance-right:0.00pt;mso-wrap-distance-bottom:0.00pt;z-index:1;" stroked="false">
                <v:imagedata r:id="rId28" o:title=""/>
                <o:lock v:ext="edit" rotation="t"/>
              </v:shape>
            </w:pict>
          </mc:Fallback>
        </mc:AlternateContent>
      </w:r>
      <w:r>
        <w:rPr>
          <w:b/>
          <w:bCs/>
          <w:lang w:val="pt-BR"/>
        </w:rPr>
      </w:r>
      <w:r>
        <w:rPr>
          <w:b/>
          <w:b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45901CB">
            <w:pPr>
              <w:pBdr/>
              <w:spacing/>
              <w:ind/>
              <w:jc w:val="center"/>
              <w:rPr>
                <w:b/>
                <w:bCs/>
              </w:rPr>
            </w:pPr>
            <w:r>
              <w:rPr>
                <w:b/>
                <w:bCs/>
              </w:rPr>
            </w:r>
            <w:r>
              <w:rPr>
                <w:b/>
                <w:bCs/>
              </w:rPr>
            </w:r>
            <w:r>
              <w:rPr>
                <w:b/>
                <w:bCs/>
              </w:rPr>
            </w:r>
          </w:p>
        </w:tc>
        <w:tc>
          <w:tcPr>
            <w:tcBorders/>
            <w:tcW w:w="4776" w:type="dxa"/>
            <w:vAlign w:val="center"/>
            <w:textDirection w:val="lrTb"/>
            <w:noWrap/>
          </w:tcPr>
          <w:p w14:paraId="0C9EF3E5">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598056" cy="112244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6335" name=""/>
                              <pic:cNvPicPr>
                                <a:picLocks noChangeAspect="1"/>
                              </pic:cNvPicPr>
                              <pic:nvPr/>
                            </pic:nvPicPr>
                            <pic:blipFill rotWithShape="1">
                              <a:blip r:embed="rId26"/>
                              <a:stretch/>
                            </pic:blipFill>
                            <pic:spPr bwMode="auto">
                              <a:xfrm rot="0" flipH="0" flipV="0">
                                <a:off x="0" y="0"/>
                                <a:ext cx="1598054" cy="11224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5.83pt;height:88.38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14:paraId="34308DA8">
            <w:pPr>
              <w:pBdr/>
              <w:spacing/>
              <w:ind/>
              <w:jc w:val="center"/>
              <w:rPr>
                <w:b/>
                <w:bCs/>
              </w:rPr>
            </w:pPr>
            <w:r>
              <w:rPr>
                <w:b/>
                <w:bCs/>
              </w:rPr>
            </w:r>
            <w:r>
              <w:rPr>
                <w:b/>
                <w:bCs/>
              </w:rPr>
            </w:r>
            <w:r>
              <w:rPr>
                <w:b/>
                <w:bCs/>
              </w:rPr>
            </w:r>
          </w:p>
        </w:tc>
        <w:tc>
          <w:tcPr>
            <w:tcBorders/>
            <w:tcW w:w="4776" w:type="dxa"/>
            <w:vAlign w:val="center"/>
            <w:textDirection w:val="lrTb"/>
            <w:noWrap/>
          </w:tcPr>
          <w:p w14:paraId="754C2AC0">
            <w:pPr>
              <w:pBdr/>
              <w:spacing/>
              <w:ind/>
              <w:jc w:val="center"/>
              <w:rPr>
                <w:b/>
                <w:bCs/>
              </w:rPr>
            </w:pPr>
            <w:r>
              <w:rPr>
                <w:b/>
                <w:bCs/>
              </w:rPr>
              <w:t xml:space="preserve">Trương Thị Diệp</w:t>
            </w:r>
            <w:r>
              <w:rPr>
                <w:b/>
                <w:bCs/>
              </w:rPr>
            </w:r>
            <w:r>
              <w:rPr>
                <w:b/>
                <w:bCs/>
              </w:rPr>
            </w:r>
          </w:p>
          <w:p w14:paraId="639EA36F">
            <w:pPr>
              <w:pBdr/>
              <w:spacing/>
              <w:ind/>
              <w:jc w:val="center"/>
              <w:rPr/>
            </w:pPr>
            <w:r/>
            <w:r/>
          </w:p>
        </w:tc>
      </w:tr>
    </w:tbl>
    <w:p w14:paraId="3651EF41">
      <w:pPr>
        <w:pBdr/>
        <w:spacing w:after="200" w:line="276" w:lineRule="auto"/>
        <w:ind/>
        <w:rPr>
          <w:highlight w:val="none"/>
        </w:rPr>
      </w:pPr>
      <w:r>
        <w:rPr>
          <w:b/>
          <w:bCs/>
          <w:iCs/>
          <w:lang w:val="pt-BR"/>
        </w:rPr>
        <w:br w:type="page" w:clear="all"/>
      </w:r>
      <w:r>
        <mc:AlternateContent>
          <mc:Choice Requires="wpg">
            <w:drawing>
              <wp:inline xmlns:wp="http://schemas.openxmlformats.org/drawingml/2006/wordprocessingDrawing" distT="0" distB="0" distL="0" distR="0">
                <wp:extent cx="6048375" cy="389991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63715" name=""/>
                        <pic:cNvPicPr>
                          <a:picLocks noChangeAspect="1"/>
                        </pic:cNvPicPr>
                        <pic:nvPr/>
                      </pic:nvPicPr>
                      <pic:blipFill rotWithShape="1">
                        <a:blip r:embed="rId29"/>
                        <a:stretch/>
                      </pic:blipFill>
                      <pic:spPr bwMode="auto">
                        <a:xfrm flipH="0" flipV="0">
                          <a:off x="0" y="0"/>
                          <a:ext cx="6048374" cy="3899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07.08pt;mso-wrap-distance-left:0.00pt;mso-wrap-distance-top:0.00pt;mso-wrap-distance-right:0.00pt;mso-wrap-distance-bottom:0.00pt;z-index:1;" stroked="false">
                <v:imagedata r:id="rId29" o:title=""/>
                <o:lock v:ext="edit" rotation="t"/>
              </v:shape>
            </w:pict>
          </mc:Fallback>
        </mc:AlternateContent>
      </w:r>
      <w:r>
        <w:rPr>
          <w:highlight w:val="none"/>
        </w:rPr>
      </w:r>
      <w:r>
        <w:rPr>
          <w:highlight w:val="none"/>
        </w:rPr>
      </w:r>
    </w:p>
    <w:p w14:paraId="7280283E">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318120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97245" name=""/>
                        <pic:cNvPicPr>
                          <a:picLocks noChangeAspect="1"/>
                        </pic:cNvPicPr>
                        <pic:nvPr/>
                      </pic:nvPicPr>
                      <pic:blipFill rotWithShape="1">
                        <a:blip r:embed="rId30"/>
                        <a:stretch/>
                      </pic:blipFill>
                      <pic:spPr bwMode="auto">
                        <a:xfrm rot="0" flipH="0" flipV="0">
                          <a:off x="0" y="0"/>
                          <a:ext cx="6048374" cy="31812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250.49pt;mso-wrap-distance-left:0.00pt;mso-wrap-distance-top:0.00pt;mso-wrap-distance-right:0.00pt;mso-wrap-distance-bottom:0.00pt;rotation:0;z-index:1;" stroked="false">
                <v:imagedata r:id="rId30" o:title=""/>
                <o:lock v:ext="edit" rotation="t"/>
              </v:shape>
            </w:pict>
          </mc:Fallback>
        </mc:AlternateContent>
      </w:r>
      <w:r>
        <w:rPr>
          <w:highlight w:val="none"/>
        </w:rPr>
      </w:r>
      <w:r>
        <w:rPr>
          <w:highlight w:val="none"/>
        </w:rPr>
      </w:r>
    </w:p>
    <w:p w14:paraId="65B2A928">
      <w:pPr>
        <w:pBdr/>
        <w:spacing w:after="200" w:line="276" w:lineRule="auto"/>
        <w:ind/>
        <w:rPr>
          <w:b/>
          <w:bCs/>
          <w:lang w:val="pt-BR"/>
        </w:rPr>
      </w:pPr>
      <w:r>
        <w:rPr>
          <w:highlight w:val="none"/>
          <w:lang w:val="pt-BR" w:bidi="pt-BR"/>
        </w:rPr>
      </w:r>
      <w:r>
        <mc:AlternateContent>
          <mc:Choice Requires="wpg">
            <w:drawing>
              <wp:inline xmlns:wp="http://schemas.openxmlformats.org/drawingml/2006/wordprocessingDrawing" distT="0" distB="0" distL="0" distR="0">
                <wp:extent cx="5821817" cy="870570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7496" name=""/>
                        <pic:cNvPicPr>
                          <a:picLocks noChangeAspect="1"/>
                        </pic:cNvPicPr>
                        <pic:nvPr/>
                      </pic:nvPicPr>
                      <pic:blipFill rotWithShape="1">
                        <a:blip r:embed="rId31"/>
                        <a:stretch/>
                      </pic:blipFill>
                      <pic:spPr bwMode="auto">
                        <a:xfrm flipH="0" flipV="0">
                          <a:off x="0" y="0"/>
                          <a:ext cx="5821817" cy="87057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58.41pt;height:685.49pt;mso-wrap-distance-left:0.00pt;mso-wrap-distance-top:0.00pt;mso-wrap-distance-right:0.00pt;mso-wrap-distance-bottom:0.00pt;z-index:1;" stroked="false">
                <v:imagedata r:id="rId31" o:title=""/>
                <o:lock v:ext="edit" rotation="t"/>
              </v:shape>
            </w:pict>
          </mc:Fallback>
        </mc:AlternateContent>
      </w:r>
      <w:r>
        <w:rPr>
          <w:highlight w:val="none"/>
          <w:lang w:val="pt-BR"/>
        </w:rPr>
      </w:r>
      <w:r>
        <w:rPr>
          <w:b/>
          <w:bCs/>
          <w:lang w:val="pt-BR"/>
        </w:rPr>
      </w:r>
    </w:p>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271</cp:revision>
  <dcterms:created xsi:type="dcterms:W3CDTF">2025-09-15T09:58:00Z</dcterms:created>
  <dcterms:modified xsi:type="dcterms:W3CDTF">2026-01-06T01:54:15Z</dcterms:modified>
</cp:coreProperties>
</file>