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202279</wp:posOffset>
                </wp:positionV>
                <wp:extent cx="5467350" cy="38778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87789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793CABCD">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326840A1">
                            <w:pPr>
                              <w:pBdr/>
                              <w:spacing w:after="120" w:before="120" w:line="276" w:lineRule="auto"/>
                              <w:ind/>
                              <w:jc w:val="center"/>
                              <w:rPr>
                                <w:b/>
                              </w:rPr>
                            </w:pPr>
                            <w:r>
                              <w:rPr>
                                <w:b/>
                              </w:rPr>
                              <w:t xml:space="preserve">Số</w:t>
                            </w:r>
                            <w:r>
                              <w:rPr>
                                <w:b/>
                              </w:rPr>
                              <w:t xml:space="preserve">: </w:t>
                            </w:r>
                            <w:r>
                              <w:rPr>
                                <w:rFonts w:ascii="Times New Roman" w:hAnsi="Times New Roman" w:eastAsia="Times New Roman" w:cs="Times New Roman"/>
                                <w:b/>
                                <w:bCs/>
                                <w:color w:val="081b3a"/>
                                <w:spacing w:val="3"/>
                                <w:sz w:val="24"/>
                                <w:szCs w:val="24"/>
                                <w:highlight w:val="white"/>
                              </w:rPr>
                              <w:t xml:space="preserve">275/2025/1883/VFI-CT.51.A</w:t>
                            </w:r>
                            <w:r>
                              <w:rPr>
                                <w:b/>
                              </w:rPr>
                            </w:r>
                            <w:r>
                              <w:rPr>
                                <w:b/>
                              </w:rPr>
                            </w:r>
                          </w:p>
                          <w:p w14:paraId="2A7807C2">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w:hAnsi="Times New Roman" w:eastAsia="Times New Roman" w:cs="Times New Roman"/>
                                <w:b/>
                                <w:color w:val="000000"/>
                                <w:sz w:val="24"/>
                              </w:rPr>
                              <w:t xml:space="preserve">CÔNG TY TNHH THƯƠNG MẠI VÀ DỊCH VỤ GIA HIỂN</w:t>
                            </w:r>
                            <w:r>
                              <w:rPr>
                                <w:rFonts w:ascii="Times New Roman Bold" w:hAnsi="Times New Roman Bold"/>
                                <w:b/>
                                <w:lang w:val="pt-BR"/>
                              </w:rPr>
                            </w:r>
                            <w:r>
                              <w:rPr>
                                <w:rFonts w:ascii="Times New Roman Bold" w:hAnsi="Times New Roman Bold"/>
                                <w:b/>
                                <w:lang w:val="pt-BR"/>
                              </w:rPr>
                            </w:r>
                          </w:p>
                          <w:p w14:paraId="22855275">
                            <w:pPr>
                              <w:pBdr/>
                              <w:spacing w:after="120" w:before="120" w:line="360" w:lineRule="auto"/>
                              <w:ind/>
                              <w:jc w:val="both"/>
                              <w:rPr>
                                <w:rFonts w:ascii="Times New Roman" w:hAnsi="Times New Roman" w:eastAsia="Times New Roman" w:cs="Times New Roman"/>
                                <w:i/>
                                <w:iCs/>
                                <w:color w:val="000000"/>
                                <w:sz w:val="24"/>
                                <w:szCs w:val="24"/>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17 LKP-3 , tờ bản đồ số: TKPL có </w:t>
                            </w:r>
                            <w:r>
                              <w:rPr>
                                <w:rFonts w:ascii="Times New Roman" w:hAnsi="Times New Roman" w:eastAsia="Times New Roman" w:cs="Times New Roman"/>
                                <w:color w:val="000000"/>
                                <w:sz w:val="24"/>
                              </w:rPr>
                              <w:t xml:space="preserve">địa chỉ: Khu hạ tầng kỹ thuật, tổ dân phố Kem, thị trấn Nham Biền, huyện Yên Dũng, tỉnh Bắc Giang (nay là phường Nham Biền, tỉnh Bắc Ninh) theo Giấy chứng nhận quyền sử dụng đất, quyền sở hữu nhà ở và  tài sản  khác gắn liền với đất số: DA 396911, số vào s</w:t>
                            </w:r>
                            <w:r>
                              <w:rPr>
                                <w:rFonts w:ascii="Times New Roman" w:hAnsi="Times New Roman" w:eastAsia="Times New Roman" w:cs="Times New Roman"/>
                                <w:color w:val="000000"/>
                                <w:sz w:val="24"/>
                              </w:rPr>
                              <w:t xml:space="preserve">ổ cấp GCN: CH 00736 do UBND huyện Yên Dũng cấp  ngày 21</w:t>
                            </w:r>
                            <w:r>
                              <w:rPr>
                                <w:rFonts w:ascii="Times New Roman" w:hAnsi="Times New Roman" w:eastAsia="Times New Roman" w:cs="Times New Roman"/>
                                <w:color w:val="000000"/>
                                <w:sz w:val="24"/>
                                <w:highlight w:val="white"/>
                              </w:rPr>
                              <w:t xml:space="preserve">/01/202</w:t>
                            </w:r>
                            <w:r>
                              <w:rPr>
                                <w:rFonts w:ascii="Times New Roman" w:hAnsi="Times New Roman" w:eastAsia="Times New Roman" w:cs="Times New Roman"/>
                                <w:color w:val="000000"/>
                                <w:sz w:val="24"/>
                              </w:rPr>
                              <w:t xml:space="preserve">1, Chủ sử dụng đất là ông Nguyễn Văn Ngọc</w:t>
                            </w:r>
                            <w:r>
                              <w:rPr>
                                <w:rFonts w:ascii="Times New Roman" w:hAnsi="Times New Roman" w:eastAsia="Times New Roman" w:cs="Times New Roman"/>
                                <w:i/>
                                <w:color w:val="000000"/>
                                <w:sz w:val="24"/>
                              </w:rPr>
                              <w:t xml:space="preserve">.</w:t>
                            </w:r>
                            <w:r>
                              <w:rPr>
                                <w:rFonts w:ascii="Times New Roman" w:hAnsi="Times New Roman" w:eastAsia="Times New Roman" w:cs="Times New Roman"/>
                                <w:i/>
                                <w:iCs/>
                                <w:color w:val="000000"/>
                                <w:sz w:val="24"/>
                                <w:szCs w:val="24"/>
                                <w:highlight w:val="none"/>
                              </w:rPr>
                            </w:r>
                            <w:r>
                              <w:rPr>
                                <w:rFonts w:ascii="Times New Roman" w:hAnsi="Times New Roman" w:eastAsia="Times New Roman" w:cs="Times New Roman"/>
                                <w:i/>
                                <w:iCs/>
                                <w:color w:val="000000"/>
                                <w:sz w:val="24"/>
                                <w:szCs w:val="24"/>
                                <w:highlight w:val="none"/>
                              </w:rPr>
                            </w:r>
                          </w:p>
                          <w:p w14:paraId="6A3493C5">
                            <w:pPr>
                              <w:pBdr/>
                              <w:spacing w:after="120" w:before="120" w:line="360" w:lineRule="auto"/>
                              <w:ind/>
                              <w:jc w:val="both"/>
                              <w:rPr>
                                <w:bCs/>
                                <w:i/>
                              </w:rPr>
                            </w:pPr>
                            <w:r>
                              <w:rPr>
                                <w:rFonts w:ascii="Times New Roman" w:hAnsi="Times New Roman" w:eastAsia="Times New Roman" w:cs="Times New Roman"/>
                                <w:i/>
                                <w:color w:val="000000"/>
                                <w:sz w:val="24"/>
                                <w:highlight w:val="none"/>
                              </w:rPr>
                            </w:r>
                            <w:r>
                              <w:rPr>
                                <w:bCs/>
                                <w:i/>
                              </w:rPr>
                            </w:r>
                            <w:r>
                              <w:rPr>
                                <w:bCs/>
                                <w:i/>
                              </w:rPr>
                            </w:r>
                          </w:p>
                          <w:p w14:paraId="493B9003">
                            <w:pPr>
                              <w:pBdr/>
                              <w:spacing w:after="120" w:before="120" w:line="360" w:lineRule="auto"/>
                              <w:ind/>
                              <w:jc w:val="center"/>
                              <w:rPr>
                                <w:iCs/>
                                <w:highlight w:val="none"/>
                                <w:lang w:val="pt-BR"/>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12/2025</w:t>
                            </w:r>
                            <w:r>
                              <w:rPr>
                                <w:lang w:val="pt-BR"/>
                              </w:rPr>
                              <w:t xml:space="preserve">.</w:t>
                            </w:r>
                            <w:r>
                              <w:rPr>
                                <w:iCs/>
                                <w:highlight w:val="none"/>
                                <w:lang w:val="pt-BR"/>
                              </w:rPr>
                            </w:r>
                            <w:r>
                              <w:rPr>
                                <w:iCs/>
                                <w:highlight w:val="none"/>
                                <w:lang w:val="pt-BR"/>
                              </w:rPr>
                            </w:r>
                          </w:p>
                          <w:p w14:paraId="1C058B7E">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15.93pt;mso-position-vertical:absolute;width:430.50pt;height:305.35pt;mso-wrap-distance-left:9.00pt;mso-wrap-distance-top:0.00pt;mso-wrap-distance-right:9.00pt;mso-wrap-distance-bottom:0.00pt;v-text-anchor:top;visibility:visible;" fillcolor="#FFFFFF" strokecolor="#16355B" strokeweight="2.50pt">
                <v:textbox inset="0,0,0,0">
                  <w:txbxContent>
                    <w:p w14:paraId="793CABCD">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326840A1">
                      <w:pPr>
                        <w:pBdr/>
                        <w:spacing w:after="120" w:before="120" w:line="276" w:lineRule="auto"/>
                        <w:ind/>
                        <w:jc w:val="center"/>
                        <w:rPr>
                          <w:b/>
                        </w:rPr>
                      </w:pPr>
                      <w:r>
                        <w:rPr>
                          <w:b/>
                        </w:rPr>
                        <w:t xml:space="preserve">Số</w:t>
                      </w:r>
                      <w:r>
                        <w:rPr>
                          <w:b/>
                        </w:rPr>
                        <w:t xml:space="preserve">: </w:t>
                      </w:r>
                      <w:r>
                        <w:rPr>
                          <w:rFonts w:ascii="Times New Roman" w:hAnsi="Times New Roman" w:eastAsia="Times New Roman" w:cs="Times New Roman"/>
                          <w:b/>
                          <w:bCs/>
                          <w:color w:val="081b3a"/>
                          <w:spacing w:val="3"/>
                          <w:sz w:val="24"/>
                          <w:szCs w:val="24"/>
                          <w:highlight w:val="white"/>
                        </w:rPr>
                        <w:t xml:space="preserve">275/2025/1883/VFI-CT.51.A</w:t>
                      </w:r>
                      <w:r>
                        <w:rPr>
                          <w:b/>
                        </w:rPr>
                      </w:r>
                      <w:r>
                        <w:rPr>
                          <w:b/>
                        </w:rPr>
                      </w:r>
                    </w:p>
                    <w:p w14:paraId="2A7807C2">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w:hAnsi="Times New Roman" w:eastAsia="Times New Roman" w:cs="Times New Roman"/>
                          <w:b/>
                          <w:color w:val="000000"/>
                          <w:sz w:val="24"/>
                        </w:rPr>
                        <w:t xml:space="preserve">CÔNG TY TNHH THƯƠNG MẠI VÀ DỊCH VỤ GIA HIỂN</w:t>
                      </w:r>
                      <w:r>
                        <w:rPr>
                          <w:rFonts w:ascii="Times New Roman Bold" w:hAnsi="Times New Roman Bold"/>
                          <w:b/>
                          <w:lang w:val="pt-BR"/>
                        </w:rPr>
                      </w:r>
                      <w:r>
                        <w:rPr>
                          <w:rFonts w:ascii="Times New Roman Bold" w:hAnsi="Times New Roman Bold"/>
                          <w:b/>
                          <w:lang w:val="pt-BR"/>
                        </w:rPr>
                      </w:r>
                    </w:p>
                    <w:p w14:paraId="22855275">
                      <w:pPr>
                        <w:pBdr/>
                        <w:spacing w:after="120" w:before="120" w:line="360" w:lineRule="auto"/>
                        <w:ind/>
                        <w:jc w:val="both"/>
                        <w:rPr>
                          <w:rFonts w:ascii="Times New Roman" w:hAnsi="Times New Roman" w:eastAsia="Times New Roman" w:cs="Times New Roman"/>
                          <w:i/>
                          <w:iCs/>
                          <w:color w:val="000000"/>
                          <w:sz w:val="24"/>
                          <w:szCs w:val="24"/>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17 LKP-3 , tờ bản đồ số: TKPL có </w:t>
                      </w:r>
                      <w:r>
                        <w:rPr>
                          <w:rFonts w:ascii="Times New Roman" w:hAnsi="Times New Roman" w:eastAsia="Times New Roman" w:cs="Times New Roman"/>
                          <w:color w:val="000000"/>
                          <w:sz w:val="24"/>
                        </w:rPr>
                        <w:t xml:space="preserve">địa chỉ: Khu hạ tầng kỹ thuật, tổ dân phố Kem, thị trấn Nham Biền, huyện Yên Dũng, tỉnh Bắc Giang (nay là phường Nham Biền, tỉnh Bắc Ninh) theo Giấy chứng nhận quyền sử dụng đất, quyền sở hữu nhà ở và  tài sản  khác gắn liền với đất số: DA 396911, số vào s</w:t>
                      </w:r>
                      <w:r>
                        <w:rPr>
                          <w:rFonts w:ascii="Times New Roman" w:hAnsi="Times New Roman" w:eastAsia="Times New Roman" w:cs="Times New Roman"/>
                          <w:color w:val="000000"/>
                          <w:sz w:val="24"/>
                        </w:rPr>
                        <w:t xml:space="preserve">ổ cấp GCN: CH 00736 do UBND huyện Yên Dũng cấp  ngày 21</w:t>
                      </w:r>
                      <w:r>
                        <w:rPr>
                          <w:rFonts w:ascii="Times New Roman" w:hAnsi="Times New Roman" w:eastAsia="Times New Roman" w:cs="Times New Roman"/>
                          <w:color w:val="000000"/>
                          <w:sz w:val="24"/>
                          <w:highlight w:val="white"/>
                        </w:rPr>
                        <w:t xml:space="preserve">/01/202</w:t>
                      </w:r>
                      <w:r>
                        <w:rPr>
                          <w:rFonts w:ascii="Times New Roman" w:hAnsi="Times New Roman" w:eastAsia="Times New Roman" w:cs="Times New Roman"/>
                          <w:color w:val="000000"/>
                          <w:sz w:val="24"/>
                        </w:rPr>
                        <w:t xml:space="preserve">1, Chủ sử dụng đất là ông Nguyễn Văn Ngọc</w:t>
                      </w:r>
                      <w:r>
                        <w:rPr>
                          <w:rFonts w:ascii="Times New Roman" w:hAnsi="Times New Roman" w:eastAsia="Times New Roman" w:cs="Times New Roman"/>
                          <w:i/>
                          <w:color w:val="000000"/>
                          <w:sz w:val="24"/>
                        </w:rPr>
                        <w:t xml:space="preserve">.</w:t>
                      </w:r>
                      <w:r>
                        <w:rPr>
                          <w:rFonts w:ascii="Times New Roman" w:hAnsi="Times New Roman" w:eastAsia="Times New Roman" w:cs="Times New Roman"/>
                          <w:i/>
                          <w:iCs/>
                          <w:color w:val="000000"/>
                          <w:sz w:val="24"/>
                          <w:szCs w:val="24"/>
                          <w:highlight w:val="none"/>
                        </w:rPr>
                      </w:r>
                      <w:r>
                        <w:rPr>
                          <w:rFonts w:ascii="Times New Roman" w:hAnsi="Times New Roman" w:eastAsia="Times New Roman" w:cs="Times New Roman"/>
                          <w:i/>
                          <w:iCs/>
                          <w:color w:val="000000"/>
                          <w:sz w:val="24"/>
                          <w:szCs w:val="24"/>
                          <w:highlight w:val="none"/>
                        </w:rPr>
                      </w:r>
                    </w:p>
                    <w:p w14:paraId="6A3493C5">
                      <w:pPr>
                        <w:pBdr/>
                        <w:spacing w:after="120" w:before="120" w:line="360" w:lineRule="auto"/>
                        <w:ind/>
                        <w:jc w:val="both"/>
                        <w:rPr>
                          <w:bCs/>
                          <w:i/>
                        </w:rPr>
                      </w:pPr>
                      <w:r>
                        <w:rPr>
                          <w:rFonts w:ascii="Times New Roman" w:hAnsi="Times New Roman" w:eastAsia="Times New Roman" w:cs="Times New Roman"/>
                          <w:i/>
                          <w:color w:val="000000"/>
                          <w:sz w:val="24"/>
                          <w:highlight w:val="none"/>
                        </w:rPr>
                      </w:r>
                      <w:r>
                        <w:rPr>
                          <w:bCs/>
                          <w:i/>
                        </w:rPr>
                      </w:r>
                      <w:r>
                        <w:rPr>
                          <w:bCs/>
                          <w:i/>
                        </w:rPr>
                      </w:r>
                    </w:p>
                    <w:p w14:paraId="493B9003">
                      <w:pPr>
                        <w:pBdr/>
                        <w:spacing w:after="120" w:before="120" w:line="360" w:lineRule="auto"/>
                        <w:ind/>
                        <w:jc w:val="center"/>
                        <w:rPr>
                          <w:iCs/>
                          <w:highlight w:val="none"/>
                          <w:lang w:val="pt-BR"/>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12/2025</w:t>
                      </w:r>
                      <w:r>
                        <w:rPr>
                          <w:lang w:val="pt-BR"/>
                        </w:rPr>
                        <w:t xml:space="preserve">.</w:t>
                      </w:r>
                      <w:r>
                        <w:rPr>
                          <w:iCs/>
                          <w:highlight w:val="none"/>
                          <w:lang w:val="pt-BR"/>
                        </w:rPr>
                      </w:r>
                      <w:r>
                        <w:rPr>
                          <w:iCs/>
                          <w:highlight w:val="none"/>
                          <w:lang w:val="pt-BR"/>
                        </w:rPr>
                      </w:r>
                    </w:p>
                    <w:p w14:paraId="1C058B7E">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ayout w:type="fixed"/>
        <w:tblLook w:val="04A0" w:firstRow="1" w:lastRow="0" w:firstColumn="1" w:lastColumn="0" w:noHBand="0" w:noVBand="1"/>
      </w:tblPr>
      <w:tblGrid>
        <w:gridCol w:w="29"/>
        <w:gridCol w:w="1829"/>
        <w:gridCol w:w="2388"/>
        <w:gridCol w:w="5846"/>
        <w:gridCol w:w="7"/>
      </w:tblGrid>
      <w:tr>
        <w:trPr>
          <w:trHeight w:val="1152"/>
        </w:trPr>
        <w:tc>
          <w:tcPr>
            <w:gridSpan w:val="2"/>
            <w:tcBorders/>
            <w:tcW w:w="1858"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4217" w:type="dxa"/>
            <w:textDirection w:val="lrTb"/>
            <w:noWrap w:val="false"/>
          </w:tcPr>
          <w:p w14:paraId="103F6C0D" w14:textId="77777777">
            <w:pPr>
              <w:pStyle w:val="1025"/>
              <w:pBdr/>
              <w:spacing w:after="60"/>
              <w:ind/>
              <w:rPr>
                <w:color w:val="000000" w:themeColor="text1"/>
                <w:sz w:val="24"/>
                <w:szCs w:val="24"/>
              </w:rPr>
            </w:pPr>
            <w:r>
              <w:rPr>
                <w:rStyle w:val="1024"/>
                <w:rFonts w:ascii="Times New Roman" w:hAnsi="Times New Roman"/>
                <w:color w:val="000000" w:themeColor="text1"/>
                <w:lang w:val="pt-BR"/>
              </w:rPr>
              <w:t xml:space="preserve">Số</w:t>
            </w:r>
            <w:r>
              <w:rPr>
                <w:rStyle w:val="1024"/>
                <w:rFonts w:ascii="Times New Roman" w:hAnsi="Times New Roman"/>
                <w:color w:val="000000" w:themeColor="text1"/>
                <w:lang w:val="pt-BR"/>
              </w:rPr>
              <w:t xml:space="preserve">: </w:t>
            </w:r>
            <w:r>
              <w:rPr>
                <w:rFonts w:ascii="Times New Roman" w:hAnsi="Times New Roman" w:eastAsia="Times New Roman" w:cs="Times New Roman"/>
                <w:color w:val="000000"/>
                <w:sz w:val="24"/>
              </w:rPr>
              <w:t xml:space="preserve">275/2025/1883/VFI-CT.51.A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846" w:type="dxa"/>
            <w:textDirection w:val="lrTb"/>
            <w:noWrap w:val="false"/>
          </w:tcPr>
          <w:p w14:paraId="6C20F813" w14:textId="77777777">
            <w:pPr>
              <w:pStyle w:val="1025"/>
              <w:pBdr/>
              <w:spacing w:after="60"/>
              <w:ind w:right="-56"/>
              <w:jc w:val="right"/>
              <w:rPr>
                <w:color w:val="000000" w:themeColor="text1"/>
                <w:sz w:val="24"/>
                <w:szCs w:val="24"/>
                <w:lang w:val="vi-VN"/>
              </w:rPr>
            </w:pPr>
            <w:r>
              <w:rPr>
                <w:rStyle w:val="1024"/>
                <w:rFonts w:ascii="Times New Roman" w:hAnsi="Times New Roman"/>
                <w:i/>
                <w:color w:val="auto"/>
              </w:rPr>
              <w:t xml:space="preserve">TP. </w:t>
            </w:r>
            <w:r>
              <w:rPr>
                <w:rStyle w:val="1024"/>
                <w:rFonts w:ascii="Times New Roman" w:hAnsi="Times New Roman"/>
                <w:i/>
                <w:color w:val="auto"/>
              </w:rPr>
              <w:t xml:space="preserve">Hà</w:t>
            </w:r>
            <w:r>
              <w:rPr>
                <w:rStyle w:val="1024"/>
                <w:rFonts w:ascii="Times New Roman" w:hAnsi="Times New Roman"/>
                <w:i/>
                <w:color w:val="auto"/>
              </w:rPr>
              <w:t xml:space="preserve"> </w:t>
            </w:r>
            <w:r>
              <w:rPr>
                <w:rStyle w:val="1024"/>
                <w:rFonts w:ascii="Times New Roman" w:hAnsi="Times New Roman"/>
                <w:i/>
                <w:color w:val="auto"/>
              </w:rPr>
              <w:t xml:space="preserve">Nội</w:t>
            </w:r>
            <w:r>
              <w:rPr>
                <w:rStyle w:val="1024"/>
                <w:rFonts w:ascii="Times New Roman" w:hAnsi="Times New Roman"/>
                <w:i/>
                <w:color w:val="auto"/>
                <w:lang w:val="vi-VN"/>
              </w:rPr>
              <w:t xml:space="preserve">, </w:t>
            </w:r>
            <w:r>
              <w:rPr>
                <w:rStyle w:val="1024"/>
                <w:rFonts w:ascii="Times New Roman" w:hAnsi="Times New Roman"/>
                <w:i/>
                <w:color w:val="000000" w:themeColor="text1"/>
                <w:lang w:val="vi-VN"/>
              </w:rPr>
              <w:t xml:space="preserve">ngày 29 tháng 12 năm 2025</w:t>
            </w:r>
            <w:r>
              <w:rPr>
                <w:color w:val="000000" w:themeColor="text1"/>
                <w:sz w:val="24"/>
                <w:szCs w:val="24"/>
                <w:lang w:val="vi-VN"/>
              </w:rPr>
            </w:r>
            <w:r>
              <w:rPr>
                <w:color w:val="000000" w:themeColor="text1"/>
                <w:sz w:val="24"/>
                <w:szCs w:val="24"/>
                <w:lang w:val="vi-VN"/>
              </w:rPr>
            </w:r>
          </w:p>
        </w:tc>
      </w:tr>
    </w:tbl>
    <w:p w14:paraId="60EC0402" w14:textId="3594439F">
      <w:pPr>
        <w:pStyle w:val="1025"/>
        <w:pBdr/>
        <w:spacing w:after="120" w:before="200" w:line="288" w:lineRule="auto"/>
        <w:ind/>
        <w:jc w:val="center"/>
        <w:rPr>
          <w:rStyle w:val="1024"/>
          <w:rFonts w:ascii="Times New Roman" w:hAnsi="Times New Roman"/>
          <w:b/>
          <w:bCs/>
          <w:color w:val="auto"/>
          <w:sz w:val="30"/>
          <w:szCs w:val="30"/>
          <w:lang w:val="vi-VN"/>
        </w:rPr>
      </w:pPr>
      <w:r>
        <w:rPr>
          <w:rStyle w:val="1024"/>
          <w:rFonts w:ascii="Times New Roman" w:hAnsi="Times New Roman"/>
          <w:b/>
          <w:bCs/>
          <w:color w:val="auto"/>
          <w:sz w:val="30"/>
          <w:szCs w:val="30"/>
          <w:lang w:val="vi-VN"/>
        </w:rPr>
        <w:t xml:space="preserve">CHỨNG THƯ THẨM ĐỊNH GIÁ</w:t>
      </w:r>
      <w:r>
        <w:rPr>
          <w:rStyle w:val="1024"/>
          <w:rFonts w:ascii="Times New Roman" w:hAnsi="Times New Roman"/>
          <w:b/>
          <w:bCs/>
          <w:color w:val="auto"/>
          <w:sz w:val="30"/>
          <w:szCs w:val="30"/>
          <w:lang w:val="vi-VN"/>
        </w:rPr>
      </w:r>
      <w:r>
        <w:rPr>
          <w:rStyle w:val="1024"/>
          <w:rFonts w:ascii="Times New Roman" w:hAnsi="Times New Roman"/>
          <w:b/>
          <w:bCs/>
          <w:color w:val="auto"/>
          <w:sz w:val="30"/>
          <w:szCs w:val="30"/>
          <w:lang w:val="vi-VN"/>
        </w:rPr>
      </w:r>
    </w:p>
    <w:p w14:paraId="3CFFBB7B">
      <w:pPr>
        <w:pBdr>
          <w:top w:val="none" w:color="000000" w:sz="4" w:space="0"/>
          <w:left w:val="none" w:color="000000" w:sz="4" w:space="0"/>
          <w:bottom w:val="none" w:color="000000" w:sz="4" w:space="0"/>
          <w:right w:val="none" w:color="000000" w:sz="4" w:space="0"/>
        </w:pBdr>
        <w:spacing w:after="60" w:before="120" w:line="276" w:lineRule="auto"/>
        <w:ind w:right="0" w:firstLine="0" w:left="0"/>
        <w:jc w:val="center"/>
        <w:rPr/>
      </w:pPr>
      <w:r>
        <w:rPr>
          <w:rFonts w:ascii="Times New Roman" w:hAnsi="Times New Roman" w:eastAsia="Times New Roman" w:cs="Times New Roman"/>
          <w:b/>
          <w:color w:val="000000"/>
          <w:sz w:val="24"/>
          <w:u w:val="single"/>
        </w:rPr>
        <w:t xml:space="preserve">Kính gửi</w:t>
      </w:r>
      <w:r>
        <w:rPr>
          <w:rFonts w:ascii="Times New Roman" w:hAnsi="Times New Roman" w:eastAsia="Times New Roman" w:cs="Times New Roman"/>
          <w:b/>
          <w:color w:val="000000"/>
          <w:sz w:val="24"/>
        </w:rPr>
        <w:t xml:space="preserve">: CÔNG TY TNHH THƯƠNG MẠI VÀ DỊCH VỤ GIA HIỂN</w:t>
      </w:r>
      <w:r/>
    </w:p>
    <w:p w14:paraId="101B9F82">
      <w:pPr>
        <w:pBdr>
          <w:top w:val="none" w:color="000000" w:sz="4" w:space="0"/>
          <w:left w:val="none" w:color="000000" w:sz="4" w:space="0"/>
          <w:bottom w:val="none" w:color="000000" w:sz="4" w:space="0"/>
          <w:right w:val="none" w:color="000000" w:sz="4" w:space="0"/>
        </w:pBdr>
        <w:tabs>
          <w:tab w:val="left" w:leader="none" w:pos="450"/>
        </w:tabs>
        <w:spacing w:after="120" w:before="240" w:line="276" w:lineRule="auto"/>
        <w:ind w:right="0" w:firstLine="0" w:left="0"/>
        <w:jc w:val="both"/>
        <w:rPr/>
      </w:pPr>
      <w:r>
        <w:rPr>
          <w:rFonts w:ascii="Times New Roman" w:hAnsi="Times New Roman" w:eastAsia="Times New Roman" w:cs="Times New Roman"/>
          <w:color w:val="000000"/>
          <w:spacing w:val="-4"/>
          <w:sz w:val="24"/>
        </w:rPr>
        <w:tab/>
        <w:t xml:space="preserve">Căn cứ Hợp đồng dịch vụ thẩm định giá số: 275/2025/1883/VFI-HĐTĐ.51.A  ký ngày 27/12/2025 giữa Công ty TNHH Thương mại và Dịch vụ Gia Hiền với Công ty Cổ phần Thẩm định và Đầu tư Tài chính Hoa Sen</w:t>
      </w:r>
      <w:r>
        <w:rPr>
          <w:rFonts w:ascii="Times New Roman" w:hAnsi="Times New Roman" w:eastAsia="Times New Roman" w:cs="Times New Roman"/>
          <w:color w:val="000000"/>
          <w:spacing w:val="-6"/>
          <w:sz w:val="24"/>
        </w:rPr>
        <w:t xml:space="preserve">;</w:t>
      </w:r>
      <w:r>
        <w:rPr>
          <w:rFonts w:ascii="Times New Roman" w:hAnsi="Times New Roman" w:eastAsia="Times New Roman" w:cs="Times New Roman"/>
          <w:color w:val="000000"/>
          <w:spacing w:val="-4"/>
          <w:sz w:val="24"/>
        </w:rPr>
        <w:t xml:space="preserve"> </w:t>
      </w:r>
      <w:r/>
    </w:p>
    <w:p w14:paraId="24F8E410">
      <w:pPr>
        <w:pBdr>
          <w:top w:val="none" w:color="000000" w:sz="4" w:space="0"/>
          <w:left w:val="none" w:color="000000" w:sz="4" w:space="0"/>
          <w:bottom w:val="none" w:color="000000" w:sz="4" w:space="0"/>
          <w:right w:val="none" w:color="000000" w:sz="4" w:space="0"/>
        </w:pBdr>
        <w:spacing w:after="120" w:before="120" w:line="276" w:lineRule="auto"/>
        <w:ind w:right="0" w:firstLine="432" w:left="0"/>
        <w:jc w:val="both"/>
        <w:rPr/>
      </w:pPr>
      <w:r>
        <w:rPr>
          <w:rFonts w:ascii="Times New Roman" w:hAnsi="Times New Roman" w:eastAsia="Times New Roman" w:cs="Times New Roman"/>
          <w:color w:val="000000"/>
          <w:spacing w:val="-2"/>
          <w:sz w:val="24"/>
        </w:rPr>
        <w:t xml:space="preserve">Căn cứ Báo cáo thẩm định giá số </w:t>
      </w:r>
      <w:r>
        <w:rPr>
          <w:rFonts w:ascii="Times New Roman" w:hAnsi="Times New Roman" w:eastAsia="Times New Roman" w:cs="Times New Roman"/>
          <w:color w:val="000000"/>
          <w:spacing w:val="3"/>
          <w:sz w:val="24"/>
        </w:rPr>
        <w:t xml:space="preserve">275/2025/1883/VFI-BC.51.A ngày</w:t>
      </w:r>
      <w:r>
        <w:rPr>
          <w:rFonts w:ascii="Times New Roman" w:hAnsi="Times New Roman" w:eastAsia="Times New Roman" w:cs="Times New Roman"/>
          <w:color w:val="000000"/>
          <w:spacing w:val="-2"/>
          <w:sz w:val="24"/>
        </w:rPr>
        <w:t xml:space="preserve"> 29/12/2025 </w:t>
      </w:r>
      <w:r>
        <w:rPr>
          <w:rFonts w:ascii="Times New Roman" w:hAnsi="Times New Roman" w:eastAsia="Times New Roman" w:cs="Times New Roman"/>
          <w:color w:val="000000"/>
          <w:spacing w:val="-2"/>
          <w:sz w:val="24"/>
          <w:highlight w:val="white"/>
        </w:rPr>
        <w:t xml:space="preserve">của Công ty Cổ phần Thẩm định và Đầu tư Tài chính Hoa Sen,</w:t>
      </w:r>
      <w:r/>
    </w:p>
    <w:p w14:paraId="6A3947BD">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z w:val="24"/>
          <w:highlight w:val="white"/>
        </w:rPr>
        <w:t xml:space="preserve">Công ty Cổ phần Thẩm định và Đầu tư Tài chính Hoa Sen cung cấp Chứng thư thẩm định giá </w:t>
      </w:r>
      <w:r>
        <w:rPr>
          <w:rFonts w:ascii="Times New Roman" w:hAnsi="Times New Roman" w:eastAsia="Times New Roman" w:cs="Times New Roman"/>
          <w:sz w:val="24"/>
        </w:rPr>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3C429111">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Tên khách hàng</w:t>
            </w:r>
            <w:r/>
          </w:p>
        </w:tc>
        <w:tc>
          <w:tcPr>
            <w:shd w:val="clear" w:color="auto" w:fill="auto"/>
            <w:tcBorders/>
            <w:tcW w:w="248" w:type="pct"/>
            <w:vAlign w:val="center"/>
            <w:textDirection w:val="lrTb"/>
            <w:noWrap w:val="false"/>
          </w:tcPr>
          <w:p w14:paraId="6DFA5EF2">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14:paraId="7AF0FF1B">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b/>
                <w:color w:val="000000"/>
                <w:sz w:val="24"/>
              </w:rPr>
              <w:t xml:space="preserve">CÔNG TY TNHH THƯƠNG MẠI VÀ DỊCH VỤ GIA HIỂN</w:t>
            </w:r>
            <w:r/>
          </w:p>
        </w:tc>
      </w:tr>
      <w:tr>
        <w:trPr>
          <w:trHeight w:val="20"/>
        </w:trPr>
        <w:tc>
          <w:tcPr>
            <w:shd w:val="clear" w:color="auto" w:fill="auto"/>
            <w:tcBorders/>
            <w:tcW w:w="1109" w:type="pct"/>
            <w:vAlign w:val="center"/>
            <w:textDirection w:val="lrTb"/>
            <w:noWrap w:val="false"/>
          </w:tcPr>
          <w:p w14:paraId="6F951D5D">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Mã số thuế</w:t>
            </w:r>
            <w:r/>
          </w:p>
        </w:tc>
        <w:tc>
          <w:tcPr>
            <w:shd w:val="clear" w:color="auto" w:fill="auto"/>
            <w:tcBorders/>
            <w:tcW w:w="248" w:type="pct"/>
            <w:vAlign w:val="center"/>
            <w:textDirection w:val="lrTb"/>
            <w:noWrap w:val="false"/>
          </w:tcPr>
          <w:p w14:paraId="727D1E1E">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14:paraId="76B0EFEA">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2400764010</w:t>
            </w:r>
            <w:r/>
          </w:p>
        </w:tc>
      </w:tr>
      <w:tr>
        <w:trPr>
          <w:trHeight w:val="20"/>
        </w:trPr>
        <w:tc>
          <w:tcPr>
            <w:shd w:val="clear" w:color="auto" w:fill="auto"/>
            <w:tcBorders/>
            <w:tcW w:w="1109" w:type="pct"/>
            <w:vAlign w:val="center"/>
            <w:textDirection w:val="lrTb"/>
            <w:noWrap w:val="false"/>
          </w:tcPr>
          <w:p w14:paraId="3E3F5C99">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Đia chỉ</w:t>
            </w:r>
            <w:r/>
          </w:p>
        </w:tc>
        <w:tc>
          <w:tcPr>
            <w:shd w:val="clear" w:color="auto" w:fill="auto"/>
            <w:tcBorders/>
            <w:tcW w:w="248" w:type="pct"/>
            <w:vAlign w:val="center"/>
            <w:textDirection w:val="lrTb"/>
            <w:noWrap w:val="false"/>
          </w:tcPr>
          <w:p w14:paraId="339812B3">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14:paraId="34C21586">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Tổ dân phố Nếnh, thị xã Việt Yên, tỉnh Bắc Giang (nay là phường Nếnh, tỉnh Bắc Ninh) </w:t>
            </w:r>
            <w:r/>
          </w:p>
        </w:tc>
      </w:tr>
      <w:tr>
        <w:trPr>
          <w:trHeight w:val="20"/>
        </w:trPr>
        <w:tc>
          <w:tcPr>
            <w:shd w:val="clear" w:color="auto" w:fill="auto"/>
            <w:tcBorders/>
            <w:tcW w:w="1109" w:type="pct"/>
            <w:vAlign w:val="center"/>
            <w:textDirection w:val="lrTb"/>
            <w:noWrap w:val="false"/>
          </w:tcPr>
          <w:p w14:paraId="15236E95">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Đại diện</w:t>
            </w:r>
            <w:r/>
          </w:p>
        </w:tc>
        <w:tc>
          <w:tcPr>
            <w:shd w:val="clear" w:color="auto" w:fill="auto"/>
            <w:tcBorders/>
            <w:tcW w:w="248" w:type="pct"/>
            <w:vAlign w:val="center"/>
            <w:textDirection w:val="lrTb"/>
            <w:noWrap w:val="false"/>
          </w:tcPr>
          <w:p w14:paraId="4924D1D3">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14:paraId="2546B3F8">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b/>
                <w:color w:val="000000"/>
                <w:sz w:val="24"/>
              </w:rPr>
              <w:t xml:space="preserve">Bà Lê Thị Nhã</w:t>
            </w:r>
            <w:r/>
          </w:p>
        </w:tc>
      </w:tr>
      <w:tr>
        <w:trPr>
          <w:trHeight w:val="20"/>
        </w:trPr>
        <w:tc>
          <w:tcPr>
            <w:shd w:val="clear" w:color="ffffff" w:fill="ffffff"/>
            <w:tcBorders/>
            <w:tcW w:w="1109" w:type="pct"/>
            <w:vAlign w:val="center"/>
            <w:vMerge w:val="restart"/>
            <w:textDirection w:val="lrTb"/>
            <w:noWrap w:val="false"/>
          </w:tcPr>
          <w:p w14:paraId="2892C01F">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Chức vụ</w:t>
            </w:r>
            <w:r/>
          </w:p>
        </w:tc>
        <w:tc>
          <w:tcPr>
            <w:shd w:val="clear" w:color="ffffff" w:fill="ffffff"/>
            <w:tcBorders/>
            <w:tcW w:w="248" w:type="pct"/>
            <w:vAlign w:val="center"/>
            <w:vMerge w:val="restart"/>
            <w:textDirection w:val="lrTb"/>
            <w:noWrap w:val="false"/>
          </w:tcPr>
          <w:p w14:paraId="10099B41">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vMerge w:val="restart"/>
            <w:textDirection w:val="lrTb"/>
            <w:noWrap w:val="false"/>
          </w:tcPr>
          <w:p w14:paraId="56C8EFDD">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b/>
                <w:color w:val="000000"/>
                <w:sz w:val="24"/>
              </w:rPr>
              <w:t xml:space="preserve">Giám đốc</w:t>
            </w: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17 LKP-3 , tờ bản đồ số: TKPL có </w:t>
      </w:r>
      <w:r>
        <w:rPr>
          <w:rFonts w:ascii="Times New Roman" w:hAnsi="Times New Roman" w:eastAsia="Times New Roman" w:cs="Times New Roman"/>
          <w:color w:val="000000"/>
          <w:sz w:val="24"/>
        </w:rPr>
        <w:t xml:space="preserve">địa chỉ: Khu hạ tầng kỹ thuật, tổ dân phố Kem, thị trấn Nham Biền, huyện Yên Dũng, tỉnh Bắc Giang (nay là phường Nham Biền, tỉnh Bắc Ninh) theo Giấy chứng nhận quyền sử dụng đất, quyền sở hữu nhà ở và  tài sản  khác gắn liền với đất số: DA 396911, số vào s</w:t>
      </w:r>
      <w:r>
        <w:rPr>
          <w:rFonts w:ascii="Times New Roman" w:hAnsi="Times New Roman" w:eastAsia="Times New Roman" w:cs="Times New Roman"/>
          <w:color w:val="000000"/>
          <w:sz w:val="24"/>
        </w:rPr>
        <w:t xml:space="preserve">ổ cấp GCN: CH 00736 do UBND huyện Yên Dũng cấp  ngày 21</w:t>
      </w:r>
      <w:r>
        <w:rPr>
          <w:rFonts w:ascii="Times New Roman" w:hAnsi="Times New Roman" w:eastAsia="Times New Roman" w:cs="Times New Roman"/>
          <w:color w:val="000000"/>
          <w:sz w:val="24"/>
          <w:highlight w:val="white"/>
        </w:rPr>
        <w:t xml:space="preserve">/01/202</w:t>
      </w:r>
      <w:r>
        <w:rPr>
          <w:rFonts w:ascii="Times New Roman" w:hAnsi="Times New Roman" w:eastAsia="Times New Roman" w:cs="Times New Roman"/>
          <w:color w:val="000000"/>
          <w:sz w:val="24"/>
        </w:rPr>
        <w:t xml:space="preserve">1, Chủ sử dụng đất là ông Nguyễn Văn Ngọc</w:t>
      </w:r>
      <w:r>
        <w:rPr>
          <w:rFonts w:ascii="Times New Roman" w:hAnsi="Times New Roman" w:eastAsia="Times New Roman" w:cs="Times New Roman"/>
          <w:i/>
          <w:color w:val="000000"/>
          <w:sz w:val="24"/>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17 LKP-3 , tờ bản đồ số: TKPL có </w:t>
            </w:r>
            <w:r>
              <w:rPr>
                <w:rFonts w:ascii="Times New Roman" w:hAnsi="Times New Roman" w:eastAsia="Times New Roman" w:cs="Times New Roman"/>
                <w:b/>
                <w:bCs/>
                <w:color w:val="000000"/>
                <w:sz w:val="24"/>
              </w:rPr>
              <w:t xml:space="preserve">địa chỉ: Khu hạ tầng kỹ thuật, tổ dân phố Kem, thị trấn Nham Biền, huyện Yên Dũng, tỉnh Bắc Giang (nay là phường Nham Biền, tỉnh Bắc Ninh) theo Giấy chứng nhận quyền sử dụng đất, quyền sở hữu nhà ở và  tài sản  khác gắn liền với đất số: DA 396911, số vào s</w:t>
            </w:r>
            <w:r>
              <w:rPr>
                <w:rFonts w:ascii="Times New Roman" w:hAnsi="Times New Roman" w:eastAsia="Times New Roman" w:cs="Times New Roman"/>
                <w:b/>
                <w:bCs/>
                <w:color w:val="000000"/>
                <w:sz w:val="24"/>
              </w:rPr>
              <w:t xml:space="preserve">ổ cấp GCN: CH 00736 do UBND huyện Yên Dũng cấp  ngày 21</w:t>
            </w:r>
            <w:r>
              <w:rPr>
                <w:rFonts w:ascii="Times New Roman" w:hAnsi="Times New Roman" w:eastAsia="Times New Roman" w:cs="Times New Roman"/>
                <w:b/>
                <w:bCs/>
                <w:color w:val="000000"/>
                <w:sz w:val="24"/>
                <w:highlight w:val="white"/>
              </w:rPr>
              <w:t xml:space="preserve">/01/202</w:t>
            </w:r>
            <w:r>
              <w:rPr>
                <w:rFonts w:ascii="Times New Roman" w:hAnsi="Times New Roman" w:eastAsia="Times New Roman" w:cs="Times New Roman"/>
                <w:b/>
                <w:bCs/>
                <w:color w:val="000000"/>
                <w:sz w:val="24"/>
              </w:rPr>
              <w:t xml:space="preserve">1, Chủ sử dụng đất là ông Nguyễn Văn Ngọc</w:t>
            </w:r>
            <w:r>
              <w:rPr>
                <w:rFonts w:ascii="Times New Roman" w:hAnsi="Times New Roman" w:eastAsia="Times New Roman" w:cs="Times New Roman"/>
                <w:b/>
                <w:bCs/>
                <w:i/>
                <w:color w:val="000000"/>
                <w:sz w:val="24"/>
              </w:rPr>
              <w:t xml:space="preserve">.</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1063" w:type="pct"/>
            <w:vAlign w:val="center"/>
            <w:textDirection w:val="lrTb"/>
            <w:noWrap w:val="false"/>
          </w:tcPr>
          <w:p w14:paraId="495A8C53" w14:textId="30B5F9FB">
            <w:pPr>
              <w:pBdr/>
              <w:spacing w:after="40" w:before="40" w:line="288" w:lineRule="auto"/>
              <w:ind/>
              <w:rPr>
                <w:b w:val="0"/>
                <w:bCs w:val="0"/>
              </w:rPr>
            </w:pPr>
            <w:r>
              <w:rPr>
                <w:b w:val="0"/>
                <w:bCs w:val="0"/>
              </w:rPr>
              <w:t xml:space="preserve">Đất ở tại đô thị</w:t>
            </w:r>
            <w:r>
              <w:rPr>
                <w:b w:val="0"/>
                <w:bCs w:val="0"/>
              </w:rP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108</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64.000.000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6.912.000.000</w:t>
            </w: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6.912.000.000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Sáu tỷ chín trăm mười hai triệu đồng chẵn</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w:t>
            </w:r>
            <w:r>
              <w:rPr>
                <w:rFonts w:eastAsia="Calibri"/>
                <w:bCs/>
                <w:highlight w:val="yellow"/>
                <w:lang w:val="vi-VN"/>
              </w:rPr>
              <w:t xml:space="preserve">định viên về giá: </w:t>
            </w:r>
            <w:r>
              <w:rPr>
                <w:rFonts w:ascii="Times New Roman" w:hAnsi="Times New Roman" w:eastAsia="Times New Roman" w:cs="Times New Roman"/>
                <w:color w:val="081b3a"/>
                <w:spacing w:val="3"/>
                <w:sz w:val="24"/>
                <w:highlight w:val="white"/>
              </w:rPr>
              <w:t xml:space="preserve">XVI25TS.2576</w:t>
            </w:r>
            <w:r>
              <w:rPr>
                <w:rFonts w:eastAsia="Calibri"/>
                <w:bCs/>
                <w:highlight w:val="yellow"/>
                <w:lang w:val="vi-VN"/>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099" w:type="dxa"/>
        <w:tblBorders/>
        <w:tblLayout w:type="fixed"/>
        <w:tblLook w:val="04A0" w:firstRow="1" w:lastRow="0" w:firstColumn="1" w:lastColumn="0" w:noHBand="0" w:noVBand="1"/>
      </w:tblPr>
      <w:tblGrid>
        <w:gridCol w:w="29"/>
        <w:gridCol w:w="1829"/>
        <w:gridCol w:w="2388"/>
        <w:gridCol w:w="5846"/>
        <w:gridCol w:w="7"/>
      </w:tblGrid>
      <w:tr>
        <w:trPr>
          <w:trHeight w:val="1152"/>
        </w:trPr>
        <w:tc>
          <w:tcPr>
            <w:gridSpan w:val="2"/>
            <w:tcBorders/>
            <w:tcW w:w="1858"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4217" w:type="dxa"/>
            <w:textDirection w:val="lrTb"/>
            <w:noWrap w:val="false"/>
          </w:tcPr>
          <w:p w14:paraId="55E7402E" w14:textId="77777777">
            <w:pPr>
              <w:pStyle w:val="1025"/>
              <w:pBdr/>
              <w:spacing w:after="60"/>
              <w:ind/>
              <w:rPr>
                <w:color w:val="000000" w:themeColor="text1"/>
                <w:sz w:val="24"/>
                <w:szCs w:val="24"/>
              </w:rPr>
            </w:pPr>
            <w:r>
              <w:rPr>
                <w:rStyle w:val="1024"/>
                <w:rFonts w:ascii="Times New Roman" w:hAnsi="Times New Roman"/>
                <w:color w:val="000000" w:themeColor="text1"/>
                <w:lang w:val="pt-BR"/>
              </w:rPr>
              <w:t xml:space="preserve">Số</w:t>
            </w:r>
            <w:r>
              <w:rPr>
                <w:rStyle w:val="1024"/>
                <w:rFonts w:ascii="Times New Roman" w:hAnsi="Times New Roman"/>
                <w:color w:val="000000" w:themeColor="text1"/>
                <w:lang w:val="pt-BR"/>
              </w:rPr>
              <w:t xml:space="preserve">: </w:t>
            </w:r>
            <w:r>
              <w:rPr>
                <w:rFonts w:ascii="Times New Roman" w:hAnsi="Times New Roman" w:eastAsia="Times New Roman" w:cs="Times New Roman"/>
                <w:color w:val="081b3a"/>
                <w:spacing w:val="3"/>
                <w:sz w:val="24"/>
              </w:rPr>
              <w:t xml:space="preserve">275/2025/1883/VFI-BC.51.A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846" w:type="dxa"/>
            <w:textDirection w:val="lrTb"/>
            <w:noWrap w:val="false"/>
          </w:tcPr>
          <w:p w14:paraId="2396134F" w14:textId="77777777">
            <w:pPr>
              <w:pStyle w:val="1025"/>
              <w:pBdr/>
              <w:spacing w:after="60"/>
              <w:ind w:right="-56"/>
              <w:jc w:val="right"/>
              <w:rPr>
                <w:color w:val="000000" w:themeColor="text1"/>
                <w:sz w:val="24"/>
                <w:szCs w:val="24"/>
                <w:lang w:val="vi-VN"/>
              </w:rPr>
            </w:pPr>
            <w:r>
              <w:rPr>
                <w:rStyle w:val="1024"/>
                <w:rFonts w:ascii="Times New Roman" w:hAnsi="Times New Roman"/>
                <w:i/>
                <w:color w:val="auto"/>
              </w:rPr>
              <w:t xml:space="preserve">TP. </w:t>
            </w:r>
            <w:r>
              <w:rPr>
                <w:rStyle w:val="1024"/>
                <w:rFonts w:ascii="Times New Roman" w:hAnsi="Times New Roman"/>
                <w:i/>
                <w:color w:val="auto"/>
              </w:rPr>
              <w:t xml:space="preserve">Hà</w:t>
            </w:r>
            <w:r>
              <w:rPr>
                <w:rStyle w:val="1024"/>
                <w:rFonts w:ascii="Times New Roman" w:hAnsi="Times New Roman"/>
                <w:i/>
                <w:color w:val="auto"/>
              </w:rPr>
              <w:t xml:space="preserve"> </w:t>
            </w:r>
            <w:r>
              <w:rPr>
                <w:rStyle w:val="1024"/>
                <w:rFonts w:ascii="Times New Roman" w:hAnsi="Times New Roman"/>
                <w:i/>
                <w:color w:val="auto"/>
              </w:rPr>
              <w:t xml:space="preserve">Nội</w:t>
            </w:r>
            <w:r>
              <w:rPr>
                <w:rStyle w:val="1024"/>
                <w:rFonts w:ascii="Times New Roman" w:hAnsi="Times New Roman"/>
                <w:i/>
                <w:color w:val="auto"/>
                <w:lang w:val="vi-VN"/>
              </w:rPr>
              <w:t xml:space="preserve">, </w:t>
            </w:r>
            <w:r>
              <w:rPr>
                <w:rStyle w:val="1024"/>
                <w:rFonts w:ascii="Times New Roman" w:hAnsi="Times New Roman"/>
                <w:i/>
                <w:color w:val="000000" w:themeColor="text1"/>
                <w:lang w:val="vi-VN"/>
              </w:rPr>
              <w:t xml:space="preserve">ngày 29 tháng 12 năm 2025</w:t>
            </w:r>
            <w:r>
              <w:rPr>
                <w:color w:val="000000" w:themeColor="text1"/>
                <w:sz w:val="24"/>
                <w:szCs w:val="24"/>
                <w:lang w:val="vi-VN"/>
              </w:rPr>
            </w:r>
            <w:r>
              <w:rPr>
                <w:color w:val="000000" w:themeColor="text1"/>
                <w:sz w:val="24"/>
                <w:szCs w:val="24"/>
                <w:lang w:val="vi-VN"/>
              </w:rPr>
            </w:r>
          </w:p>
        </w:tc>
      </w:tr>
    </w:tbl>
    <w:p w14:paraId="53E21BF3" w14:textId="59EB6EC9">
      <w:pPr>
        <w:pStyle w:val="102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5"/>
        <w:pBdr/>
        <w:tabs>
          <w:tab w:val="left" w:leader="none" w:pos="0"/>
          <w:tab w:val="left" w:leader="none" w:pos="4820"/>
        </w:tabs>
        <w:spacing w:after="200" w:before="100" w:line="340" w:lineRule="atLeast"/>
        <w:ind w:hanging="180"/>
        <w:rPr>
          <w:b w:val="0"/>
          <w:bCs w:val="0"/>
          <w:i/>
          <w:spacing w:val="-6"/>
          <w:sz w:val="24"/>
          <w:szCs w:val="24"/>
        </w:rPr>
      </w:pPr>
      <w:r>
        <w:rPr>
          <w:b w:val="0"/>
          <w:bCs w:val="0"/>
          <w:i/>
          <w:spacing w:val="-6"/>
          <w:sz w:val="24"/>
          <w:szCs w:val="24"/>
          <w:lang w:val="pt-BR"/>
        </w:rPr>
        <w:t xml:space="preserve">(</w:t>
      </w:r>
      <w:r>
        <w:rPr>
          <w:rFonts w:ascii="Times New Roman" w:hAnsi="Times New Roman" w:eastAsia="Times New Roman" w:cs="Times New Roman"/>
          <w:b w:val="0"/>
          <w:bCs w:val="0"/>
          <w:i/>
          <w:color w:val="000000"/>
          <w:spacing w:val="-6"/>
          <w:sz w:val="24"/>
        </w:rPr>
        <w:t xml:space="preserve">Kèm theo Chứng thư thẩm định giá số:</w:t>
      </w:r>
      <w:r>
        <w:rPr>
          <w:rFonts w:ascii="Times New Roman" w:hAnsi="Times New Roman" w:eastAsia="Times New Roman" w:cs="Times New Roman"/>
          <w:b w:val="0"/>
          <w:bCs w:val="0"/>
          <w:i/>
          <w:color w:val="081b3a"/>
          <w:spacing w:val="3"/>
          <w:sz w:val="24"/>
        </w:rPr>
        <w:t xml:space="preserve">275/2025/1883</w:t>
      </w:r>
      <w:r>
        <w:rPr>
          <w:rFonts w:ascii="Times New Roman" w:hAnsi="Times New Roman" w:eastAsia="Times New Roman" w:cs="Times New Roman"/>
          <w:b w:val="0"/>
          <w:bCs w:val="0"/>
          <w:i/>
          <w:color w:val="081b3a"/>
          <w:spacing w:val="3"/>
          <w:sz w:val="24"/>
        </w:rPr>
        <w:t xml:space="preserve">/VFI-CT.51.A</w:t>
      </w:r>
      <w:r>
        <w:rPr>
          <w:rFonts w:ascii="Times New Roman" w:hAnsi="Times New Roman" w:eastAsia="Times New Roman" w:cs="Times New Roman"/>
          <w:b w:val="0"/>
          <w:bCs w:val="0"/>
          <w:i/>
          <w:color w:val="000000"/>
          <w:spacing w:val="-6"/>
          <w:sz w:val="24"/>
        </w:rPr>
        <w:t xml:space="preserve"> </w:t>
      </w:r>
      <w:r>
        <w:rPr>
          <w:rFonts w:ascii="Times New Roman" w:hAnsi="Times New Roman" w:eastAsia="Times New Roman" w:cs="Times New Roman"/>
          <w:b w:val="0"/>
          <w:bCs w:val="0"/>
          <w:i/>
          <w:color w:val="000000"/>
          <w:spacing w:val="-6"/>
          <w:sz w:val="24"/>
        </w:rPr>
        <w:t xml:space="preserve">ngày 29 tháng 12 năm 2025</w:t>
      </w:r>
      <w:r>
        <w:rPr>
          <w:b w:val="0"/>
          <w:bCs w:val="0"/>
          <w:i/>
          <w:spacing w:val="-6"/>
          <w:sz w:val="24"/>
          <w:szCs w:val="24"/>
          <w:lang w:val="pt-BR"/>
        </w:rPr>
        <w:t xml:space="preserve">)</w:t>
      </w:r>
      <w:r>
        <w:rPr>
          <w:b w:val="0"/>
          <w:bCs w:val="0"/>
          <w:i/>
          <w:spacing w:val="-6"/>
          <w:sz w:val="24"/>
          <w:szCs w:val="24"/>
          <w:lang w:val="pt-BR"/>
        </w:rPr>
      </w:r>
      <w:r>
        <w:rPr>
          <w:b w:val="0"/>
          <w:bCs w:val="0"/>
          <w:i/>
          <w:spacing w:val="-6"/>
          <w:sz w:val="24"/>
          <w:szCs w:val="24"/>
        </w:rPr>
      </w:r>
    </w:p>
    <w:p w14:paraId="115F5EC5" w14:textId="3D6167EF">
      <w:pPr>
        <w:pStyle w:val="100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BA66F78">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Tên khách hàng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14:paraId="5C99ECAD">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14:paraId="087E0455">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CÔNG TY TNHH THƯƠNG MẠI VÀ DỊCH VỤ GIA HIỂN</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398304AE">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Mã số thuế</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14:paraId="1277E840">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14:paraId="6CF50CFA">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2400764010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7CCB23DE">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Đia chỉ</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14:paraId="34063698">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14:paraId="3F889D08">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Tổ dân phố Nếnh, thị xã Việt Yên, tỉnh Bắc Giang (nay là phường Nếnh, tỉnh Bắc Ninh) </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0D254A20">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Đại diện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14:paraId="11F533CE">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14:paraId="5F49254E">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b w:val="0"/>
                <w:bCs w:val="0"/>
                <w:sz w:val="24"/>
              </w:rPr>
            </w:pPr>
            <w:r>
              <w:rPr>
                <w:rFonts w:ascii="Times New Roman" w:hAnsi="Times New Roman" w:eastAsia="Times New Roman" w:cs="Times New Roman"/>
                <w:b w:val="0"/>
                <w:bCs w:val="0"/>
                <w:color w:val="000000"/>
                <w:sz w:val="24"/>
              </w:rPr>
              <w:t xml:space="preserve">Bà Lê Thị Nhã</w:t>
            </w:r>
            <w:r>
              <w:rPr>
                <w:rFonts w:ascii="Times New Roman" w:hAnsi="Times New Roman" w:eastAsia="Times New Roman" w:cs="Times New Roman"/>
                <w:b w:val="0"/>
                <w:bCs w:val="0"/>
                <w:sz w:val="24"/>
              </w:rPr>
            </w:r>
            <w:r>
              <w:rPr>
                <w:rFonts w:ascii="Times New Roman" w:hAnsi="Times New Roman" w:eastAsia="Times New Roman" w:cs="Times New Roman"/>
                <w:b w:val="0"/>
                <w:bCs w:val="0"/>
                <w:sz w:val="24"/>
              </w:rPr>
            </w:r>
          </w:p>
        </w:tc>
      </w:tr>
      <w:tr>
        <w:trPr>
          <w:trHeight w:val="20"/>
        </w:trPr>
        <w:tc>
          <w:tcPr>
            <w:tcBorders/>
            <w:tcW w:w="2518" w:type="dxa"/>
            <w:vAlign w:val="center"/>
            <w:vMerge w:val="restart"/>
            <w:textDirection w:val="lrTb"/>
            <w:noWrap w:val="false"/>
          </w:tcPr>
          <w:p w14:paraId="0FEFDD22">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Chức vụ</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14:paraId="37C069D4">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14:paraId="1A6F3415">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b w:val="0"/>
                <w:bCs w:val="0"/>
                <w:sz w:val="24"/>
              </w:rPr>
            </w:pPr>
            <w:r>
              <w:rPr>
                <w:rFonts w:ascii="Times New Roman" w:hAnsi="Times New Roman" w:eastAsia="Times New Roman" w:cs="Times New Roman"/>
                <w:b w:val="0"/>
                <w:bCs w:val="0"/>
                <w:color w:val="000000"/>
                <w:sz w:val="24"/>
              </w:rPr>
              <w:t xml:space="preserve">Giám đốc</w:t>
            </w:r>
            <w:r>
              <w:rPr>
                <w:rFonts w:ascii="Times New Roman" w:hAnsi="Times New Roman" w:eastAsia="Times New Roman" w:cs="Times New Roman"/>
                <w:b w:val="0"/>
                <w:bCs w:val="0"/>
                <w:sz w:val="24"/>
              </w:rPr>
            </w:r>
            <w:r>
              <w:rPr>
                <w:rFonts w:ascii="Times New Roman" w:hAnsi="Times New Roman" w:eastAsia="Times New Roman" w:cs="Times New Roman"/>
                <w:b w:val="0"/>
                <w:bCs w:val="0"/>
                <w:sz w:val="24"/>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B472B1">
            <w:pPr>
              <w:pBdr/>
              <w:spacing w:after="40" w:before="40" w:line="288" w:lineRule="auto"/>
              <w:ind/>
              <w:jc w:val="both"/>
              <w:rPr>
                <w:b w:val="0"/>
                <w:bCs w:val="0"/>
              </w:rPr>
            </w:pPr>
            <w:r>
              <w:rPr>
                <w:color w:val="000000"/>
              </w:rPr>
            </w:r>
            <w:r>
              <w:rPr>
                <w:rFonts w:ascii="Times New Roman" w:hAnsi="Times New Roman" w:eastAsia="Times New Roman" w:cs="Times New Roman"/>
                <w:b w:val="0"/>
                <w:bCs w:val="0"/>
                <w:color w:val="000000"/>
                <w:sz w:val="24"/>
              </w:rPr>
              <w:t xml:space="preserve">Quyền sử dụng đất tại thửa đất số: 17 LKP-3 , tờ bản đồ số: TKPL có </w:t>
            </w:r>
            <w:r>
              <w:rPr>
                <w:rFonts w:ascii="Times New Roman" w:hAnsi="Times New Roman" w:eastAsia="Times New Roman" w:cs="Times New Roman"/>
                <w:b w:val="0"/>
                <w:bCs w:val="0"/>
                <w:color w:val="000000"/>
                <w:sz w:val="24"/>
              </w:rPr>
              <w:t xml:space="preserve">địa chỉ: Khu hạ tầng kỹ thuật, tổ dân phố Kem, thị trấn Nham Biền, huyện Yên Dũng, tỉnh Bắc Giang (nay là phường Nham Biền, tỉnh Bắc Ninh) theo Giấy chứng nhận quyền sử dụng đất, quyền sở hữu nhà ở và  tài sản  khác gắn liền với đất số: DA 396911, số vào s</w:t>
            </w:r>
            <w:r>
              <w:rPr>
                <w:rFonts w:ascii="Times New Roman" w:hAnsi="Times New Roman" w:eastAsia="Times New Roman" w:cs="Times New Roman"/>
                <w:b w:val="0"/>
                <w:bCs w:val="0"/>
                <w:color w:val="000000"/>
                <w:sz w:val="24"/>
              </w:rPr>
              <w:t xml:space="preserve">ổ cấp GCN: CH 00736 do UBND huyện Yên Dũng cấp  ngày 21</w:t>
            </w:r>
            <w:r>
              <w:rPr>
                <w:rFonts w:ascii="Times New Roman" w:hAnsi="Times New Roman" w:eastAsia="Times New Roman" w:cs="Times New Roman"/>
                <w:b w:val="0"/>
                <w:bCs w:val="0"/>
                <w:color w:val="000000"/>
                <w:sz w:val="24"/>
                <w:highlight w:val="white"/>
              </w:rPr>
              <w:t xml:space="preserve">/01/202</w:t>
            </w:r>
            <w:r>
              <w:rPr>
                <w:rFonts w:ascii="Times New Roman" w:hAnsi="Times New Roman" w:eastAsia="Times New Roman" w:cs="Times New Roman"/>
                <w:b w:val="0"/>
                <w:bCs w:val="0"/>
                <w:color w:val="000000"/>
                <w:sz w:val="24"/>
              </w:rPr>
              <w:t xml:space="preserve">1, Chủ sử dụng đất là ông Nguyễn Văn Ngọc</w:t>
            </w:r>
            <w:r>
              <w:rPr>
                <w:rFonts w:ascii="Times New Roman" w:hAnsi="Times New Roman" w:eastAsia="Times New Roman" w:cs="Times New Roman"/>
                <w:b w:val="0"/>
                <w:bCs w:val="0"/>
                <w:i/>
                <w:color w:val="000000"/>
                <w:sz w:val="24"/>
              </w:rPr>
              <w:t xml:space="preserve">.</w:t>
            </w:r>
            <w:r>
              <w:rPr>
                <w:b w:val="0"/>
                <w:bCs w:val="0"/>
              </w:rPr>
            </w:r>
            <w:r>
              <w:rPr>
                <w:b w:val="0"/>
                <w:bCs w:val="0"/>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684"/>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r>
            <w:r>
              <w:rPr>
                <w:rFonts w:ascii="Times New Roman" w:hAnsi="Times New Roman" w:eastAsia="Times New Roman" w:cs="Times New Roman"/>
                <w:b w:val="0"/>
                <w:bCs w:val="0"/>
                <w:color w:val="000000"/>
                <w:sz w:val="24"/>
              </w:rPr>
              <w:t xml:space="preserve">Phường Nham Biền, tỉnh Bắc Ninh</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21.201861111111, 106.21877777778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2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2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2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2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2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2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2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2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2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2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2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2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2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2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26"/>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26"/>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26"/>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2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2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2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26"/>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b w:val="0"/>
          <w:bCs w:val="0"/>
          <w:color w:val="000000"/>
          <w:sz w:val="24"/>
        </w:rPr>
        <w:t xml:space="preserve">Giấy chứng nhận quyền sử dụng đất, quyền sở hữu nhà ở và  tài sản  khác gắn liền với đất số: DA 396911, số vào s</w:t>
      </w:r>
      <w:r>
        <w:rPr>
          <w:rFonts w:ascii="Times New Roman" w:hAnsi="Times New Roman" w:eastAsia="Times New Roman" w:cs="Times New Roman"/>
          <w:b w:val="0"/>
          <w:bCs w:val="0"/>
          <w:color w:val="000000"/>
          <w:sz w:val="24"/>
        </w:rPr>
        <w:t xml:space="preserve">ổ cấp GCN: CH 00736 do UBND huyện Yên Dũng cấp  ngày 21</w:t>
      </w:r>
      <w:r>
        <w:rPr>
          <w:rFonts w:ascii="Times New Roman" w:hAnsi="Times New Roman" w:eastAsia="Times New Roman" w:cs="Times New Roman"/>
          <w:b w:val="0"/>
          <w:bCs w:val="0"/>
          <w:color w:val="000000"/>
          <w:sz w:val="24"/>
          <w:highlight w:val="white"/>
        </w:rPr>
        <w:t xml:space="preserve">/01/202</w:t>
      </w:r>
      <w:r>
        <w:rPr>
          <w:rFonts w:ascii="Times New Roman" w:hAnsi="Times New Roman" w:eastAsia="Times New Roman" w:cs="Times New Roman"/>
          <w:b w:val="0"/>
          <w:bCs w:val="0"/>
          <w:color w:val="000000"/>
          <w:sz w:val="24"/>
        </w:rPr>
        <w:t xml:space="preserve">1, Chủ sử dụng đất là ông Nguyễn Văn Ngọc</w:t>
      </w:r>
      <w:r>
        <w:rPr>
          <w:rFonts w:ascii="Times New Roman" w:hAnsi="Times New Roman" w:eastAsia="Times New Roman" w:cs="Times New Roman"/>
          <w:b w:val="0"/>
          <w:bCs w:val="0"/>
          <w:i/>
          <w:color w:val="000000"/>
          <w:sz w:val="24"/>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3E6E742B">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Hợp đồng số</w:t>
      </w:r>
      <w:r>
        <w:rPr>
          <w:rFonts w:ascii="Times New Roman" w:hAnsi="Times New Roman" w:eastAsia="Times New Roman" w:cs="Times New Roman"/>
          <w:color w:val="081b3a"/>
          <w:spacing w:val="3"/>
          <w:sz w:val="24"/>
        </w:rPr>
        <w:t xml:space="preserve"> 275/2025/1883/VFI-HĐTĐ.51.A</w:t>
      </w:r>
      <w:r>
        <w:rPr>
          <w:rFonts w:ascii="Times New Roman" w:hAnsi="Times New Roman" w:eastAsia="Times New Roman" w:cs="Times New Roman"/>
          <w:color w:val="000000"/>
          <w:sz w:val="24"/>
        </w:rPr>
        <w:t xml:space="preserve"> ngày 27/12/2025 giữa </w:t>
      </w:r>
      <w:r>
        <w:rPr>
          <w:rFonts w:ascii="Times New Roman" w:hAnsi="Times New Roman" w:eastAsia="Times New Roman" w:cs="Times New Roman"/>
          <w:color w:val="000000"/>
          <w:spacing w:val="-4"/>
          <w:sz w:val="24"/>
        </w:rPr>
        <w:t xml:space="preserve">Công ty TNHH Thương mại và Dịch vụ Gia Hiền</w:t>
      </w:r>
      <w:r>
        <w:rPr>
          <w:rFonts w:ascii="Times New Roman" w:hAnsi="Times New Roman" w:eastAsia="Times New Roman" w:cs="Times New Roman"/>
          <w:color w:val="000000"/>
          <w:sz w:val="24"/>
        </w:rPr>
        <w:t xml:space="preserve"> với Công ty Cổ phần Thẩm định và Đầu tư Tài chính Hoa Sen.</w:t>
      </w:r>
      <w:r>
        <w:rPr>
          <w:rFonts w:ascii="Times New Roman" w:hAnsi="Times New Roman" w:eastAsia="Times New Roman" w:cs="Times New Roman"/>
          <w:sz w:val="24"/>
        </w:rPr>
      </w:r>
      <w:r/>
    </w:p>
    <w:p w14:paraId="7BDC3A25" w14:textId="77D2CF95">
      <w:pPr>
        <w:pStyle w:val="102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DD843B4" w14:textId="7AD4A83E">
      <w:pPr>
        <w:pBdr/>
        <w:tabs>
          <w:tab w:val="left" w:leader="none" w:pos="426"/>
        </w:tabs>
        <w:spacing w:after="120" w:before="120" w:line="276" w:lineRule="auto"/>
        <w:ind/>
        <w:rPr>
          <w:iCs/>
          <w:lang w:val="pt-BR"/>
        </w:rPr>
      </w:pPr>
      <w:r>
        <w:rPr>
          <w:lang w:val="pt-BR"/>
        </w:rPr>
      </w:r>
      <w:r>
        <w:rPr>
          <w:rFonts w:ascii="Times New Roman" w:hAnsi="Times New Roman" w:eastAsia="Times New Roman" w:cs="Times New Roman"/>
          <w:color w:val="000000"/>
          <w:sz w:val="26"/>
          <w:highlight w:val="white"/>
        </w:rPr>
        <w:t xml:space="preserve">Bắc Giang hiện đang là một trong những điểm nóng về thị trường bất động sản tại miền Bắc. Sự phát triển nhanh chóng của các khu công nghiệp và hạ tầng đô thị đã tạo động lực lớn cho thị trường bất động sản Bắc Giang. Giá trị đất nền, chung cư và nhà phố th</w:t>
      </w:r>
      <w:r>
        <w:rPr>
          <w:rFonts w:ascii="Times New Roman" w:hAnsi="Times New Roman" w:eastAsia="Times New Roman" w:cs="Times New Roman"/>
          <w:color w:val="000000"/>
          <w:sz w:val="26"/>
          <w:highlight w:val="white"/>
        </w:rPr>
        <w:t xml:space="preserve">ương mại đều có xu hướng tăng trưởng nhờ nhu cầu ngày càng lớn. Các khu vực như TP Bắc Giang, Lục Nam, Yên Dũng, Việt Yên đang thu hút lượng lớn nhà đầu tư bất động sản do lợi thế về hạ tầng và chính sách phát triển hợp lý.</w:t>
      </w:r>
      <w:r>
        <w:rPr>
          <w:i/>
          <w:iCs/>
          <w:lang w:val="pt-BR"/>
        </w:rPr>
      </w:r>
      <w:r>
        <w:rPr>
          <w:iCs/>
          <w:lang w:val="pt-BR"/>
        </w:rPr>
      </w:r>
    </w:p>
    <w:p w14:paraId="41893278">
      <w:pPr>
        <w:pBdr>
          <w:top w:val="none" w:color="000000" w:sz="4" w:space="0"/>
          <w:left w:val="none" w:color="000000" w:sz="4" w:space="0"/>
          <w:bottom w:val="none" w:color="000000" w:sz="4" w:space="0"/>
          <w:right w:val="none" w:color="000000" w:sz="4" w:space="0"/>
        </w:pBdr>
        <w:shd w:val="clear" w:color="ffffff" w:fill="ffffff"/>
        <w:spacing w:after="0" w:before="0" w:line="331" w:lineRule="auto"/>
        <w:ind w:right="0" w:firstLine="0" w:left="0"/>
        <w:jc w:val="both"/>
        <w:rPr/>
      </w:pPr>
      <w:r>
        <w:rPr>
          <w:rFonts w:ascii="Times New Roman" w:hAnsi="Times New Roman" w:eastAsia="Times New Roman" w:cs="Times New Roman"/>
          <w:color w:val="000000"/>
          <w:sz w:val="26"/>
        </w:rPr>
        <w:t xml:space="preserve">Trong quý I năm 2024, Bắc Giang ghi nhận khoảng 3.400 giao dịch nhà đất thông qua công chứng, tăng đáng kể so với cùng kỳ năm 2023. Giá trị bất động sản trên hầu hết các phân khúc tăng từ 10 – 15% so với mức "đáy" của năm 2023. </w:t>
      </w:r>
      <w:r/>
    </w:p>
    <w:p w14:paraId="65E8C700">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Arial" w:hAnsi="Arial" w:eastAsia="Arial" w:cs="Arial"/>
          <w:color w:val="333333"/>
          <w:sz w:val="23"/>
          <w:highlight w:val="white"/>
        </w:rPr>
        <w:t xml:space="preserve"> </w:t>
      </w:r>
      <w:r/>
    </w:p>
    <w:p w14:paraId="09E7965B">
      <w:pPr>
        <w:pBdr>
          <w:top w:val="none" w:color="000000" w:sz="4" w:space="0"/>
          <w:left w:val="none" w:color="000000" w:sz="4" w:space="0"/>
          <w:bottom w:val="none" w:color="000000" w:sz="4" w:space="0"/>
          <w:right w:val="none" w:color="000000" w:sz="4" w:space="0"/>
        </w:pBdr>
        <w:shd w:val="clear" w:color="ffffff" w:fill="ffffff"/>
        <w:spacing w:after="0" w:before="0" w:line="331" w:lineRule="auto"/>
        <w:ind w:right="0" w:firstLine="0" w:left="0"/>
        <w:jc w:val="both"/>
        <w:rPr/>
      </w:pPr>
      <w:r>
        <w:rPr>
          <w:rFonts w:ascii="Times New Roman" w:hAnsi="Times New Roman" w:eastAsia="Times New Roman" w:cs="Times New Roman"/>
          <w:color w:val="000000"/>
          <w:sz w:val="26"/>
        </w:rPr>
        <w:t xml:space="preserve">Chính phủ giao chỉ tiêu tăng trưởng GRDP năm 2025 cho Bắc Giang đạt 13,6%, cao nhất cả nước. Trong đó, công nghiệp - xây dựng tăng 16%, dịch vụ tăng 7,5%, nông, lâm nghiệp và thủy sản tăng 3,8%, thuế sản phẩm tăng 10%. Theo đó, khẳng định Bắc Giang có vai </w:t>
      </w:r>
      <w:r>
        <w:rPr>
          <w:rFonts w:ascii="Times New Roman" w:hAnsi="Times New Roman" w:eastAsia="Times New Roman" w:cs="Times New Roman"/>
          <w:color w:val="000000"/>
          <w:sz w:val="26"/>
        </w:rPr>
        <w:t xml:space="preserve">trò trọng điểm về tăng trưởng kinh tế và trung tâm thu hút đầu tư.</w:t>
      </w:r>
      <w:r/>
    </w:p>
    <w:p w14:paraId="2BD34FF2">
      <w:pPr>
        <w:pBdr>
          <w:top w:val="none" w:color="000000" w:sz="4" w:space="0"/>
          <w:left w:val="none" w:color="000000" w:sz="4" w:space="0"/>
          <w:bottom w:val="none" w:color="000000" w:sz="4" w:space="0"/>
          <w:right w:val="none" w:color="000000" w:sz="4" w:space="0"/>
        </w:pBdr>
        <w:shd w:val="clear" w:color="ffffff" w:fill="ffffff"/>
        <w:spacing w:after="0" w:before="0" w:line="331" w:lineRule="auto"/>
        <w:ind w:right="0" w:firstLine="0" w:left="0"/>
        <w:jc w:val="both"/>
        <w:rPr/>
      </w:pPr>
      <w:r>
        <w:rPr>
          <w:rFonts w:ascii="Times New Roman" w:hAnsi="Times New Roman" w:eastAsia="Times New Roman" w:cs="Times New Roman"/>
          <w:color w:val="000000"/>
          <w:sz w:val="26"/>
        </w:rPr>
        <w:t xml:space="preserve">Theo các chuyên gia, năm 2025 sẽ là giai đoạn tăng trưởng mạnh mẽ của thị trường bất động sản Bắc Giang nhờ các yếu tố sau:</w:t>
      </w:r>
      <w:r/>
    </w:p>
    <w:p w14:paraId="5B21E356">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Arial" w:hAnsi="Arial" w:eastAsia="Arial" w:cs="Arial"/>
          <w:color w:val="333333"/>
          <w:sz w:val="23"/>
          <w:highlight w:val="white"/>
        </w:rPr>
        <w:t xml:space="preserve"> </w:t>
      </w:r>
      <w:r/>
    </w:p>
    <w:p w14:paraId="7A438A15">
      <w:pPr>
        <w:pBdr>
          <w:top w:val="none" w:color="000000" w:sz="4" w:space="0"/>
          <w:left w:val="none" w:color="000000" w:sz="4" w:space="0"/>
          <w:bottom w:val="none" w:color="000000" w:sz="4" w:space="0"/>
          <w:right w:val="none" w:color="000000" w:sz="4" w:space="0"/>
        </w:pBdr>
        <w:shd w:val="clear" w:color="ffffff" w:fill="ffffff"/>
        <w:spacing w:after="0" w:before="0" w:line="331" w:lineRule="auto"/>
        <w:ind w:right="0" w:firstLine="0" w:left="0"/>
        <w:jc w:val="both"/>
        <w:rPr/>
      </w:pPr>
      <w:r>
        <w:rPr>
          <w:rFonts w:ascii="Times New Roman" w:hAnsi="Times New Roman" w:eastAsia="Times New Roman" w:cs="Times New Roman"/>
          <w:color w:val="000000"/>
          <w:sz w:val="26"/>
        </w:rPr>
        <w:t xml:space="preserve">Phát triển hạ tầng giao thông: Bắc Giang tập trung ưu tiên nguồn vốn ngân sách, tăng cường huy động, thu hút nguồn vốn ngoài ngân sách cho đầu tư phát triển kết cấu hạ tầng giao thông. Mở rộng nút giao liên thông giữa cầu vượt Hùng Vương với cao tốc Hà Nội</w:t>
      </w:r>
      <w:r>
        <w:rPr>
          <w:rFonts w:ascii="Times New Roman" w:hAnsi="Times New Roman" w:eastAsia="Times New Roman" w:cs="Times New Roman"/>
          <w:color w:val="000000"/>
          <w:sz w:val="26"/>
        </w:rPr>
        <w:t xml:space="preserve"> - Bắc Giang; hoàn thành mở rộng cầu Như Nguyệt; cơ bản hoàn thành nút giao liên thông tại thị trấn Vôi với cao tốc Bắc Giang - Lạng Sơn; hoàn thành mở rộng đường gom trái tuyến từ QL17-QL37 và nút giao liên thông giữa QL.17, QL.37 với cao tốc Hà Nội - Bắc</w:t>
      </w:r>
      <w:r>
        <w:rPr>
          <w:rFonts w:ascii="Times New Roman" w:hAnsi="Times New Roman" w:eastAsia="Times New Roman" w:cs="Times New Roman"/>
          <w:color w:val="000000"/>
          <w:sz w:val="26"/>
        </w:rPr>
        <w:t xml:space="preserve"> Giang... Qua đó, tiếp tục duy trì khai thác hiệu quả tuyến cao tốc Hà Nội - Lạng Sơn đoạn qua địa bàn tỉnh Bắc Giang, làm thay đổi diện mạo hệ thống giao thông trên địa bàn tỉnh.</w:t>
      </w:r>
      <w:r/>
    </w:p>
    <w:p w14:paraId="696A3A38">
      <w:pPr>
        <w:pBdr>
          <w:top w:val="none" w:color="000000" w:sz="4" w:space="0"/>
          <w:left w:val="none" w:color="000000" w:sz="4" w:space="0"/>
          <w:bottom w:val="none" w:color="000000" w:sz="4" w:space="0"/>
          <w:right w:val="none" w:color="000000" w:sz="4" w:space="0"/>
        </w:pBdr>
        <w:shd w:val="clear" w:color="ffffff" w:fill="ffffff"/>
        <w:spacing w:after="0" w:before="0" w:line="331" w:lineRule="auto"/>
        <w:ind w:right="0" w:firstLine="0" w:left="0"/>
        <w:jc w:val="both"/>
        <w:rPr/>
      </w:pPr>
      <w:r>
        <w:rPr>
          <w:rFonts w:ascii="Times New Roman" w:hAnsi="Times New Roman" w:eastAsia="Times New Roman" w:cs="Times New Roman"/>
          <w:color w:val="000000"/>
          <w:sz w:val="26"/>
        </w:rPr>
        <w:t xml:space="preserve">Dòng vốn FDI đổ vào khu công nghiệp: Tính từ đầu năm 2024, tỉnh Bắc Giang thu hút vốn đầu tư đạt trên 1,8 tỷ USD, trong đó cấp mới 21 dự án đầu tư trong nước, với số vốn đăng ký 12.900,7 tỷ đồng, gấp 2,3 lần và 63 dự án FDI với số vốn đăng ký 459,18 triệu </w:t>
      </w:r>
      <w:r>
        <w:rPr>
          <w:rFonts w:ascii="Times New Roman" w:hAnsi="Times New Roman" w:eastAsia="Times New Roman" w:cs="Times New Roman"/>
          <w:color w:val="000000"/>
          <w:sz w:val="26"/>
        </w:rPr>
        <w:t xml:space="preserve">USD. Các khu công nghiệp như Quang Châu, Vân Trung, Đình Trám sẽ thu hút hàng nghìn lao động, tạo nhu cầu lớn về nhà ở. </w:t>
      </w:r>
      <w:r/>
    </w:p>
    <w:p w14:paraId="316910AB">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Arial" w:hAnsi="Arial" w:eastAsia="Arial" w:cs="Arial"/>
          <w:color w:val="333333"/>
          <w:sz w:val="23"/>
          <w:highlight w:val="white"/>
        </w:rPr>
        <w:t xml:space="preserve"> </w:t>
      </w:r>
      <w:r/>
    </w:p>
    <w:p w14:paraId="17BAA19F">
      <w:pPr>
        <w:pBdr>
          <w:top w:val="none" w:color="000000" w:sz="4" w:space="0"/>
          <w:left w:val="none" w:color="000000" w:sz="4" w:space="0"/>
          <w:bottom w:val="none" w:color="000000" w:sz="4" w:space="0"/>
          <w:right w:val="none" w:color="000000" w:sz="4" w:space="0"/>
        </w:pBdr>
        <w:shd w:val="clear" w:color="ffffff" w:fill="ffffff"/>
        <w:spacing w:after="0" w:before="0" w:line="331" w:lineRule="auto"/>
        <w:ind w:right="0" w:firstLine="0" w:left="0"/>
        <w:jc w:val="both"/>
        <w:rPr/>
      </w:pPr>
      <w:r>
        <w:rPr>
          <w:rFonts w:ascii="Times New Roman" w:hAnsi="Times New Roman" w:eastAsia="Times New Roman" w:cs="Times New Roman"/>
          <w:color w:val="000000"/>
          <w:sz w:val="26"/>
        </w:rPr>
        <w:t xml:space="preserve">Chính sách quy hoạch mở rộng đô thị: Thành phố Bắc Giang đang được mở rộng, phát triển thành đô thị hiện đại, thúc đẩy thị trường bất động sản Bắc Giang. Phương án sắp xếp đơn vị hành chính là đô thị cấp xã, giai đoạn 2023 - 2025, tỉnh Bắc Giang dự kiến sắ</w:t>
      </w:r>
      <w:r>
        <w:rPr>
          <w:rFonts w:ascii="Times New Roman" w:hAnsi="Times New Roman" w:eastAsia="Times New Roman" w:cs="Times New Roman"/>
          <w:color w:val="000000"/>
          <w:sz w:val="26"/>
        </w:rPr>
        <w:t xml:space="preserve">p xếp 05 ĐVHC cấp xã là đô thị, trong đó 03 ĐVHC thuộc diện sắp xếp, 02 ĐVHC thuộc diện khuyến khích sắp xếp. Ngoài ra, thực hiện sắp xếp 13 xã quy hoạch thành các phường và thị trấn. Giai đoạn 2026 - 2030, tỉnh Bắc Giang dự kiến sắp xếp 03 ĐVHC là đô thị </w:t>
      </w:r>
      <w:r>
        <w:rPr>
          <w:rFonts w:ascii="Times New Roman" w:hAnsi="Times New Roman" w:eastAsia="Times New Roman" w:cs="Times New Roman"/>
          <w:color w:val="000000"/>
          <w:sz w:val="26"/>
        </w:rPr>
        <w:t xml:space="preserve">cấp xã.</w:t>
      </w:r>
      <w:r/>
    </w:p>
    <w:p w14:paraId="265F5601">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Arial" w:hAnsi="Arial" w:eastAsia="Arial" w:cs="Arial"/>
          <w:color w:val="333333"/>
          <w:sz w:val="23"/>
          <w:highlight w:val="white"/>
        </w:rPr>
        <w:t xml:space="preserve"> </w:t>
      </w:r>
      <w:r/>
    </w:p>
    <w:p w14:paraId="6A164FB7">
      <w:pPr>
        <w:pBdr>
          <w:top w:val="none" w:color="000000" w:sz="4" w:space="0"/>
          <w:left w:val="none" w:color="000000" w:sz="4" w:space="0"/>
          <w:bottom w:val="none" w:color="000000" w:sz="4" w:space="0"/>
          <w:right w:val="none" w:color="000000" w:sz="4" w:space="0"/>
        </w:pBdr>
        <w:shd w:val="clear" w:color="ffffff" w:fill="ffffff"/>
        <w:tabs>
          <w:tab w:val="left" w:leader="none" w:pos="811"/>
        </w:tabs>
        <w:spacing w:after="0" w:before="0" w:line="331" w:lineRule="auto"/>
        <w:ind w:right="0" w:firstLine="0" w:left="0"/>
        <w:jc w:val="both"/>
        <w:rPr/>
      </w:pPr>
      <w:r>
        <w:rPr>
          <w:rFonts w:ascii="Times New Roman" w:hAnsi="Times New Roman" w:eastAsia="Times New Roman" w:cs="Times New Roman"/>
          <w:color w:val="000000"/>
          <w:sz w:val="26"/>
        </w:rPr>
        <w:t xml:space="preserve">Theo các chuyên gia, dự kiến giá trị bất động sản Bắc Giang sẽ tăng trưởng từ 10 - 15% trong năm 2025, sau khi ba luật mới chính thức có hiệu lực, đặc biệt là 3 loại hình dưới đây sẽ hút vốn nhiều nhất: Chung cư, đất nền, đất đấu giá. Một thế mạnh nữa của </w:t>
      </w:r>
      <w:r>
        <w:rPr>
          <w:rFonts w:ascii="Times New Roman" w:hAnsi="Times New Roman" w:eastAsia="Times New Roman" w:cs="Times New Roman"/>
          <w:color w:val="000000"/>
          <w:sz w:val="26"/>
        </w:rPr>
        <w:t xml:space="preserve">tỉnh là dư địa phát triển bất động sản còn rất nhiều. Trong khi đó, hệ thống cơ sở hạ tầng của Bắc Giang cơ bản đã đồng bộ hoàn chỉnh. Đây chính là tiền đề để thu hút nhiều doanh nghiệp lớn rót vốn phát triển.</w:t>
      </w:r>
      <w:r>
        <w:tab/>
      </w:r>
      <w:r/>
    </w:p>
    <w:p w14:paraId="19CB7814">
      <w:pPr>
        <w:pBdr/>
        <w:tabs>
          <w:tab w:val="left" w:leader="none" w:pos="426"/>
        </w:tabs>
        <w:spacing w:after="120" w:before="120" w:line="276" w:lineRule="auto"/>
        <w:ind/>
        <w:jc w:val="center"/>
        <w:rPr>
          <w:bCs/>
          <w:i/>
        </w:rPr>
      </w:pPr>
      <w:r>
        <w:rPr>
          <w:i/>
          <w:iCs/>
          <w:lang w:val="pt-BR"/>
        </w:rPr>
        <w:t xml:space="preserve">(</w:t>
      </w:r>
      <w:r>
        <w:rPr>
          <w:i/>
          <w:iCs/>
          <w:lang w:val="pt-BR"/>
        </w:rPr>
        <w:t xml:space="preserve">https://bgrea.bacgiang.gov.vn/chi-tiet-tin-tuc/-/asset_publisher/kmIyyyu8w7p6/content/xu-huong-bat-ong-san-bac-giang-2025-tiem-nang-but-pha-va-co-hoi-au-tu</w:t>
      </w:r>
      <w:r>
        <w:rPr>
          <w:i/>
          <w:iCs/>
          <w:lang w:val="pt-BR"/>
        </w:rPr>
        <w:t xml:space="preserve">)</w:t>
        <w:tab/>
      </w:r>
      <w:r>
        <w:rPr>
          <w:i/>
          <w:iCs/>
        </w:rPr>
      </w:r>
      <w:r>
        <w:rPr>
          <w:bCs/>
          <w:i/>
        </w:rPr>
      </w:r>
    </w:p>
    <w:p w14:paraId="20BF0D54" w14:textId="312C63AB">
      <w:pPr>
        <w:pStyle w:val="102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14:paraId="2B504810">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Quyền sử dụng đất tại thửa đất số: 17 LKP-3 , tờ bản đồ số: TKPL có </w:t>
            </w:r>
            <w:r>
              <w:rPr>
                <w:rFonts w:ascii="Times New Roman" w:hAnsi="Times New Roman" w:eastAsia="Times New Roman" w:cs="Times New Roman"/>
                <w:b/>
                <w:bCs/>
                <w:color w:val="000000"/>
                <w:sz w:val="24"/>
              </w:rPr>
              <w:t xml:space="preserve">địa chỉ: Khu hạ tầng kỹ thuật, tổ dân phố Kem, thị trấn Nham Biền, huyện Yên Dũng, tỉnh Bắc Giang (nay là phường Nham Biền, tỉnh Bắc Ninh) theo Giấy chứng nhận quyền sử dụng đất, quyền sở hữu nhà ở và  tài sản  khác gắn liền với đất số: DA 396911, số vào s</w:t>
            </w:r>
            <w:r>
              <w:rPr>
                <w:rFonts w:ascii="Times New Roman" w:hAnsi="Times New Roman" w:eastAsia="Times New Roman" w:cs="Times New Roman"/>
                <w:b/>
                <w:bCs/>
                <w:color w:val="000000"/>
                <w:sz w:val="24"/>
              </w:rPr>
              <w:t xml:space="preserve">ổ cấp GCN: CH 00736 do UBND huyện Yên Dũng cấp  ngày 21</w:t>
            </w:r>
            <w:r>
              <w:rPr>
                <w:rFonts w:ascii="Times New Roman" w:hAnsi="Times New Roman" w:eastAsia="Times New Roman" w:cs="Times New Roman"/>
                <w:b/>
                <w:bCs/>
                <w:color w:val="000000"/>
                <w:sz w:val="24"/>
                <w:highlight w:val="white"/>
              </w:rPr>
              <w:t xml:space="preserve">/01/202</w:t>
            </w:r>
            <w:r>
              <w:rPr>
                <w:rFonts w:ascii="Times New Roman" w:hAnsi="Times New Roman" w:eastAsia="Times New Roman" w:cs="Times New Roman"/>
                <w:b/>
                <w:bCs/>
                <w:color w:val="000000"/>
                <w:sz w:val="24"/>
              </w:rPr>
              <w:t xml:space="preserve">1, Chủ sử dụng đất là ông Nguyễn Văn Ngọc</w:t>
            </w:r>
            <w:r>
              <w:rPr>
                <w:rFonts w:ascii="Times New Roman" w:hAnsi="Times New Roman" w:eastAsia="Times New Roman" w:cs="Times New Roman"/>
                <w:b/>
                <w:bCs/>
                <w:i/>
                <w:color w:val="000000"/>
                <w:sz w:val="24"/>
              </w:rPr>
              <w:t xml:space="preserve">.</w:t>
            </w:r>
            <w:r>
              <w:rPr>
                <w:b/>
                <w:bCs/>
              </w:rPr>
            </w:r>
            <w:r>
              <w:rPr>
                <w:b/>
                <w:bCs/>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17 LKP-3</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TKPL</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Khu hạ tầng kỹ thuật, tổ dân phố Kem, thị trấn Nham Biền, huyện Yên Dũng, tỉnh Bắc Giang</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108</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14:paraId="321A7D60" w14:textId="4C03A97C">
            <w:pPr>
              <w:pBdr/>
              <w:spacing/>
              <w:ind/>
              <w:jc w:val="both"/>
              <w:rPr>
                <w:color w:val="000000"/>
              </w:rPr>
            </w:pPr>
            <w:r>
              <w:rPr>
                <w:color w:val="000000"/>
              </w:rPr>
              <w:t xml:space="preserve">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thu thập được thông tin quy hoạch liên quan đến thửa đất.</w: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Đường nhựa có vẻ hè</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một mặt đường và một mặt thoáng phía sau</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48</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48</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t xml:space="preserve">Tài sản nằm tiếp giáp đường quốc lộ 17B</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14:paraId="2F6FA25E">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highlight w:val="white"/>
              </w:rPr>
              <w:t xml:space="preserve">-Hướng Đông Nam tiếp giáp với đường giao thông</w:t>
            </w:r>
            <w:r>
              <w:rPr>
                <w:rFonts w:ascii="Times New Roman" w:hAnsi="Times New Roman" w:eastAsia="Times New Roman" w:cs="Times New Roman"/>
                <w:sz w:val="24"/>
              </w:rPr>
            </w:r>
            <w:r>
              <w:rPr>
                <w:rFonts w:ascii="Times New Roman" w:hAnsi="Times New Roman" w:eastAsia="Times New Roman" w:cs="Times New Roman"/>
                <w:color w:val="000000"/>
                <w:sz w:val="24"/>
                <w:szCs w:val="24"/>
                <w:highlight w:val="none"/>
              </w:rPr>
            </w:r>
          </w:p>
          <w:p w14:paraId="291CE1CA">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szCs w:val="24"/>
              </w:rPr>
            </w:pPr>
            <w:r>
              <w:rPr>
                <w:rFonts w:ascii="Times New Roman" w:hAnsi="Times New Roman" w:eastAsia="Times New Roman" w:cs="Times New Roman"/>
                <w:color w:val="000000"/>
                <w:sz w:val="24"/>
                <w:highlight w:val="none"/>
              </w:rPr>
              <w:t xml:space="preserve">-Hướ</w:t>
            </w:r>
            <w:r>
              <w:rPr>
                <w:rFonts w:ascii="Times New Roman" w:hAnsi="Times New Roman" w:eastAsia="Times New Roman" w:cs="Times New Roman"/>
                <w:color w:val="c00000"/>
                <w:sz w:val="24"/>
                <w:highlight w:val="none"/>
              </w:rPr>
              <w:t xml:space="preserve">ng Tây Bắc: t</w:t>
            </w:r>
            <w:r>
              <w:rPr>
                <w:rFonts w:ascii="Times New Roman" w:hAnsi="Times New Roman" w:eastAsia="Times New Roman" w:cs="Times New Roman"/>
                <w:color w:val="000000"/>
                <w:sz w:val="24"/>
                <w:highlight w:val="none"/>
              </w:rPr>
              <w:t xml:space="preserve">iếp giáp với khe thoáng </w:t>
            </w:r>
            <w:r>
              <w:rPr>
                <w:rFonts w:ascii="Times New Roman" w:hAnsi="Times New Roman" w:eastAsia="Times New Roman" w:cs="Times New Roman"/>
                <w:color w:val="000000"/>
                <w:sz w:val="24"/>
                <w:highlight w:val="none"/>
              </w:rPr>
            </w:r>
            <w:r>
              <w:rPr>
                <w:rFonts w:ascii="Times New Roman" w:hAnsi="Times New Roman" w:eastAsia="Times New Roman" w:cs="Times New Roman"/>
                <w:sz w:val="24"/>
                <w:szCs w:val="24"/>
              </w:rPr>
            </w:r>
          </w:p>
          <w:p w14:paraId="3D4FCA9C" w14:textId="0B548AE7">
            <w:pPr>
              <w:pBdr/>
              <w:spacing/>
              <w:ind/>
              <w:rPr>
                <w:color w:val="000000" w:themeColor="text1"/>
              </w:rPr>
            </w:pPr>
            <w:r>
              <w:rPr>
                <w:rFonts w:ascii="Times New Roman" w:hAnsi="Times New Roman" w:eastAsia="Times New Roman" w:cs="Times New Roman"/>
                <w:color w:val="000000"/>
                <w:sz w:val="24"/>
                <w:highlight w:val="white"/>
              </w:rPr>
              <w:t xml:space="preserve">- Các hướng khác: tiếp giáp các thửa đất khác</w:t>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21.201861111111</w:t>
            </w:r>
            <w:r>
              <w:rPr>
                <w:color w:val="000000"/>
              </w:rPr>
              <w:t xml:space="preserve">, </w:t>
            </w:r>
            <w:r>
              <w:rPr>
                <w:color w:val="000000"/>
              </w:rPr>
              <w:t xml:space="preserve">106.21877777778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jc w:val="center"/>
              <w:rPr>
                <w:color w:val="000000"/>
              </w:rPr>
            </w:pPr>
            <w:r>
              <w:rPr>
                <w:color w:val="000000"/>
              </w:rPr>
              <mc:AlternateContent>
                <mc:Choice Requires="wpg">
                  <w:drawing>
                    <wp:anchor xmlns:wp="http://schemas.openxmlformats.org/drawingml/2006/wordprocessingDrawing" xmlns:wp14="http://schemas.microsoft.com/office/word/2010/wordprocessingDrawing" distT="0" distB="0" distL="115200" distR="115200" simplePos="0" relativeHeight="251662848" behindDoc="0" locked="0" layoutInCell="1" allowOverlap="1">
                      <wp:simplePos x="0" y="0"/>
                      <wp:positionH relativeFrom="column">
                        <wp:posOffset>428625</wp:posOffset>
                      </wp:positionH>
                      <wp:positionV relativeFrom="paragraph">
                        <wp:posOffset>0</wp:posOffset>
                      </wp:positionV>
                      <wp:extent cx="4572000" cy="2542032"/>
                      <wp:effectExtent l="0" t="0" r="0" b="0"/>
                      <wp:wrapSquare wrapText="bothSides"/>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rot="0" flipH="0" flipV="0">
                                <a:off x="0" y="0"/>
                                <a:ext cx="4572000" cy="2542031"/>
                              </a:xfrm>
                              <a:prstGeom prst="rect">
                                <a:avLst/>
                              </a:prstGeom>
                              <a:noFill/>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position:absolute;z-index:251662848;o:allowoverlap:true;o:allowincell:true;mso-position-horizontal-relative:text;margin-left:33.75pt;mso-position-horizontal:absolute;mso-position-vertical-relative:text;margin-top:0.00pt;mso-position-vertical:absolute;width:360.00pt;height:200.16pt;mso-wrap-distance-left:9.07pt;mso-wrap-distance-top:0.00pt;mso-wrap-distance-right:9.07pt;mso-wrap-distance-bottom:0.00pt;rotation:0;z-index:1;" stroked="false">
                      <w10:wrap type="squar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108</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6</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18</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themeColor="text1"/>
              </w:rPr>
            </w:pPr>
            <w:r>
              <w:rPr>
                <w:color w:val="000000" w:themeColor="text1"/>
              </w:rPr>
              <w:t xml:space="preserve">Hình chữ nhậ</w:t>
            </w:r>
            <w:r>
              <w:rPr>
                <w:color w:val="000000" w:themeColor="text1"/>
              </w:rPr>
              <w:t xml:space="preserve">t</w:t>
            </w:r>
            <w:r>
              <w:rPr>
                <w:color w:val="000000" w:themeColor="text1"/>
              </w:rPr>
            </w:r>
          </w:p>
        </w:tc>
        <w:tc>
          <w:tcPr>
            <w:tcBorders/>
            <w:tcW w:w="2126" w:type="dxa"/>
            <w:vAlign w:val="center"/>
            <w:textDirection w:val="lrTb"/>
            <w:noWrap w:val="false"/>
          </w:tcPr>
          <w:p w14:paraId="23196302" w14:textId="77777777">
            <w:pPr>
              <w:pBdr/>
              <w:spacing/>
              <w:ind/>
              <w:rPr>
                <w:color w:val="000000" w:themeColor="text1"/>
              </w:rPr>
            </w:pPr>
            <w:r>
              <w:rPr>
                <w:color w:val="000000" w:themeColor="text1"/>
              </w:rPr>
              <w:t xml:space="preserve">Hướng</w:t>
            </w:r>
            <w:r>
              <w:rPr>
                <w:color w:val="000000" w:themeColor="text1"/>
              </w:rPr>
              <w:t xml:space="preserve">:</w:t>
            </w:r>
            <w:r>
              <w:rPr>
                <w:color w:val="000000" w:themeColor="text1"/>
              </w:rPr>
            </w:r>
            <w:r>
              <w:rPr>
                <w:color w:val="000000" w:themeColor="text1"/>
              </w:rPr>
            </w:r>
          </w:p>
        </w:tc>
        <w:tc>
          <w:tcPr>
            <w:tcBorders/>
            <w:tcW w:w="2007" w:type="dxa"/>
            <w:vAlign w:val="center"/>
            <w:textDirection w:val="lrTb"/>
            <w:noWrap w:val="false"/>
          </w:tcPr>
          <w:p w14:paraId="1FF80225" w14:textId="250AB9EA">
            <w:pPr>
              <w:pBdr/>
              <w:spacing/>
              <w:ind/>
              <w:jc w:val="center"/>
              <w:rPr>
                <w:color w:val="000000" w:themeColor="text1"/>
              </w:rPr>
            </w:pPr>
            <w:r>
              <w:rPr>
                <w:color w:val="000000" w:themeColor="text1"/>
              </w:rPr>
              <w:t xml:space="preserve">Đông Nam</w:t>
            </w:r>
            <w:r>
              <w:rPr>
                <w:color w:val="000000" w:themeColor="text1"/>
              </w:rPr>
            </w:r>
            <w:r>
              <w:rPr>
                <w:color w:val="000000" w:themeColor="text1"/>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themeColor="text1"/>
              </w:rPr>
            </w:pPr>
            <w:r>
              <w:rPr>
                <w:b/>
                <w:bCs/>
                <w:color w:val="000000" w:themeColor="text1"/>
              </w:rPr>
              <w:t xml:space="preserve">Điều</w:t>
            </w:r>
            <w:r>
              <w:rPr>
                <w:b/>
                <w:bCs/>
                <w:color w:val="000000" w:themeColor="text1"/>
              </w:rPr>
              <w:t xml:space="preserve"> </w:t>
            </w:r>
            <w:r>
              <w:rPr>
                <w:b/>
                <w:bCs/>
                <w:color w:val="000000" w:themeColor="text1"/>
              </w:rPr>
              <w:t xml:space="preserve">kiện</w:t>
            </w:r>
            <w:r>
              <w:rPr>
                <w:b/>
                <w:bCs/>
                <w:color w:val="000000" w:themeColor="text1"/>
              </w:rPr>
              <w:t xml:space="preserve"> </w:t>
            </w:r>
            <w:r>
              <w:rPr>
                <w:b/>
                <w:bCs/>
                <w:color w:val="000000" w:themeColor="text1"/>
              </w:rPr>
              <w:t xml:space="preserve">kinh</w:t>
            </w:r>
            <w:r>
              <w:rPr>
                <w:b/>
                <w:bCs/>
                <w:color w:val="000000" w:themeColor="text1"/>
              </w:rPr>
              <w:t xml:space="preserve"> </w:t>
            </w:r>
            <w:r>
              <w:rPr>
                <w:b/>
                <w:bCs/>
                <w:color w:val="000000" w:themeColor="text1"/>
              </w:rPr>
              <w:t xml:space="preserve">doanh</w:t>
            </w:r>
            <w:r>
              <w:rPr>
                <w:b/>
                <w:bCs/>
                <w:color w:val="000000" w:themeColor="text1"/>
              </w:rPr>
              <w:t xml:space="preserve">; </w:t>
            </w:r>
            <w:r>
              <w:rPr>
                <w:b/>
                <w:bCs/>
                <w:color w:val="000000" w:themeColor="text1"/>
              </w:rPr>
              <w:t xml:space="preserve">Hạ</w:t>
            </w:r>
            <w:r>
              <w:rPr>
                <w:b/>
                <w:bCs/>
                <w:color w:val="000000" w:themeColor="text1"/>
              </w:rPr>
              <w:t xml:space="preserve"> </w:t>
            </w:r>
            <w:r>
              <w:rPr>
                <w:b/>
                <w:bCs/>
                <w:color w:val="000000" w:themeColor="text1"/>
              </w:rPr>
              <w:t xml:space="preserve">tầng</w:t>
            </w:r>
            <w:r>
              <w:rPr>
                <w:b/>
                <w:bCs/>
                <w:color w:val="000000" w:themeColor="text1"/>
              </w:rPr>
              <w:t xml:space="preserve"> </w:t>
            </w:r>
            <w:r>
              <w:rPr>
                <w:b/>
                <w:bCs/>
                <w:color w:val="000000" w:themeColor="text1"/>
              </w:rPr>
              <w:t xml:space="preserve">nội</w:t>
            </w:r>
            <w:r>
              <w:rPr>
                <w:b/>
                <w:bCs/>
                <w:color w:val="000000" w:themeColor="text1"/>
              </w:rPr>
              <w:t xml:space="preserve"> </w:t>
            </w:r>
            <w:r>
              <w:rPr>
                <w:b/>
                <w:bCs/>
                <w:color w:val="000000" w:themeColor="text1"/>
              </w:rPr>
              <w:t xml:space="preserve">bộ</w:t>
            </w:r>
            <w:r>
              <w:rPr>
                <w:b/>
                <w:bCs/>
                <w:color w:val="000000" w:themeColor="text1"/>
              </w:rPr>
              <w:t xml:space="preserve">; </w:t>
            </w:r>
            <w:r>
              <w:rPr>
                <w:b/>
                <w:bCs/>
                <w:color w:val="000000" w:themeColor="text1"/>
              </w:rPr>
              <w:t xml:space="preserve">Hạ</w:t>
            </w:r>
            <w:r>
              <w:rPr>
                <w:b/>
                <w:bCs/>
                <w:color w:val="000000" w:themeColor="text1"/>
              </w:rPr>
              <w:t xml:space="preserve"> </w:t>
            </w:r>
            <w:r>
              <w:rPr>
                <w:b/>
                <w:bCs/>
                <w:color w:val="000000" w:themeColor="text1"/>
              </w:rPr>
              <w:t xml:space="preserve">tầng</w:t>
            </w:r>
            <w:r>
              <w:rPr>
                <w:b/>
                <w:bCs/>
                <w:color w:val="000000" w:themeColor="text1"/>
              </w:rPr>
              <w:t xml:space="preserve"> </w:t>
            </w:r>
            <w:r>
              <w:rPr>
                <w:b/>
                <w:bCs/>
                <w:color w:val="000000" w:themeColor="text1"/>
              </w:rPr>
              <w:t xml:space="preserve">xung</w:t>
            </w:r>
            <w:r>
              <w:rPr>
                <w:b/>
                <w:bCs/>
                <w:color w:val="000000" w:themeColor="text1"/>
              </w:rPr>
              <w:t xml:space="preserve"> </w:t>
            </w:r>
            <w:r>
              <w:rPr>
                <w:b/>
                <w:bCs/>
                <w:color w:val="000000" w:themeColor="text1"/>
              </w:rPr>
              <w:t xml:space="preserve">quanh</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themeColor="text1"/>
              </w:rPr>
            </w:pPr>
            <w:r>
              <w:rPr>
                <w:color w:val="000000" w:themeColor="text1"/>
              </w:rPr>
              <w:t xml:space="preserve">Hạ tầng cấp nước: Nước máy, Hạ tầng thoát nước: Rãnh có nắp, Hạ tầng cấp điện: Điện lưới, Hạ tầng thông tin liên lạc: Điện thoại, Mạng internet, Truyền hình cáp</w:t>
            </w:r>
            <w:r>
              <w:rPr>
                <w:color w:val="000000" w:themeColor="text1"/>
              </w:rPr>
            </w:r>
            <w:r>
              <w:rPr>
                <w:color w:val="000000" w:themeColor="text1"/>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14:paraId="16BC0A31" w14:textId="70BF50FA">
            <w:pPr>
              <w:pBdr/>
              <w:spacing/>
              <w:ind/>
              <w:rPr>
                <w:color w:val="000000" w:themeColor="text1"/>
              </w:rPr>
            </w:pPr>
            <w:r>
              <w:rPr>
                <w:color w:val="000000" w:themeColor="text1"/>
              </w:rPr>
            </w:r>
            <w:r>
              <w:rPr>
                <w:rFonts w:ascii="Times New Roman" w:hAnsi="Times New Roman" w:eastAsia="Times New Roman" w:cs="Times New Roman"/>
                <w:color w:val="000000" w:themeColor="text1"/>
                <w:sz w:val="24"/>
                <w:highlight w:val="white"/>
              </w:rPr>
              <w:t xml:space="preserve">Môi trường trong lành, an ninh đảm bảo, dân trí tốt</w:t>
            </w:r>
            <w:r>
              <w:rPr>
                <w:color w:val="000000" w:themeColor="text1"/>
              </w:rPr>
            </w:r>
            <w:r>
              <w:rPr>
                <w:color w:val="000000" w:themeColor="text1"/>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themeColor="text1"/>
              </w:rPr>
            </w:pPr>
            <w:r>
              <w:rPr>
                <w:color w:val="000000" w:themeColor="text1"/>
              </w:rPr>
              <w:t xml:space="preserve">Khu vực tập trung dân cư</w:t>
            </w:r>
            <w:r>
              <w:rPr>
                <w:color w:val="000000" w:themeColor="text1"/>
              </w:rPr>
            </w:r>
          </w:p>
        </w:tc>
        <w:tc>
          <w:tcPr>
            <w:tcBorders/>
            <w:tcW w:w="2126" w:type="dxa"/>
            <w:vAlign w:val="center"/>
            <w:textDirection w:val="lrTb"/>
            <w:noWrap w:val="false"/>
          </w:tcPr>
          <w:p w14:paraId="62C6A813" w14:textId="77777777">
            <w:pPr>
              <w:pBdr/>
              <w:spacing/>
              <w:ind/>
              <w:rPr>
                <w:color w:val="000000" w:themeColor="text1"/>
              </w:rPr>
            </w:pPr>
            <w:r>
              <w:rPr>
                <w:color w:val="000000" w:themeColor="text1"/>
              </w:rPr>
              <w:t xml:space="preserve">Đời</w:t>
            </w:r>
            <w:r>
              <w:rPr>
                <w:color w:val="000000" w:themeColor="text1"/>
              </w:rPr>
              <w:t xml:space="preserve"> </w:t>
            </w:r>
            <w:r>
              <w:rPr>
                <w:color w:val="000000" w:themeColor="text1"/>
              </w:rPr>
              <w:t xml:space="preserve">sống</w:t>
            </w:r>
            <w:r>
              <w:rPr>
                <w:color w:val="000000" w:themeColor="text1"/>
              </w:rPr>
              <w:t xml:space="preserve"> </w:t>
            </w:r>
            <w:r>
              <w:rPr>
                <w:color w:val="000000" w:themeColor="text1"/>
              </w:rPr>
              <w:t xml:space="preserve">dân</w:t>
            </w:r>
            <w:r>
              <w:rPr>
                <w:color w:val="000000" w:themeColor="text1"/>
              </w:rPr>
              <w:t xml:space="preserve"> </w:t>
            </w:r>
            <w:r>
              <w:rPr>
                <w:color w:val="000000" w:themeColor="text1"/>
              </w:rPr>
              <w:t xml:space="preserve">cư</w:t>
            </w:r>
            <w:r>
              <w:rPr>
                <w:color w:val="000000" w:themeColor="text1"/>
              </w:rPr>
              <w:t xml:space="preserve">:</w:t>
            </w:r>
            <w:r>
              <w:rPr>
                <w:color w:val="000000" w:themeColor="text1"/>
              </w:rPr>
            </w:r>
            <w:r>
              <w:rPr>
                <w:color w:val="000000" w:themeColor="text1"/>
              </w:rPr>
            </w:r>
          </w:p>
        </w:tc>
        <w:tc>
          <w:tcPr>
            <w:tcBorders/>
            <w:tcW w:w="2007" w:type="dxa"/>
            <w:vAlign w:val="center"/>
            <w:textDirection w:val="lrTb"/>
            <w:noWrap w:val="false"/>
          </w:tcPr>
          <w:p w14:paraId="7A2ABDA9" w14:textId="7203BE4D">
            <w:pPr>
              <w:pBdr/>
              <w:spacing/>
              <w:ind/>
              <w:jc w:val="center"/>
              <w:rPr>
                <w:color w:val="000000" w:themeColor="text1"/>
              </w:rPr>
            </w:pPr>
            <w:r>
              <w:rPr>
                <w:color w:val="000000" w:themeColor="text1"/>
              </w:rPr>
              <w:t xml:space="preserve">Khá</w:t>
            </w:r>
            <w:r>
              <w:rPr>
                <w:color w:val="000000" w:themeColor="text1"/>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r>
            <w:r>
              <w:rPr>
                <w:rFonts w:ascii="Times New Roman" w:hAnsi="Times New Roman" w:eastAsia="Times New Roman" w:cs="Times New Roman"/>
                <w:color w:val="000000"/>
                <w:sz w:val="24"/>
              </w:rPr>
              <w:t xml:space="preserve">Tốt</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 Đất trống</w:t>
            </w:r>
            <w:r>
              <w:rPr>
                <w:b/>
                <w:bCs/>
                <w:color w:val="000000"/>
              </w:rPr>
            </w:r>
            <w:r>
              <w:rPr>
                <w:b/>
                <w:bCs/>
                <w:color w:val="000000"/>
              </w:rPr>
            </w:r>
          </w:p>
        </w:tc>
      </w:tr>
    </w:tbl>
    <w:p w14:paraId="6B96CE86"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6"/>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26"/>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6"/>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2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2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r/>
      <w:r>
        <w:rPr>
          <w:spacing w:val="-2"/>
          <w:highlight w:val="yellow"/>
          <w:lang w:val="pt-BR"/>
        </w:rPr>
      </w:r>
      <w:r>
        <w:rPr>
          <w:bCs/>
          <w:lang w:val="pt-BR"/>
        </w:rPr>
      </w:r>
    </w:p>
    <w:p w14:paraId="0203C927" w14:textId="3E855EB4">
      <w:pPr>
        <w:pStyle w:val="102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2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770CC22B" w14:textId="787D51A9">
      <w:pPr>
        <w:pStyle w:val="102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26"/>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2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Phường Nham Biền, tỉnh Bắc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A9EA3E0">
            <w:pPr>
              <w:pBdr/>
              <w:spacing/>
              <w:ind/>
              <w:jc w:val="center"/>
              <w:rPr/>
            </w:pPr>
            <w:r>
              <w:rPr>
                <w:color w:val="000000" w:themeColor="text1"/>
                <w:sz w:val="22"/>
                <w:szCs w:val="22"/>
              </w:rPr>
              <w:t xml:space="preserve">Phường Nham Biền, tỉnh Bắc Ninh</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DBEE594">
            <w:pPr>
              <w:pBdr/>
              <w:spacing/>
              <w:ind/>
              <w:jc w:val="center"/>
              <w:rPr/>
            </w:pPr>
            <w:r>
              <w:rPr>
                <w:color w:val="000000" w:themeColor="text1"/>
                <w:sz w:val="22"/>
                <w:szCs w:val="22"/>
              </w:rPr>
              <w:t xml:space="preserve">Phường Nham Biền, tỉnh Bắc Ninh</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CCB6BA4">
            <w:pPr>
              <w:pBdr/>
              <w:spacing/>
              <w:ind/>
              <w:jc w:val="center"/>
              <w:rPr/>
            </w:pPr>
            <w:r>
              <w:rPr>
                <w:color w:val="000000" w:themeColor="text1"/>
                <w:sz w:val="22"/>
                <w:szCs w:val="22"/>
              </w:rPr>
              <w:t xml:space="preserve">Phường Nham Biền, tỉnh Bắc Ninh</w:t>
            </w:r>
            <w:r>
              <w:rPr>
                <w:sz w:val="22"/>
                <w:szCs w:val="22"/>
              </w:rPr>
            </w:r>
            <w:r/>
          </w:p>
        </w:tc>
      </w:tr>
      <w:tr>
        <w:trPr>
          <w:trHeight w:val="62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0359569565</w:t>
            </w:r>
            <w:r>
              <w:rPr>
                <w:sz w:val="22"/>
                <w:szCs w:val="22"/>
              </w:rPr>
              <w:t xml:space="preserve"> </w:t>
            </w:r>
            <w:r>
              <w:rPr>
                <w:sz w:val="22"/>
                <w:szCs w:val="22"/>
              </w:rPr>
              <w:br/>
              <w:t xml:space="preserve">(</w:t>
            </w:r>
            <w:r>
              <w:rPr>
                <w:sz w:val="22"/>
                <w:szCs w:val="22"/>
              </w:rPr>
              <w:t xml:space="preserve">Đàm Văn Tuấn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0359569565</w:t>
            </w:r>
            <w:r>
              <w:rPr>
                <w:sz w:val="22"/>
                <w:szCs w:val="22"/>
              </w:rPr>
              <w:br/>
            </w:r>
            <w:r>
              <w:rPr>
                <w:sz w:val="22"/>
                <w:szCs w:val="22"/>
              </w:rPr>
              <w:t xml:space="preserve">(</w:t>
            </w:r>
            <w:r>
              <w:rPr>
                <w:sz w:val="22"/>
                <w:szCs w:val="22"/>
              </w:rPr>
              <w:t xml:space="preserve">Đàm Văn Tuấn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0961818788</w:t>
            </w:r>
            <w:r>
              <w:rPr>
                <w:sz w:val="22"/>
                <w:szCs w:val="22"/>
              </w:rPr>
              <w:br/>
            </w:r>
            <w:r>
              <w:rPr>
                <w:sz w:val="22"/>
                <w:szCs w:val="22"/>
              </w:rPr>
              <w:t xml:space="preserve">(</w:t>
            </w:r>
            <w:r>
              <w:rPr>
                <w:sz w:val="22"/>
                <w:szCs w:val="22"/>
              </w:rPr>
              <w:t xml:space="preserve">Bđs Thắng Đá</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D2057F4">
            <w:pPr>
              <w:pBdr/>
              <w:spacing/>
              <w:ind/>
              <w:jc w:val="center"/>
              <w:rPr>
                <w:color w:val="000000"/>
                <w:sz w:val="22"/>
                <w:szCs w:val="22"/>
              </w:rPr>
            </w:pPr>
            <w:r>
              <w:rPr>
                <w:color w:val="000000"/>
                <w:sz w:val="22"/>
                <w:szCs w:val="22"/>
              </w:rPr>
              <w:t xml:space="preserve"> </w:t>
            </w: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left"/>
              <w:rPr>
                <w:color w:val="000000"/>
                <w:sz w:val="22"/>
                <w:szCs w:val="22"/>
              </w:rPr>
            </w:pPr>
            <w:r>
              <w:rPr>
                <w:color w:val="000000"/>
                <w:sz w:val="22"/>
                <w:szCs w:val="22"/>
              </w:rPr>
              <w:t xml:space="preserve"> </w:t>
            </w:r>
            <w:r>
              <w:rPr>
                <w:color w:val="000000"/>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DCE3831">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DCE3831">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DCE3831">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nằm tiếp giáp QL17B</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DB60A2F">
            <w:pPr>
              <w:pBdr/>
              <w:spacing/>
              <w:ind/>
              <w:jc w:val="center"/>
              <w:rPr/>
            </w:pPr>
            <w:r>
              <w:rPr>
                <w:color w:val="000000" w:themeColor="text1"/>
                <w:sz w:val="22"/>
                <w:szCs w:val="22"/>
              </w:rPr>
              <w:t xml:space="preserve">Tài sản nằm tiếp giáp QL17B</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2811A0D">
            <w:pPr>
              <w:pBdr/>
              <w:spacing/>
              <w:ind/>
              <w:jc w:val="center"/>
              <w:rPr/>
            </w:pPr>
            <w:r>
              <w:rPr>
                <w:color w:val="000000" w:themeColor="text1"/>
                <w:sz w:val="22"/>
                <w:szCs w:val="22"/>
              </w:rPr>
              <w:t xml:space="preserve">Tài sản nằm tiếp giáp QL17B</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w:t>
            </w:r>
            <w:r>
              <w:rPr>
                <w:color w:val="c00000"/>
                <w:sz w:val="22"/>
                <w:szCs w:val="22"/>
              </w:rPr>
              <w:t xml:space="preserve">tiếp giáp đường nội khu</w:t>
            </w:r>
            <w:r>
              <w:rPr>
                <w:color w:val="000000" w:themeColor="text1"/>
                <w:sz w:val="22"/>
                <w:szCs w:val="22"/>
              </w:rPr>
              <w:t xml:space="preserve">,  cách  QL17B khoảng 80m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48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48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108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108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105,12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c00000"/>
                <w:sz w:val="22"/>
                <w:szCs w:val="22"/>
              </w:rPr>
            </w:pPr>
            <w:r>
              <w:rPr>
                <w:color w:val="c00000"/>
                <w:sz w:val="22"/>
                <w:szCs w:val="22"/>
              </w:rPr>
              <w:t xml:space="preserve">21,02</w:t>
            </w:r>
            <w:r>
              <w:rPr>
                <w:color w:val="c00000"/>
                <w:sz w:val="22"/>
                <w:szCs w:val="22"/>
              </w:rPr>
            </w:r>
            <w:r>
              <w:rPr>
                <w:color w:val="c00000"/>
                <w:sz w:val="22"/>
                <w:szCs w:val="22"/>
              </w:rPr>
            </w:r>
          </w:p>
        </w:tc>
      </w:tr>
      <w:tr>
        <w:trPr>
          <w:trHeight w:val="76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7FA84C7">
            <w:pPr>
              <w:pBdr/>
              <w:spacing/>
              <w:ind/>
              <w:jc w:val="center"/>
              <w:rPr/>
            </w:pPr>
            <w:r>
              <w:rPr>
                <w:color w:val="000000" w:themeColor="text1"/>
                <w:sz w:val="22"/>
                <w:szCs w:val="22"/>
              </w:rPr>
              <w:t xml:space="preserve">Tiếp giáp một mặt tiền và một mặt thoáng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A45324D">
            <w:pPr>
              <w:pBdr/>
              <w:spacing/>
              <w:ind/>
              <w:jc w:val="center"/>
              <w:rPr/>
            </w:pPr>
            <w:r>
              <w:rPr>
                <w:color w:val="000000" w:themeColor="text1"/>
                <w:sz w:val="22"/>
                <w:szCs w:val="22"/>
              </w:rPr>
              <w:t xml:space="preserve">Tiếp giáp một mặt tiền và một mặt thoáng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1C0F70">
            <w:pPr>
              <w:pBdr/>
              <w:spacing/>
              <w:ind/>
              <w:jc w:val="center"/>
              <w:rPr/>
            </w:pPr>
            <w:r>
              <w:rPr>
                <w:color w:val="000000" w:themeColor="text1"/>
                <w:sz w:val="22"/>
                <w:szCs w:val="22"/>
              </w:rPr>
              <w:t xml:space="preserve">Tiếp giáp một mặt tiền và một mặt thoáng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A4AB10">
            <w:pPr>
              <w:pBdr/>
              <w:spacing/>
              <w:ind/>
              <w:jc w:val="center"/>
              <w:rPr/>
            </w:pPr>
            <w:r>
              <w:rPr>
                <w:color w:val="000000" w:themeColor="text1"/>
                <w:sz w:val="22"/>
                <w:szCs w:val="22"/>
              </w:rPr>
              <w:t xml:space="preserve">Tiếp giáp một mặt tiền và một mặt thoáng</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D16F6F">
            <w:pPr>
              <w:pBdr/>
              <w:spacing/>
              <w:ind/>
              <w:jc w:val="center"/>
              <w:rPr/>
            </w:pPr>
            <w:r/>
            <w:r>
              <w:rPr>
                <w:color w:val="000000" w:themeColor="text1"/>
                <w:sz w:val="22"/>
                <w:szCs w:val="22"/>
              </w:rPr>
              <w:t xml:space="preserve">Hình chữ nhật</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88A9589">
            <w:pPr>
              <w:pBdr/>
              <w:spacing/>
              <w:ind/>
              <w:jc w:val="center"/>
              <w:rPr/>
            </w:pPr>
            <w:r/>
            <w:r>
              <w:rPr>
                <w:color w:val="000000" w:themeColor="text1"/>
                <w:sz w:val="22"/>
                <w:szCs w:val="22"/>
              </w:rPr>
              <w:t xml:space="preserve">Hình chữ nhật</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6F11E1">
            <w:pPr>
              <w:pBdr/>
              <w:spacing/>
              <w:ind/>
              <w:jc w:val="center"/>
              <w:rPr/>
            </w:pPr>
            <w:r/>
            <w:r>
              <w:rPr>
                <w:color w:val="000000" w:themeColor="text1"/>
                <w:sz w:val="22"/>
                <w:szCs w:val="22"/>
              </w:rPr>
              <w:t xml:space="preserve">Hình chữ nhật</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2BBB03">
            <w:pPr>
              <w:pBdr/>
              <w:spacing/>
              <w:ind/>
              <w:jc w:val="center"/>
              <w:rPr/>
            </w:pPr>
            <w:r/>
            <w:r>
              <w:rPr>
                <w:color w:val="000000" w:themeColor="text1"/>
                <w:sz w:val="22"/>
                <w:szCs w:val="22"/>
              </w:rPr>
              <w:t xml:space="preserve">Hình chữ nhật</w:t>
            </w:r>
            <w:r>
              <w:rPr>
                <w:color w:val="000000"/>
                <w:sz w:val="22"/>
                <w:szCs w:val="22"/>
              </w:rPr>
            </w:r>
            <w:r>
              <w:rPr>
                <w:color w:val="000000"/>
                <w:sz w:val="22"/>
                <w:szCs w:val="22"/>
              </w:rPr>
            </w:r>
            <w:r>
              <w:rPr>
                <w:color w:val="000000"/>
                <w:sz w:val="22"/>
                <w:szCs w:val="22"/>
              </w:rPr>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4A3044D5">
            <w:pPr>
              <w:pBdr/>
              <w:spacing/>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69691674">
            <w:pPr>
              <w:pBdr/>
              <w:spacing/>
              <w:ind/>
              <w:rPr>
                <w:color w:val="000000" w:themeColor="text1"/>
                <w:sz w:val="22"/>
                <w:szCs w:val="22"/>
              </w:rPr>
            </w:pPr>
            <w:r>
              <w:rPr>
                <w:color w:val="000000" w:themeColor="text1"/>
                <w:sz w:val="22"/>
                <w:szCs w:val="22"/>
              </w:rPr>
              <w:t xml:space="preserve">Lợi thế kinh doanh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B293810">
            <w:pPr>
              <w:pBdr/>
              <w:spacing/>
              <w:ind/>
              <w:jc w:val="center"/>
              <w:rPr>
                <w:color w:val="000000" w:themeColor="text1"/>
                <w:sz w:val="22"/>
                <w:szCs w:val="22"/>
              </w:rPr>
            </w:pPr>
            <w:r>
              <w:rPr>
                <w:color w:val="000000" w:themeColor="text1"/>
                <w:sz w:val="22"/>
                <w:szCs w:val="22"/>
              </w:rPr>
              <w:t xml:space="preserve">Tốt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189F167">
            <w:pPr>
              <w:pBdr/>
              <w:spacing/>
              <w:ind/>
              <w:jc w:val="center"/>
              <w:rPr>
                <w:color w:val="000000" w:themeColor="text1"/>
                <w:sz w:val="22"/>
                <w:szCs w:val="22"/>
              </w:rPr>
            </w:pPr>
            <w:r>
              <w:rPr>
                <w:color w:val="000000" w:themeColor="text1"/>
                <w:sz w:val="22"/>
                <w:szCs w:val="22"/>
              </w:rPr>
              <w:t xml:space="preserve">Tốt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3E25D1C9">
            <w:pPr>
              <w:pBdr/>
              <w:spacing/>
              <w:ind/>
              <w:jc w:val="center"/>
              <w:rPr>
                <w:color w:val="000000" w:themeColor="text1"/>
                <w:sz w:val="22"/>
                <w:szCs w:val="22"/>
              </w:rPr>
            </w:pPr>
            <w:r>
              <w:rPr>
                <w:color w:val="000000" w:themeColor="text1"/>
                <w:sz w:val="22"/>
                <w:szCs w:val="22"/>
              </w:rPr>
              <w:t xml:space="preserve">Tốt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72F6B71">
            <w:pPr>
              <w:pBdr/>
              <w:spacing/>
              <w:ind/>
              <w:jc w:val="center"/>
              <w:rPr>
                <w:color w:val="000000" w:themeColor="text1"/>
                <w:sz w:val="22"/>
                <w:szCs w:val="22"/>
              </w:rPr>
            </w:pPr>
            <w:r>
              <w:rPr>
                <w:color w:val="000000" w:themeColor="text1"/>
                <w:sz w:val="22"/>
                <w:szCs w:val="22"/>
              </w:rPr>
              <w:t xml:space="preserve">Khá</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EDA57DA" w14:textId="77777777">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969371C" w14:textId="77777777">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74231C" w14:textId="32052B9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73BF6B" w14:textId="613D4762">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321F9" w14:textId="31FF717E">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BB067A" w14:textId="2198F9B2">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7.800.000.000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7.600.000.000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5.400.000.000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7.020.000.000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6.840.000.000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4.860.000.000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7.020.000.000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6.840.000.000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4.860.000.000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66.857.143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63.333.333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46.232.877</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AC57FB">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2E24700">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2FEAA939">
            <w:pPr>
              <w:pBdr/>
              <w:spacing/>
              <w:ind/>
              <w:jc w:val="center"/>
              <w:rPr>
                <w:color w:val="000000" w:themeColor="text1"/>
                <w:sz w:val="22"/>
                <w:szCs w:val="22"/>
              </w:rPr>
            </w:pPr>
            <w:r>
              <w:rPr>
                <w:color w:val="000000" w:themeColor="text1"/>
                <w:sz w:val="22"/>
                <w:szCs w:val="22"/>
              </w:rPr>
              <w:t xml:space="preserve">12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2C868D8D">
            <w:pPr>
              <w:pBdr/>
              <w:spacing/>
              <w:ind/>
              <w:rPr>
                <w:color w:val="000000" w:themeColor="text1"/>
                <w:sz w:val="22"/>
                <w:szCs w:val="22"/>
              </w:rPr>
            </w:pPr>
            <w:r>
              <w:rPr>
                <w:color w:val="000000" w:themeColor="text1"/>
                <w:sz w:val="22"/>
                <w:szCs w:val="22"/>
              </w:rPr>
              <w:t xml:space="preserve">Lợi thế kinh doanh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tcPr>
          <w:p w14:paraId="29B33D55">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57B90DA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5CDF9464">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D9F5229">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2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Ind w:w="-114"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46"/>
        <w:gridCol w:w="1765"/>
        <w:gridCol w:w="1030"/>
        <w:gridCol w:w="1522"/>
        <w:gridCol w:w="1522"/>
        <w:gridCol w:w="1522"/>
        <w:gridCol w:w="1522"/>
      </w:tblGrid>
      <w:tr>
        <w:trPr>
          <w:trHeight w:val="20"/>
          <w:tblHeader/>
        </w:trPr>
        <w:tc>
          <w:tcPr>
            <w:shd w:val="clear" w:color="000000" w:fill="ffffff"/>
            <w:tcBorders/>
            <w:tcW w:w="746"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7.020.000.000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6.840.000.000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4.860.000.000</w:t>
            </w:r>
            <w:r>
              <w:rPr>
                <w:color w:val="000000"/>
                <w:sz w:val="20"/>
                <w:szCs w:val="20"/>
              </w:rPr>
            </w:r>
            <w:r>
              <w:rPr>
                <w:color w:val="000000"/>
                <w:sz w:val="20"/>
                <w:szCs w:val="20"/>
              </w:rPr>
            </w:r>
          </w:p>
        </w:tc>
      </w:tr>
      <w:tr>
        <w:trPr>
          <w:trHeight w:val="20"/>
        </w:trPr>
        <w:tc>
          <w:tcPr>
            <w:shd w:val="clear" w:color="000000" w:fill="ffffff"/>
            <w:tcBorders/>
            <w:tcW w:w="746"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66.857.143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63.333.333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46.232.877</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DBFAD4F">
            <w:pPr>
              <w:pBdr/>
              <w:spacing/>
              <w:ind/>
              <w:jc w:val="center"/>
              <w:rPr/>
            </w:pPr>
            <w: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r>
              <w:rPr>
                <w:b/>
                <w:bCs/>
                <w:color w:val="000000"/>
                <w:sz w:val="22"/>
                <w:szCs w:val="22"/>
              </w:rPr>
            </w:r>
            <w:r/>
          </w:p>
        </w:tc>
        <w:tc>
          <w:tcPr>
            <w:shd w:val="clear" w:color="000000" w:fill="ffffff"/>
            <w:tcBorders/>
            <w:tcW w:w="1522" w:type="dxa"/>
            <w:vAlign w:val="center"/>
            <w:textDirection w:val="lrTb"/>
            <w:noWrap w:val="false"/>
          </w:tcPr>
          <w:p w14:paraId="5D8CDC41">
            <w:pPr>
              <w:pBdr/>
              <w:spacing/>
              <w:ind/>
              <w:jc w:val="center"/>
              <w:rPr/>
            </w:pPr>
            <w: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r>
              <w:rPr>
                <w:b/>
                <w:bCs/>
                <w:color w:val="000000"/>
                <w:sz w:val="22"/>
                <w:szCs w:val="22"/>
              </w:rPr>
            </w:r>
            <w:r/>
          </w:p>
        </w:tc>
        <w:tc>
          <w:tcPr>
            <w:shd w:val="clear" w:color="000000" w:fill="ffffff"/>
            <w:tcBorders/>
            <w:tcW w:w="1522" w:type="dxa"/>
            <w:vAlign w:val="center"/>
            <w:textDirection w:val="lrTb"/>
            <w:noWrap w:val="false"/>
          </w:tcPr>
          <w:p w14:paraId="4EAD5174">
            <w:pPr>
              <w:pBdr/>
              <w:spacing/>
              <w:ind/>
              <w:jc w:val="center"/>
              <w:rPr/>
            </w:pPr>
            <w: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r>
              <w:rPr>
                <w:b/>
                <w:bCs/>
                <w:color w:val="000000"/>
                <w:sz w:val="22"/>
                <w:szCs w:val="22"/>
              </w:rPr>
            </w: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66.857.143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63.333.333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46.232.877</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66.857.143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63.333.333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46.232.877</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66.857.143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63.333.333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46.232.877</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B114A34">
            <w:pPr>
              <w:pBdr/>
              <w:spacing/>
              <w:ind/>
              <w:jc w:val="center"/>
              <w:rPr>
                <w:color w:val="000000"/>
                <w:sz w:val="22"/>
                <w:szCs w:val="22"/>
              </w:rPr>
            </w:pPr>
            <w:r>
              <w:rPr>
                <w:color w:val="000000" w:themeColor="text1"/>
                <w:sz w:val="22"/>
                <w:szCs w:val="22"/>
              </w:rPr>
              <w:t xml:space="preserve">Tài sản nằm tiếp giáp QL17B</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CE25F45">
            <w:pPr>
              <w:pBdr/>
              <w:spacing/>
              <w:ind/>
              <w:jc w:val="center"/>
              <w:rPr/>
            </w:pPr>
            <w:r>
              <w:rPr>
                <w:color w:val="000000" w:themeColor="text1"/>
                <w:sz w:val="22"/>
                <w:szCs w:val="22"/>
              </w:rPr>
              <w:t xml:space="preserve">Tài sản nằm tiếp giáp QL17B</w:t>
            </w:r>
            <w:r/>
          </w:p>
        </w:tc>
        <w:tc>
          <w:tcPr>
            <w:shd w:val="clear" w:color="000000" w:fill="ffffff"/>
            <w:tcBorders/>
            <w:tcW w:w="1522" w:type="dxa"/>
            <w:vAlign w:val="center"/>
            <w:textDirection w:val="lrTb"/>
            <w:noWrap w:val="false"/>
          </w:tcPr>
          <w:p w14:paraId="56059081">
            <w:pPr>
              <w:pBdr/>
              <w:spacing/>
              <w:ind/>
              <w:jc w:val="center"/>
              <w:rPr/>
            </w:pPr>
            <w:r>
              <w:rPr>
                <w:color w:val="000000" w:themeColor="text1"/>
                <w:sz w:val="22"/>
                <w:szCs w:val="22"/>
              </w:rPr>
              <w:t xml:space="preserve">Tài sản nằm tiếp giáp QL17B</w:t>
            </w:r>
            <w:r/>
          </w:p>
        </w:tc>
        <w:tc>
          <w:tcPr>
            <w:shd w:val="clear" w:color="000000" w:fill="ffffff"/>
            <w:tcBorders/>
            <w:tcW w:w="1522" w:type="dxa"/>
            <w:vAlign w:val="center"/>
            <w:textDirection w:val="lrTb"/>
            <w:noWrap w:val="false"/>
          </w:tcPr>
          <w:p w14:paraId="4D4688A7">
            <w:pPr>
              <w:pBdr/>
              <w:spacing/>
              <w:ind/>
              <w:jc w:val="center"/>
              <w:rPr>
                <w:color w:val="c00000"/>
                <w:sz w:val="22"/>
                <w:szCs w:val="22"/>
              </w:rPr>
            </w:pPr>
            <w:r>
              <w:rPr>
                <w:color w:val="c00000"/>
                <w:sz w:val="22"/>
                <w:szCs w:val="22"/>
              </w:rPr>
              <w:t xml:space="preserve">Tài sản tiếp giáp đường nội khu, cách  QL17B khoảng 80m</w:t>
            </w:r>
            <w:r>
              <w:rPr>
                <w:color w:val="c00000"/>
                <w:sz w:val="22"/>
                <w:szCs w:val="22"/>
              </w:rPr>
            </w:r>
            <w:r>
              <w:rPr>
                <w:color w:val="c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5.547.945</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66.857.143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63.333.333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51.780.822</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66.857.143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63.333.333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51.780.822</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5.547.945</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66.857.143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63.333.333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57.328.767</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108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105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108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105,12</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66.857.143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63.333.333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57.328.767</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-2.005.714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1.386.986</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64.851.429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63.333.333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58.715.753</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c00000"/>
                <w:sz w:val="22"/>
                <w:szCs w:val="22"/>
              </w:rPr>
            </w:pPr>
            <w:r>
              <w:rPr>
                <w:color w:val="c00000"/>
                <w:sz w:val="22"/>
                <w:szCs w:val="22"/>
              </w:rPr>
              <w:t xml:space="preserve">21,02</w:t>
            </w:r>
            <w:r>
              <w:rPr>
                <w:b/>
                <w:bCs/>
                <w:color w:val="c00000"/>
                <w:sz w:val="22"/>
                <w:szCs w:val="22"/>
              </w:rPr>
            </w:r>
            <w:r>
              <w:rPr>
                <w:b/>
                <w:bCs/>
                <w:color w:val="c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-2.005.714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1.386.986</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62.845.715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63.333.333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60.102.739</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1CE65EC">
            <w:pPr>
              <w:pBdr/>
              <w:spacing/>
              <w:ind/>
              <w:jc w:val="center"/>
              <w:rPr>
                <w:color w:val="000000"/>
                <w:sz w:val="22"/>
                <w:szCs w:val="22"/>
              </w:rPr>
            </w:pPr>
            <w:r>
              <w:rPr>
                <w:color w:val="000000" w:themeColor="text1"/>
                <w:sz w:val="22"/>
                <w:szCs w:val="22"/>
              </w:rPr>
              <w:t xml:space="preserve">Tiếp giáp một mặt tiền và một mặt thoáng</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4E9A34A">
            <w:pPr>
              <w:pBdr/>
              <w:spacing/>
              <w:ind/>
              <w:jc w:val="center"/>
              <w:rPr/>
            </w:pPr>
            <w:r>
              <w:rPr>
                <w:color w:val="000000" w:themeColor="text1"/>
                <w:sz w:val="22"/>
                <w:szCs w:val="22"/>
              </w:rPr>
              <w:t xml:space="preserve">Tiếp giáp một mặt tiền và một mặt thoáng</w:t>
            </w:r>
            <w:r>
              <w:rPr>
                <w:color w:val="000000"/>
                <w:sz w:val="22"/>
                <w:szCs w:val="22"/>
              </w:rPr>
            </w:r>
            <w:r/>
          </w:p>
        </w:tc>
        <w:tc>
          <w:tcPr>
            <w:shd w:val="clear" w:color="000000" w:fill="ffffff"/>
            <w:tcBorders/>
            <w:tcW w:w="1522" w:type="dxa"/>
            <w:vAlign w:val="center"/>
            <w:textDirection w:val="lrTb"/>
            <w:noWrap w:val="false"/>
          </w:tcPr>
          <w:p w14:paraId="7685D6DC">
            <w:pPr>
              <w:pBdr/>
              <w:spacing/>
              <w:ind/>
              <w:jc w:val="center"/>
              <w:rPr/>
            </w:pPr>
            <w:r>
              <w:rPr>
                <w:color w:val="000000" w:themeColor="text1"/>
                <w:sz w:val="22"/>
                <w:szCs w:val="22"/>
              </w:rPr>
              <w:t xml:space="preserve">Tiếp giáp một mặt tiền và một mặt thoáng</w:t>
            </w:r>
            <w:r>
              <w:rPr>
                <w:color w:val="000000"/>
                <w:sz w:val="22"/>
                <w:szCs w:val="22"/>
              </w:rPr>
            </w:r>
            <w:r/>
          </w:p>
        </w:tc>
        <w:tc>
          <w:tcPr>
            <w:shd w:val="clear" w:color="000000" w:fill="ffffff"/>
            <w:tcBorders/>
            <w:tcW w:w="1522" w:type="dxa"/>
            <w:vAlign w:val="center"/>
            <w:textDirection w:val="lrTb"/>
            <w:noWrap w:val="false"/>
          </w:tcPr>
          <w:p w14:paraId="6E5D6530">
            <w:pPr>
              <w:pBdr/>
              <w:spacing/>
              <w:ind/>
              <w:jc w:val="center"/>
              <w:rPr/>
            </w:pPr>
            <w:r>
              <w:rPr>
                <w:color w:val="000000" w:themeColor="text1"/>
                <w:sz w:val="22"/>
                <w:szCs w:val="22"/>
              </w:rPr>
              <w:t xml:space="preserve">Tiếp giáp một mặt tiền và một mặt thoáng</w:t>
            </w:r>
            <w:r>
              <w:rPr>
                <w:color w:val="000000"/>
                <w:sz w:val="22"/>
                <w:szCs w:val="22"/>
              </w:rPr>
            </w: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62.845.715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63.333.333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60.102.739</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8D4DFF">
            <w:pPr>
              <w:pBdr/>
              <w:spacing/>
              <w:ind/>
              <w:jc w:val="center"/>
              <w:rPr/>
            </w:pPr>
            <w:r/>
            <w:r>
              <w:rPr>
                <w:color w:val="000000" w:themeColor="text1"/>
                <w:sz w:val="22"/>
                <w:szCs w:val="22"/>
              </w:rPr>
              <w:t xml:space="preserve">Hình chữ nhật</w:t>
            </w:r>
            <w:r>
              <w:rPr>
                <w:b/>
                <w:bCs/>
                <w:color w:val="000000"/>
                <w:sz w:val="22"/>
                <w:szCs w:val="22"/>
              </w:rPr>
            </w:r>
            <w:r>
              <w:rPr>
                <w:b/>
                <w:bCs/>
                <w:color w:val="000000"/>
                <w:sz w:val="22"/>
                <w:szCs w:val="22"/>
              </w:rPr>
            </w:r>
            <w:r>
              <w:rPr>
                <w:b/>
                <w:bCs/>
                <w:color w:val="000000"/>
                <w:sz w:val="22"/>
                <w:szCs w:val="22"/>
              </w:rPr>
            </w:r>
            <w:r/>
          </w:p>
        </w:tc>
        <w:tc>
          <w:tcPr>
            <w:shd w:val="clear" w:color="000000" w:fill="ffffff"/>
            <w:tcBorders/>
            <w:tcW w:w="1522" w:type="dxa"/>
            <w:vAlign w:val="center"/>
            <w:textDirection w:val="lrTb"/>
            <w:noWrap w:val="false"/>
          </w:tcPr>
          <w:p w14:paraId="336F7BD0">
            <w:pPr>
              <w:pBdr/>
              <w:spacing/>
              <w:ind/>
              <w:jc w:val="center"/>
              <w:rPr/>
            </w:pPr>
            <w:r/>
            <w:r>
              <w:rPr>
                <w:color w:val="000000" w:themeColor="text1"/>
                <w:sz w:val="22"/>
                <w:szCs w:val="22"/>
              </w:rPr>
              <w:t xml:space="preserve">Hình chữ nhật</w:t>
            </w:r>
            <w:r>
              <w:rPr>
                <w:b/>
                <w:bCs/>
                <w:color w:val="000000"/>
                <w:sz w:val="22"/>
                <w:szCs w:val="22"/>
              </w:rPr>
            </w:r>
            <w:r>
              <w:rPr>
                <w:b/>
                <w:bCs/>
                <w:color w:val="000000"/>
                <w:sz w:val="22"/>
                <w:szCs w:val="22"/>
              </w:rPr>
            </w:r>
            <w:r>
              <w:rPr>
                <w:b/>
                <w:bCs/>
                <w:color w:val="000000"/>
                <w:sz w:val="22"/>
                <w:szCs w:val="22"/>
              </w:rPr>
            </w:r>
            <w:r/>
          </w:p>
        </w:tc>
        <w:tc>
          <w:tcPr>
            <w:shd w:val="clear" w:color="000000" w:fill="ffffff"/>
            <w:tcBorders/>
            <w:tcW w:w="1522" w:type="dxa"/>
            <w:vAlign w:val="center"/>
            <w:textDirection w:val="lrTb"/>
            <w:noWrap w:val="false"/>
          </w:tcPr>
          <w:p w14:paraId="2B4659A7">
            <w:pPr>
              <w:pBdr/>
              <w:spacing/>
              <w:ind/>
              <w:jc w:val="center"/>
              <w:rPr/>
            </w:pPr>
            <w:r/>
            <w:r>
              <w:rPr>
                <w:color w:val="000000" w:themeColor="text1"/>
                <w:sz w:val="22"/>
                <w:szCs w:val="22"/>
              </w:rPr>
              <w:t xml:space="preserve">Hình chữ nhật</w:t>
            </w:r>
            <w:r>
              <w:rPr>
                <w:b/>
                <w:bCs/>
                <w:color w:val="000000"/>
                <w:sz w:val="22"/>
                <w:szCs w:val="22"/>
              </w:rPr>
            </w:r>
            <w:r>
              <w:rPr>
                <w:b/>
                <w:bCs/>
                <w:color w:val="000000"/>
                <w:sz w:val="22"/>
                <w:szCs w:val="22"/>
              </w:rPr>
            </w:r>
            <w:r>
              <w:rPr>
                <w:b/>
                <w:bCs/>
                <w:color w:val="000000"/>
                <w:sz w:val="22"/>
                <w:szCs w:val="22"/>
              </w:rPr>
            </w:r>
            <w:r/>
          </w:p>
        </w:tc>
        <w:tc>
          <w:tcPr>
            <w:shd w:val="clear" w:color="000000" w:fill="ffffff"/>
            <w:tcBorders/>
            <w:tcW w:w="1522" w:type="dxa"/>
            <w:vAlign w:val="center"/>
            <w:textDirection w:val="lrTb"/>
            <w:noWrap w:val="false"/>
          </w:tcPr>
          <w:p w14:paraId="325B30A1">
            <w:pPr>
              <w:pBdr/>
              <w:spacing/>
              <w:ind/>
              <w:jc w:val="center"/>
              <w:rPr/>
            </w:pPr>
            <w:r/>
            <w:r>
              <w:rPr>
                <w:color w:val="000000" w:themeColor="text1"/>
                <w:sz w:val="22"/>
                <w:szCs w:val="22"/>
              </w:rPr>
              <w:t xml:space="preserve">Hình chữ nhật</w:t>
            </w:r>
            <w:r>
              <w:rPr>
                <w:b/>
                <w:bCs/>
                <w:color w:val="000000"/>
                <w:sz w:val="22"/>
                <w:szCs w:val="22"/>
              </w:rPr>
            </w:r>
            <w:r>
              <w:rPr>
                <w:b/>
                <w:bCs/>
                <w:color w:val="000000"/>
                <w:sz w:val="22"/>
                <w:szCs w:val="22"/>
              </w:rPr>
            </w:r>
            <w:r>
              <w:rPr>
                <w:b/>
                <w:bCs/>
                <w:color w:val="000000"/>
                <w:sz w:val="22"/>
                <w:szCs w:val="22"/>
              </w:rPr>
            </w: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62.845.715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63.333.333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60.102.739</w:t>
            </w:r>
            <w:r>
              <w:rPr>
                <w:color w:val="000000"/>
                <w:sz w:val="22"/>
                <w:szCs w:val="22"/>
              </w:rPr>
            </w:r>
            <w:r>
              <w:rPr>
                <w:color w:val="000000"/>
                <w:sz w:val="22"/>
                <w:szCs w:val="22"/>
              </w:rPr>
            </w:r>
          </w:p>
        </w:tc>
      </w:tr>
      <w:tr>
        <w:trPr>
          <w:trHeight w:val="20"/>
        </w:trPr>
        <w:tc>
          <w:tcPr>
            <w:tcBorders/>
            <w:tcW w:w="746" w:type="dxa"/>
            <w:vAlign w:val="center"/>
            <w:vMerge w:val="restart"/>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62.845.715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63.333.333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60.102.739</w:t>
            </w:r>
            <w:r>
              <w:rPr>
                <w:color w:val="000000"/>
                <w:sz w:val="22"/>
                <w:szCs w:val="22"/>
              </w:rPr>
            </w:r>
            <w:r>
              <w:rPr>
                <w:color w:val="000000"/>
                <w:sz w:val="22"/>
                <w:szCs w:val="22"/>
              </w:rPr>
            </w:r>
          </w:p>
        </w:tc>
      </w:tr>
      <w:tr>
        <w:trPr>
          <w:trHeight w:val="20"/>
        </w:trPr>
        <w:tc>
          <w:tcPr>
            <w:tcBorders/>
            <w:tcW w:w="746" w:type="dxa"/>
            <w:vAlign w:val="center"/>
            <w:vMerge w:val="restart"/>
            <w:textDirection w:val="lrTb"/>
            <w:noWrap w:val="false"/>
          </w:tcPr>
          <w:p w14:paraId="7E339F41">
            <w:pPr>
              <w:pBdr/>
              <w:shd w:val="nil" w:color="auto"/>
              <w:spacing/>
              <w:ind/>
              <w:rPr>
                <w:sz w:val="22"/>
                <w:szCs w:val="22"/>
                <w14:ligatures w14:val="none"/>
              </w:rPr>
            </w:pPr>
            <w:r>
              <w:rPr>
                <w:sz w:val="22"/>
                <w:szCs w:val="22"/>
              </w:rPr>
              <w:t xml:space="preserve">C.12</w:t>
            </w:r>
            <w:r>
              <w:rPr>
                <w:sz w:val="22"/>
                <w:szCs w:val="22"/>
              </w:rPr>
            </w:r>
            <w:r>
              <w:rPr>
                <w:sz w:val="22"/>
                <w:szCs w:val="22"/>
                <w14:ligatures w14:val="none"/>
              </w:rPr>
            </w:r>
          </w:p>
        </w:tc>
        <w:tc>
          <w:tcPr>
            <w:shd w:val="clear" w:color="000000" w:fill="ffffff"/>
            <w:tcBorders/>
            <w:tcW w:w="1765" w:type="dxa"/>
            <w:vAlign w:val="center"/>
            <w:vMerge w:val="restart"/>
            <w:textDirection w:val="lrTb"/>
            <w:noWrap w:val="false"/>
          </w:tcPr>
          <w:p w14:paraId="7C5EDB36">
            <w:pPr>
              <w:pBdr/>
              <w:shd w:val="nil" w:color="auto"/>
              <w:spacing/>
              <w:ind/>
              <w:rPr>
                <w:b/>
                <w:bCs/>
                <w:sz w:val="22"/>
                <w:szCs w:val="22"/>
                <w14:ligatures w14:val="none"/>
              </w:rPr>
            </w:pPr>
            <w:r>
              <w:rPr>
                <w:b/>
                <w:bCs/>
                <w:sz w:val="22"/>
                <w:szCs w:val="22"/>
              </w:rPr>
              <w:t xml:space="preserve">Lợi thế kinh doanh</w:t>
            </w:r>
            <w:r>
              <w:rPr>
                <w:b/>
                <w:bCs/>
                <w:sz w:val="22"/>
                <w:szCs w:val="22"/>
              </w:rPr>
            </w:r>
            <w:r>
              <w:rPr>
                <w:b/>
                <w:bCs/>
                <w:sz w:val="22"/>
                <w:szCs w:val="22"/>
                <w14:ligatures w14:val="none"/>
              </w:rPr>
            </w:r>
          </w:p>
        </w:tc>
        <w:tc>
          <w:tcPr>
            <w:shd w:val="clear" w:color="000000" w:fill="ffffff"/>
            <w:tcBorders/>
            <w:tcW w:w="1030" w:type="dxa"/>
            <w:vAlign w:val="center"/>
            <w:vMerge w:val="restart"/>
            <w:textDirection w:val="lrTb"/>
            <w:noWrap/>
          </w:tcPr>
          <w:p w14:paraId="4A27BB75">
            <w:pPr>
              <w:pBdr/>
              <w:shd w:val="nil" w:color="auto"/>
              <w:spacing/>
              <w:ind/>
              <w:jc w:val="center"/>
              <w:rPr>
                <w:b/>
                <w:bCs/>
                <w:sz w:val="22"/>
                <w:szCs w:val="22"/>
                <w14:ligatures w14:val="none"/>
              </w:rPr>
            </w:pPr>
            <w:r>
              <w:rPr>
                <w:b/>
                <w:bCs/>
                <w:sz w:val="22"/>
                <w:szCs w:val="22"/>
              </w:rPr>
            </w:r>
            <w:r>
              <w:rPr>
                <w:b/>
                <w:bCs/>
                <w:sz w:val="22"/>
                <w:szCs w:val="22"/>
                <w14:ligatures w14:val="none"/>
              </w:rPr>
            </w:r>
          </w:p>
        </w:tc>
        <w:tc>
          <w:tcPr>
            <w:shd w:val="clear" w:color="000000" w:fill="ffffff"/>
            <w:tcBorders/>
            <w:tcW w:w="1522" w:type="dxa"/>
            <w:vAlign w:val="center"/>
            <w:vMerge w:val="restart"/>
            <w:textDirection w:val="lrTb"/>
            <w:noWrap w:val="false"/>
          </w:tcPr>
          <w:p w14:paraId="711A72D3">
            <w:pPr>
              <w:pBdr/>
              <w:shd w:val="nil" w:color="auto"/>
              <w:spacing/>
              <w:ind/>
              <w:jc w:val="center"/>
              <w:rPr>
                <w:b/>
                <w:bCs/>
                <w:sz w:val="22"/>
                <w:szCs w:val="22"/>
                <w14:ligatures w14:val="none"/>
              </w:rPr>
            </w:pPr>
            <w:r>
              <w:rPr>
                <w:b/>
                <w:bCs/>
                <w:sz w:val="22"/>
                <w:szCs w:val="22"/>
              </w:rPr>
              <w:t xml:space="preserve">Tốt</w:t>
            </w:r>
            <w:r>
              <w:rPr>
                <w:b/>
                <w:bCs/>
                <w:sz w:val="22"/>
                <w:szCs w:val="22"/>
              </w:rPr>
            </w:r>
            <w:r>
              <w:rPr>
                <w:b/>
                <w:bCs/>
                <w:sz w:val="22"/>
                <w:szCs w:val="22"/>
                <w14:ligatures w14:val="none"/>
              </w:rPr>
            </w:r>
          </w:p>
        </w:tc>
        <w:tc>
          <w:tcPr>
            <w:shd w:val="clear" w:color="000000" w:fill="ffffff"/>
            <w:tcBorders/>
            <w:tcW w:w="1522" w:type="dxa"/>
            <w:vAlign w:val="center"/>
            <w:vMerge w:val="restart"/>
            <w:textDirection w:val="lrTb"/>
            <w:noWrap/>
          </w:tcPr>
          <w:p w14:paraId="1899494B">
            <w:pPr>
              <w:pBdr/>
              <w:shd w:val="nil" w:color="auto"/>
              <w:spacing/>
              <w:ind/>
              <w:jc w:val="center"/>
              <w:rPr>
                <w:b/>
                <w:bCs/>
                <w:sz w:val="22"/>
                <w:szCs w:val="22"/>
                <w14:ligatures w14:val="none"/>
              </w:rPr>
            </w:pPr>
            <w:r>
              <w:rPr>
                <w:b/>
                <w:bCs/>
                <w:sz w:val="22"/>
                <w:szCs w:val="22"/>
              </w:rPr>
              <w:t xml:space="preserve">Tốt</w:t>
            </w:r>
            <w:r>
              <w:rPr>
                <w:b/>
                <w:bCs/>
                <w:sz w:val="22"/>
                <w:szCs w:val="22"/>
              </w:rPr>
            </w:r>
            <w:r>
              <w:rPr>
                <w:b/>
                <w:bCs/>
                <w:sz w:val="22"/>
                <w:szCs w:val="22"/>
                <w14:ligatures w14:val="none"/>
              </w:rPr>
            </w:r>
          </w:p>
        </w:tc>
        <w:tc>
          <w:tcPr>
            <w:shd w:val="clear" w:color="000000" w:fill="ffffff"/>
            <w:tcBorders/>
            <w:tcW w:w="1522" w:type="dxa"/>
            <w:vAlign w:val="center"/>
            <w:vMerge w:val="restart"/>
            <w:textDirection w:val="lrTb"/>
            <w:noWrap/>
          </w:tcPr>
          <w:p w14:paraId="5DF9D693">
            <w:pPr>
              <w:pBdr/>
              <w:shd w:val="nil" w:color="auto"/>
              <w:spacing/>
              <w:ind/>
              <w:jc w:val="center"/>
              <w:rPr>
                <w:b/>
                <w:bCs/>
                <w:sz w:val="22"/>
                <w:szCs w:val="22"/>
                <w14:ligatures w14:val="none"/>
              </w:rPr>
            </w:pPr>
            <w:r>
              <w:rPr>
                <w:b/>
                <w:bCs/>
                <w:sz w:val="22"/>
                <w:szCs w:val="22"/>
              </w:rPr>
              <w:t xml:space="preserve">Tốt</w:t>
            </w:r>
            <w:r>
              <w:rPr>
                <w:b/>
                <w:bCs/>
                <w:sz w:val="22"/>
                <w:szCs w:val="22"/>
              </w:rPr>
            </w:r>
            <w:r>
              <w:rPr>
                <w:b/>
                <w:bCs/>
                <w:sz w:val="22"/>
                <w:szCs w:val="22"/>
                <w14:ligatures w14:val="none"/>
              </w:rPr>
            </w:r>
          </w:p>
        </w:tc>
        <w:tc>
          <w:tcPr>
            <w:shd w:val="clear" w:color="000000" w:fill="ffffff"/>
            <w:tcBorders/>
            <w:tcW w:w="1522" w:type="dxa"/>
            <w:vAlign w:val="center"/>
            <w:vMerge w:val="restart"/>
            <w:textDirection w:val="lrTb"/>
            <w:noWrap/>
          </w:tcPr>
          <w:p w14:paraId="2B6C5160">
            <w:pPr>
              <w:pBdr/>
              <w:shd w:val="nil" w:color="auto"/>
              <w:spacing/>
              <w:ind/>
              <w:jc w:val="center"/>
              <w:rPr>
                <w:b/>
                <w:bCs/>
                <w:sz w:val="22"/>
                <w:szCs w:val="22"/>
                <w14:ligatures w14:val="none"/>
              </w:rPr>
            </w:pPr>
            <w:r>
              <w:rPr>
                <w:b/>
                <w:bCs/>
                <w:sz w:val="22"/>
                <w:szCs w:val="22"/>
              </w:rPr>
              <w:t xml:space="preserve">Khá</w:t>
            </w:r>
            <w:r>
              <w:rPr>
                <w:b/>
                <w:bCs/>
                <w:sz w:val="22"/>
                <w:szCs w:val="22"/>
              </w:rPr>
            </w:r>
            <w:r>
              <w:rPr>
                <w:b/>
                <w:bCs/>
                <w:sz w:val="22"/>
                <w:szCs w:val="22"/>
                <w14:ligatures w14:val="none"/>
              </w:rPr>
            </w:r>
          </w:p>
        </w:tc>
      </w:tr>
      <w:tr>
        <w:trPr>
          <w:trHeight w:val="20"/>
        </w:trPr>
        <w:tc>
          <w:tcPr>
            <w:tcBorders/>
            <w:tcW w:w="746" w:type="dxa"/>
            <w:vAlign w:val="center"/>
            <w:vMerge w:val="continue"/>
            <w:textDirection w:val="lrTb"/>
            <w:noWrap w:val="false"/>
          </w:tcPr>
          <w:p w14:paraId="58028382">
            <w:pPr>
              <w:pBdr/>
              <w:spacing/>
              <w:ind/>
              <w:rPr/>
            </w:pPr>
            <w:r/>
            <w:r/>
          </w:p>
        </w:tc>
        <w:tc>
          <w:tcPr>
            <w:shd w:val="clear" w:color="000000" w:fill="ffffff"/>
            <w:tcBorders/>
            <w:tcW w:w="1765" w:type="dxa"/>
            <w:vAlign w:val="center"/>
            <w:vMerge w:val="restart"/>
            <w:textDirection w:val="lrTb"/>
            <w:noWrap w:val="false"/>
          </w:tcPr>
          <w:p w14:paraId="0D738513">
            <w:pPr>
              <w:pBdr/>
              <w:shd w:val="nil" w:color="auto"/>
              <w:spacing/>
              <w:ind/>
              <w:rPr>
                <w:sz w:val="22"/>
                <w:szCs w:val="22"/>
                <w14:ligatures w14:val="none"/>
              </w:rPr>
            </w:pPr>
            <w:r>
              <w:rPr>
                <w:sz w:val="22"/>
                <w:szCs w:val="22"/>
              </w:rPr>
              <w:t xml:space="preserve">Tỷ lệ điều chỉnh</w:t>
            </w:r>
            <w:r>
              <w:rPr>
                <w:sz w:val="22"/>
                <w:szCs w:val="22"/>
              </w:rPr>
            </w:r>
            <w:r>
              <w:rPr>
                <w:sz w:val="22"/>
                <w:szCs w:val="22"/>
                <w14:ligatures w14:val="none"/>
              </w:rPr>
            </w:r>
          </w:p>
        </w:tc>
        <w:tc>
          <w:tcPr>
            <w:shd w:val="clear" w:color="000000" w:fill="ffffff"/>
            <w:tcBorders/>
            <w:tcW w:w="1030" w:type="dxa"/>
            <w:vAlign w:val="center"/>
            <w:vMerge w:val="restart"/>
            <w:textDirection w:val="lrTb"/>
            <w:noWrap/>
          </w:tcPr>
          <w:p w14:paraId="66FB94CB">
            <w:pPr>
              <w:pBdr/>
              <w:shd w:val="nil" w:color="auto"/>
              <w:spacing/>
              <w:ind/>
              <w:jc w:val="center"/>
              <w:rPr>
                <w:sz w:val="22"/>
                <w:szCs w:val="22"/>
                <w14:ligatures w14:val="none"/>
              </w:rPr>
            </w:pPr>
            <w:r>
              <w:rPr>
                <w:sz w:val="22"/>
                <w:szCs w:val="22"/>
              </w:rPr>
              <w:t xml:space="preserve">%</w:t>
            </w:r>
            <w:r>
              <w:rPr>
                <w:sz w:val="22"/>
                <w:szCs w:val="22"/>
              </w:rPr>
            </w:r>
            <w:r>
              <w:rPr>
                <w:sz w:val="22"/>
                <w:szCs w:val="22"/>
                <w14:ligatures w14:val="none"/>
              </w:rPr>
            </w:r>
          </w:p>
        </w:tc>
        <w:tc>
          <w:tcPr>
            <w:shd w:val="clear" w:color="000000" w:fill="ffffff"/>
            <w:tcBorders/>
            <w:tcW w:w="1522" w:type="dxa"/>
            <w:vAlign w:val="center"/>
            <w:vMerge w:val="restart"/>
            <w:textDirection w:val="lrTb"/>
            <w:noWrap w:val="false"/>
          </w:tcPr>
          <w:p w14:paraId="708A8A91">
            <w:pPr>
              <w:pBdr/>
              <w:shd w:val="nil" w:color="auto"/>
              <w:spacing/>
              <w:ind/>
              <w:jc w:val="center"/>
              <w:rPr>
                <w:sz w:val="22"/>
                <w:szCs w:val="22"/>
                <w14:ligatures w14:val="none"/>
              </w:rPr>
            </w:pPr>
            <w:r>
              <w:rPr>
                <w:sz w:val="22"/>
                <w:szCs w:val="22"/>
              </w:rPr>
            </w:r>
            <w:r>
              <w:rPr>
                <w:sz w:val="22"/>
                <w:szCs w:val="22"/>
                <w14:ligatures w14:val="none"/>
              </w:rPr>
            </w:r>
          </w:p>
        </w:tc>
        <w:tc>
          <w:tcPr>
            <w:shd w:val="clear" w:color="000000" w:fill="ffffff"/>
            <w:tcBorders/>
            <w:tcW w:w="1522" w:type="dxa"/>
            <w:vAlign w:val="center"/>
            <w:vMerge w:val="restart"/>
            <w:textDirection w:val="lrTb"/>
            <w:noWrap/>
          </w:tcPr>
          <w:p w14:paraId="77A35E24">
            <w:pPr>
              <w:pBdr/>
              <w:shd w:val="nil" w:color="auto"/>
              <w:spacing/>
              <w:ind/>
              <w:jc w:val="center"/>
              <w:rPr>
                <w:sz w:val="22"/>
                <w:szCs w:val="22"/>
                <w14:ligatures w14:val="none"/>
              </w:rPr>
            </w:pPr>
            <w:r>
              <w:rPr>
                <w:sz w:val="22"/>
                <w:szCs w:val="22"/>
              </w:rPr>
              <w:t xml:space="preserve">0</w:t>
            </w:r>
            <w:r>
              <w:rPr>
                <w:sz w:val="22"/>
                <w:szCs w:val="22"/>
              </w:rPr>
            </w:r>
            <w:r>
              <w:rPr>
                <w:sz w:val="22"/>
                <w:szCs w:val="22"/>
                <w14:ligatures w14:val="none"/>
              </w:rPr>
            </w:r>
          </w:p>
        </w:tc>
        <w:tc>
          <w:tcPr>
            <w:shd w:val="clear" w:color="000000" w:fill="ffffff"/>
            <w:tcBorders/>
            <w:tcW w:w="1522" w:type="dxa"/>
            <w:vAlign w:val="center"/>
            <w:vMerge w:val="restart"/>
            <w:textDirection w:val="lrTb"/>
            <w:noWrap/>
          </w:tcPr>
          <w:p w14:paraId="4197F25D">
            <w:pPr>
              <w:pBdr/>
              <w:shd w:val="nil" w:color="auto"/>
              <w:spacing/>
              <w:ind/>
              <w:jc w:val="center"/>
              <w:rPr>
                <w:sz w:val="22"/>
                <w:szCs w:val="22"/>
                <w14:ligatures w14:val="none"/>
              </w:rPr>
            </w:pPr>
            <w:r>
              <w:rPr>
                <w:sz w:val="22"/>
                <w:szCs w:val="22"/>
              </w:rPr>
              <w:t xml:space="preserve">0</w:t>
            </w:r>
            <w:r>
              <w:rPr>
                <w:sz w:val="22"/>
                <w:szCs w:val="22"/>
              </w:rPr>
            </w:r>
            <w:r>
              <w:rPr>
                <w:sz w:val="22"/>
                <w:szCs w:val="22"/>
                <w14:ligatures w14:val="none"/>
              </w:rPr>
            </w:r>
          </w:p>
        </w:tc>
        <w:tc>
          <w:tcPr>
            <w:shd w:val="clear" w:color="000000" w:fill="ffffff"/>
            <w:tcBorders/>
            <w:tcW w:w="1522" w:type="dxa"/>
            <w:vAlign w:val="center"/>
            <w:vMerge w:val="restart"/>
            <w:textDirection w:val="lrTb"/>
            <w:noWrap/>
          </w:tcPr>
          <w:p w14:paraId="5DC80B6D">
            <w:pPr>
              <w:pBdr/>
              <w:shd w:val="nil" w:color="auto"/>
              <w:spacing/>
              <w:ind/>
              <w:jc w:val="center"/>
              <w:rPr>
                <w:sz w:val="22"/>
                <w:szCs w:val="22"/>
                <w14:ligatures w14:val="none"/>
              </w:rPr>
            </w:pPr>
            <w:r>
              <w:rPr>
                <w:sz w:val="22"/>
                <w:szCs w:val="22"/>
              </w:rPr>
              <w:t xml:space="preserve">12%</w:t>
            </w:r>
            <w:r>
              <w:rPr>
                <w:sz w:val="22"/>
                <w:szCs w:val="22"/>
              </w:rPr>
            </w:r>
            <w:r>
              <w:rPr>
                <w:sz w:val="22"/>
                <w:szCs w:val="22"/>
                <w14:ligatures w14:val="none"/>
              </w:rPr>
            </w:r>
          </w:p>
        </w:tc>
      </w:tr>
      <w:tr>
        <w:trPr>
          <w:trHeight w:val="20"/>
        </w:trPr>
        <w:tc>
          <w:tcPr>
            <w:tcBorders/>
            <w:tcW w:w="746" w:type="dxa"/>
            <w:vAlign w:val="center"/>
            <w:vMerge w:val="continue"/>
            <w:textDirection w:val="lrTb"/>
            <w:noWrap w:val="false"/>
          </w:tcPr>
          <w:p w14:paraId="3F71EB49">
            <w:pPr>
              <w:pBdr/>
              <w:spacing/>
              <w:ind/>
              <w:rPr/>
            </w:pPr>
            <w:r/>
            <w:r/>
          </w:p>
        </w:tc>
        <w:tc>
          <w:tcPr>
            <w:shd w:val="clear" w:color="000000" w:fill="ffffff"/>
            <w:tcBorders/>
            <w:tcW w:w="1765" w:type="dxa"/>
            <w:vAlign w:val="center"/>
            <w:vMerge w:val="restart"/>
            <w:textDirection w:val="lrTb"/>
            <w:noWrap w:val="false"/>
          </w:tcPr>
          <w:p w14:paraId="50BCFB38">
            <w:pPr>
              <w:pBdr/>
              <w:shd w:val="nil" w:color="auto"/>
              <w:spacing/>
              <w:ind/>
              <w:rPr>
                <w:sz w:val="22"/>
                <w:szCs w:val="22"/>
                <w14:ligatures w14:val="none"/>
              </w:rPr>
            </w:pPr>
            <w:r>
              <w:rPr>
                <w:sz w:val="22"/>
                <w:szCs w:val="22"/>
              </w:rPr>
              <w:t xml:space="preserve">Mức điều chỉnh</w:t>
            </w:r>
            <w:r>
              <w:rPr>
                <w:sz w:val="22"/>
                <w:szCs w:val="22"/>
              </w:rPr>
            </w:r>
            <w:r>
              <w:rPr>
                <w:sz w:val="22"/>
                <w:szCs w:val="22"/>
                <w14:ligatures w14:val="none"/>
              </w:rPr>
            </w:r>
          </w:p>
        </w:tc>
        <w:tc>
          <w:tcPr>
            <w:shd w:val="clear" w:color="000000" w:fill="ffffff"/>
            <w:tcBorders/>
            <w:tcW w:w="1030" w:type="dxa"/>
            <w:vAlign w:val="center"/>
            <w:vMerge w:val="restart"/>
            <w:textDirection w:val="lrTb"/>
            <w:noWrap/>
          </w:tcPr>
          <w:p w14:paraId="0448C9AF">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4447BEFE">
            <w:pPr>
              <w:pBdr/>
              <w:shd w:val="nil" w:color="auto"/>
              <w:spacing/>
              <w:ind/>
              <w:jc w:val="center"/>
              <w:rPr>
                <w:sz w:val="22"/>
                <w:szCs w:val="22"/>
                <w14:ligatures w14:val="none"/>
              </w:rPr>
            </w:pPr>
            <w:r>
              <w:rPr>
                <w:sz w:val="22"/>
                <w:szCs w:val="22"/>
              </w:rPr>
            </w:r>
            <w:r>
              <w:rPr>
                <w:sz w:val="22"/>
                <w:szCs w:val="22"/>
                <w14:ligatures w14:val="none"/>
              </w:rPr>
            </w:r>
          </w:p>
        </w:tc>
        <w:tc>
          <w:tcPr>
            <w:shd w:val="clear" w:color="000000" w:fill="ffffff"/>
            <w:tcBorders/>
            <w:tcW w:w="1522" w:type="dxa"/>
            <w:vAlign w:val="center"/>
            <w:vMerge w:val="restart"/>
            <w:textDirection w:val="lrTb"/>
            <w:noWrap/>
          </w:tcPr>
          <w:p w14:paraId="38E7BBCD">
            <w:pPr>
              <w:pBdr/>
              <w:shd w:val="nil" w:color="auto"/>
              <w:spacing/>
              <w:ind/>
              <w:jc w:val="center"/>
              <w:rPr>
                <w:sz w:val="22"/>
                <w:szCs w:val="22"/>
                <w14:ligatures w14:val="none"/>
              </w:rPr>
            </w:pPr>
            <w:r>
              <w:rPr>
                <w:sz w:val="22"/>
                <w:szCs w:val="22"/>
              </w:rPr>
              <w:t xml:space="preserve">0</w:t>
            </w:r>
            <w:r>
              <w:rPr>
                <w:sz w:val="22"/>
                <w:szCs w:val="22"/>
              </w:rPr>
            </w:r>
            <w:r>
              <w:rPr>
                <w:sz w:val="22"/>
                <w:szCs w:val="22"/>
                <w14:ligatures w14:val="none"/>
              </w:rPr>
            </w:r>
          </w:p>
        </w:tc>
        <w:tc>
          <w:tcPr>
            <w:shd w:val="clear" w:color="000000" w:fill="ffffff"/>
            <w:tcBorders/>
            <w:tcW w:w="1522" w:type="dxa"/>
            <w:vAlign w:val="center"/>
            <w:vMerge w:val="restart"/>
            <w:textDirection w:val="lrTb"/>
            <w:noWrap/>
          </w:tcPr>
          <w:p w14:paraId="7C20DFC1">
            <w:pPr>
              <w:pBdr/>
              <w:shd w:val="nil" w:color="auto"/>
              <w:spacing/>
              <w:ind/>
              <w:jc w:val="center"/>
              <w:rPr>
                <w:sz w:val="22"/>
                <w:szCs w:val="22"/>
                <w14:ligatures w14:val="none"/>
              </w:rPr>
            </w:pPr>
            <w:r>
              <w:rPr>
                <w:sz w:val="22"/>
                <w:szCs w:val="22"/>
              </w:rPr>
              <w:t xml:space="preserve">0</w:t>
            </w:r>
            <w:r>
              <w:rPr>
                <w:sz w:val="22"/>
                <w:szCs w:val="22"/>
              </w:rPr>
            </w:r>
            <w:r>
              <w:rPr>
                <w:sz w:val="22"/>
                <w:szCs w:val="22"/>
                <w14:ligatures w14:val="none"/>
              </w:rPr>
            </w:r>
          </w:p>
        </w:tc>
        <w:tc>
          <w:tcPr>
            <w:shd w:val="clear" w:color="000000" w:fill="ffffff"/>
            <w:tcBorders/>
            <w:tcW w:w="1522" w:type="dxa"/>
            <w:vAlign w:val="center"/>
            <w:vMerge w:val="restart"/>
            <w:textDirection w:val="lrTb"/>
            <w:noWrap/>
          </w:tcPr>
          <w:p w14:paraId="5E345719">
            <w:pPr>
              <w:pBdr/>
              <w:shd w:val="nil" w:color="auto"/>
              <w:spacing/>
              <w:ind/>
              <w:jc w:val="center"/>
              <w:rPr>
                <w:sz w:val="22"/>
                <w:szCs w:val="22"/>
                <w14:ligatures w14:val="none"/>
              </w:rPr>
            </w:pPr>
            <w:r>
              <w:rPr>
                <w:sz w:val="22"/>
                <w:szCs w:val="22"/>
              </w:rPr>
              <w:t xml:space="preserve">5.547.945</w:t>
            </w:r>
            <w:r>
              <w:rPr>
                <w:sz w:val="22"/>
                <w:szCs w:val="22"/>
              </w:rPr>
            </w:r>
            <w:r>
              <w:rPr>
                <w:sz w:val="22"/>
                <w:szCs w:val="22"/>
                <w14:ligatures w14:val="none"/>
              </w:rPr>
            </w:r>
          </w:p>
        </w:tc>
      </w:tr>
      <w:tr>
        <w:trPr>
          <w:trHeight w:val="20"/>
        </w:trPr>
        <w:tc>
          <w:tcPr>
            <w:tcBorders/>
            <w:tcW w:w="746" w:type="dxa"/>
            <w:vAlign w:val="center"/>
            <w:vMerge w:val="continue"/>
            <w:textDirection w:val="lrTb"/>
            <w:noWrap w:val="false"/>
          </w:tcPr>
          <w:p w14:paraId="1AD8D4FB">
            <w:pPr>
              <w:pBdr/>
              <w:spacing/>
              <w:ind/>
              <w:rPr/>
            </w:pPr>
            <w:r/>
            <w:r/>
          </w:p>
        </w:tc>
        <w:tc>
          <w:tcPr>
            <w:shd w:val="clear" w:color="000000" w:fill="ffffff"/>
            <w:tcBorders/>
            <w:tcW w:w="1765" w:type="dxa"/>
            <w:vAlign w:val="center"/>
            <w:vMerge w:val="restart"/>
            <w:textDirection w:val="lrTb"/>
            <w:noWrap w:val="false"/>
          </w:tcPr>
          <w:p w14:paraId="37161D54">
            <w:pPr>
              <w:pBdr/>
              <w:shd w:val="nil" w:color="auto"/>
              <w:spacing/>
              <w:ind/>
              <w:rPr>
                <w:sz w:val="22"/>
                <w:szCs w:val="22"/>
                <w14:ligatures w14:val="none"/>
              </w:rPr>
            </w:pPr>
            <w:r>
              <w:rPr>
                <w:sz w:val="22"/>
                <w:szCs w:val="22"/>
              </w:rPr>
              <w:t xml:space="preserve">Giá sau điều chỉnh</w:t>
            </w:r>
            <w:r>
              <w:rPr>
                <w:sz w:val="22"/>
                <w:szCs w:val="22"/>
              </w:rPr>
            </w:r>
            <w:r>
              <w:rPr>
                <w:sz w:val="22"/>
                <w:szCs w:val="22"/>
                <w14:ligatures w14:val="none"/>
              </w:rPr>
            </w:r>
          </w:p>
        </w:tc>
        <w:tc>
          <w:tcPr>
            <w:shd w:val="clear" w:color="000000" w:fill="ffffff"/>
            <w:tcBorders/>
            <w:tcW w:w="1030" w:type="dxa"/>
            <w:vAlign w:val="center"/>
            <w:vMerge w:val="restart"/>
            <w:textDirection w:val="lrTb"/>
            <w:noWrap/>
          </w:tcPr>
          <w:p w14:paraId="0448C9AF">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77E3285B">
            <w:pPr>
              <w:pBdr/>
              <w:shd w:val="nil" w:color="auto"/>
              <w:spacing/>
              <w:ind/>
              <w:rPr>
                <w:sz w:val="22"/>
                <w:szCs w:val="22"/>
                <w14:ligatures w14:val="none"/>
              </w:rPr>
            </w:pPr>
            <w:r>
              <w:rPr>
                <w:sz w:val="22"/>
                <w:szCs w:val="22"/>
              </w:rPr>
            </w:r>
            <w:r>
              <w:rPr>
                <w:sz w:val="22"/>
                <w:szCs w:val="22"/>
                <w14:ligatures w14:val="none"/>
              </w:rPr>
            </w:r>
          </w:p>
        </w:tc>
        <w:tc>
          <w:tcPr>
            <w:shd w:val="clear" w:color="000000" w:fill="ffffff"/>
            <w:tcBorders/>
            <w:tcW w:w="1522" w:type="dxa"/>
            <w:vAlign w:val="center"/>
            <w:vMerge w:val="restart"/>
            <w:textDirection w:val="lrTb"/>
            <w:noWrap/>
          </w:tcPr>
          <w:p w14:paraId="6B1349FC">
            <w:pPr>
              <w:pBdr/>
              <w:shd w:val="nil" w:color="auto"/>
              <w:spacing/>
              <w:ind/>
              <w:jc w:val="center"/>
              <w:rPr>
                <w:sz w:val="22"/>
                <w:szCs w:val="22"/>
                <w14:ligatures w14:val="none"/>
              </w:rPr>
            </w:pPr>
            <w:r>
              <w:rPr>
                <w:sz w:val="22"/>
                <w:szCs w:val="22"/>
              </w:rPr>
              <w:t xml:space="preserve">62.845.715</w:t>
            </w:r>
            <w:r>
              <w:rPr>
                <w:sz w:val="22"/>
                <w:szCs w:val="22"/>
              </w:rPr>
            </w:r>
            <w:r>
              <w:rPr>
                <w:sz w:val="22"/>
                <w:szCs w:val="22"/>
                <w14:ligatures w14:val="none"/>
              </w:rPr>
            </w:r>
          </w:p>
        </w:tc>
        <w:tc>
          <w:tcPr>
            <w:shd w:val="clear" w:color="000000" w:fill="ffffff"/>
            <w:tcBorders/>
            <w:tcW w:w="1522" w:type="dxa"/>
            <w:vAlign w:val="center"/>
            <w:vMerge w:val="restart"/>
            <w:textDirection w:val="lrTb"/>
            <w:noWrap/>
          </w:tcPr>
          <w:p w14:paraId="5082BE1B">
            <w:pPr>
              <w:pBdr/>
              <w:shd w:val="nil" w:color="auto"/>
              <w:spacing/>
              <w:ind/>
              <w:jc w:val="center"/>
              <w:rPr>
                <w:sz w:val="22"/>
                <w:szCs w:val="22"/>
                <w14:ligatures w14:val="none"/>
              </w:rPr>
            </w:pPr>
            <w:r>
              <w:rPr>
                <w:sz w:val="22"/>
                <w:szCs w:val="22"/>
              </w:rPr>
              <w:t xml:space="preserve">63.333.333</w:t>
            </w:r>
            <w:r>
              <w:rPr>
                <w:sz w:val="22"/>
                <w:szCs w:val="22"/>
              </w:rPr>
            </w:r>
            <w:r>
              <w:rPr>
                <w:sz w:val="22"/>
                <w:szCs w:val="22"/>
                <w14:ligatures w14:val="none"/>
              </w:rPr>
            </w:r>
          </w:p>
        </w:tc>
        <w:tc>
          <w:tcPr>
            <w:shd w:val="clear" w:color="000000" w:fill="ffffff"/>
            <w:tcBorders/>
            <w:tcW w:w="1522" w:type="dxa"/>
            <w:vAlign w:val="center"/>
            <w:vMerge w:val="restart"/>
            <w:textDirection w:val="lrTb"/>
            <w:noWrap/>
          </w:tcPr>
          <w:p w14:paraId="5BF93E2E">
            <w:pPr>
              <w:pBdr/>
              <w:shd w:val="nil" w:color="auto"/>
              <w:spacing/>
              <w:ind/>
              <w:jc w:val="center"/>
              <w:rPr>
                <w:sz w:val="22"/>
                <w:szCs w:val="22"/>
                <w14:ligatures w14:val="none"/>
              </w:rPr>
            </w:pPr>
            <w:r>
              <w:rPr>
                <w:sz w:val="22"/>
                <w:szCs w:val="22"/>
              </w:rPr>
              <w:t xml:space="preserve">65.650.684</w:t>
            </w:r>
            <w:r>
              <w:rPr>
                <w:sz w:val="22"/>
                <w:szCs w:val="22"/>
              </w:rPr>
            </w:r>
            <w:r>
              <w:rPr>
                <w:sz w:val="22"/>
                <w:szCs w:val="22"/>
                <w14:ligatures w14:val="none"/>
              </w:rPr>
            </w:r>
          </w:p>
        </w:tc>
      </w:tr>
      <w:tr>
        <w:trPr>
          <w:trHeight w:val="20"/>
        </w:trPr>
        <w:tc>
          <w:tcPr>
            <w:shd w:val="clear" w:color="000000" w:fill="ffffff"/>
            <w:tcBorders/>
            <w:tcW w:w="746"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62.845.715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63.333.333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65.650.684</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63.943.244</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-1,72%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-0,95%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2,67%</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4.011.428</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19.417.807</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746"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- 3%</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- 12%</w:t>
            </w:r>
            <w:r>
              <w:rPr>
                <w:sz w:val="22"/>
                <w:szCs w:val="22"/>
              </w:rPr>
            </w:r>
            <w:r>
              <w:rPr>
                <w:sz w:val="22"/>
                <w:szCs w:val="22"/>
              </w:rPr>
            </w:r>
          </w:p>
        </w:tc>
      </w:tr>
      <w:tr>
        <w:trPr>
          <w:trHeight w:val="20"/>
        </w:trPr>
        <w:tc>
          <w:tcPr>
            <w:shd w:val="clear" w:color="000000" w:fill="ffffff"/>
            <w:tcBorders/>
            <w:tcW w:w="746"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4.011.428</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19.417.807</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-1,72</w:t>
      </w:r>
      <w:r>
        <w:t xml:space="preserve">% </w:t>
      </w:r>
      <w:r>
        <w:t xml:space="preserve">đến</w:t>
      </w:r>
      <w:r>
        <w:t xml:space="preserve"> </w:t>
      </w:r>
      <w:r>
        <w:t xml:space="preserve"> </w:t>
      </w:r>
      <w:r>
        <w:t xml:space="preserve">2,67</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highlight w:val="none"/>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highlight w:val="none"/>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62.845.715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20.952.761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63.333.333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21.109.000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65.650.684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21.881.373</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63.943.134</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64.000.000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64.000.000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26"/>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26"/>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12/2025</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Pr>
          <w:highlight w:val="none"/>
        </w:rPr>
      </w:r>
      <w:r>
        <w:rPr>
          <w:highlight w:val="none"/>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2"/>
        <w:gridCol w:w="2335"/>
        <w:gridCol w:w="1701"/>
        <w:gridCol w:w="2409"/>
        <w:gridCol w:w="2127"/>
      </w:tblGrid>
      <w:tr>
        <w:trPr>
          <w:trHeight w:val="20"/>
        </w:trPr>
        <w:tc>
          <w:tcPr>
            <w:shd w:val="clear" w:color="000000" w:fill="ffffff"/>
            <w:tcBorders/>
            <w:tcW w:w="952" w:type="dxa"/>
            <w:vAlign w:val="center"/>
            <w:textDirection w:val="lrTb"/>
            <w:noWrap w:val="false"/>
          </w:tcPr>
          <w:p w14:paraId="0914346A">
            <w:pPr>
              <w:pBdr/>
              <w:spacing w:after="40" w:before="40" w:line="288" w:lineRule="auto"/>
              <w:ind/>
              <w:jc w:val="center"/>
              <w:rPr>
                <w:b/>
                <w:bCs/>
              </w:rPr>
            </w:pPr>
            <w:r>
              <w:rPr>
                <w:b/>
                <w:bCs/>
              </w:rPr>
              <w:t xml:space="preserve">TT</w:t>
            </w:r>
            <w:r>
              <w:rPr>
                <w:b/>
                <w:bCs/>
              </w:rPr>
            </w:r>
            <w:r>
              <w:rPr>
                <w:b/>
                <w:bCs/>
              </w:rPr>
            </w:r>
          </w:p>
        </w:tc>
        <w:tc>
          <w:tcPr>
            <w:shd w:val="clear" w:color="000000" w:fill="ffffff"/>
            <w:tcBorders/>
            <w:tcW w:w="2335" w:type="dxa"/>
            <w:vAlign w:val="center"/>
            <w:textDirection w:val="lrTb"/>
            <w:noWrap w:val="false"/>
          </w:tcPr>
          <w:p w14:paraId="7A491C1B">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701" w:type="dxa"/>
            <w:vAlign w:val="center"/>
            <w:textDirection w:val="lrTb"/>
            <w:noWrap w:val="false"/>
          </w:tcPr>
          <w:p w14:paraId="455A9F13">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409" w:type="dxa"/>
            <w:vAlign w:val="center"/>
            <w:textDirection w:val="lrTb"/>
            <w:noWrap w:val="false"/>
          </w:tcPr>
          <w:p w14:paraId="5A28AC16">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27" w:type="dxa"/>
            <w:vAlign w:val="center"/>
            <w:textDirection w:val="lrTb"/>
            <w:noWrap w:val="false"/>
          </w:tcPr>
          <w:p w14:paraId="2EAECF2E">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14:paraId="5442AFCF">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46" w:type="dxa"/>
            <w:vAlign w:val="center"/>
            <w:textDirection w:val="lrTb"/>
            <w:noWrap w:val="false"/>
          </w:tcPr>
          <w:p w14:paraId="0FD995BD">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17 LKP-3 , tờ bản đồ số: TKPL có </w:t>
            </w:r>
            <w:r>
              <w:rPr>
                <w:rFonts w:ascii="Times New Roman" w:hAnsi="Times New Roman" w:eastAsia="Times New Roman" w:cs="Times New Roman"/>
                <w:b/>
                <w:bCs/>
                <w:color w:val="000000"/>
                <w:sz w:val="24"/>
              </w:rPr>
              <w:t xml:space="preserve">địa chỉ: Khu hạ tầng kỹ thuật, tổ dân phố Kem, thị trấn Nham Biền, huyện Yên Dũng, tỉnh Bắc Giang (nay là phường Nham Biền, tỉnh Bắc Ninh) theo Giấy chứng nhận quyền sử dụng đất, quyền sở hữu nhà ở và  tài sản  khác gắn liền với đất số: DA 396911, số vào s</w:t>
            </w:r>
            <w:r>
              <w:rPr>
                <w:rFonts w:ascii="Times New Roman" w:hAnsi="Times New Roman" w:eastAsia="Times New Roman" w:cs="Times New Roman"/>
                <w:b/>
                <w:bCs/>
                <w:color w:val="000000"/>
                <w:sz w:val="24"/>
              </w:rPr>
              <w:t xml:space="preserve">ổ cấp GCN: CH 00736 do UBND huyện Yên Dũng cấp  ngày 21</w:t>
            </w:r>
            <w:r>
              <w:rPr>
                <w:rFonts w:ascii="Times New Roman" w:hAnsi="Times New Roman" w:eastAsia="Times New Roman" w:cs="Times New Roman"/>
                <w:b/>
                <w:bCs/>
                <w:color w:val="000000"/>
                <w:sz w:val="24"/>
                <w:highlight w:val="white"/>
              </w:rPr>
              <w:t xml:space="preserve">/01/202</w:t>
            </w:r>
            <w:r>
              <w:rPr>
                <w:rFonts w:ascii="Times New Roman" w:hAnsi="Times New Roman" w:eastAsia="Times New Roman" w:cs="Times New Roman"/>
                <w:b/>
                <w:bCs/>
                <w:color w:val="000000"/>
                <w:sz w:val="24"/>
              </w:rPr>
              <w:t xml:space="preserve">1, Chủ sử dụng đất là ông Nguyễn Văn Ngọc</w:t>
            </w:r>
            <w:r>
              <w:rPr>
                <w:rFonts w:ascii="Times New Roman" w:hAnsi="Times New Roman" w:eastAsia="Times New Roman" w:cs="Times New Roman"/>
                <w:b/>
                <w:bCs/>
                <w:i/>
                <w:color w:val="000000"/>
                <w:sz w:val="24"/>
              </w:rPr>
              <w:t xml:space="preserve">.</w:t>
            </w:r>
            <w:r>
              <w:rPr>
                <w:b/>
                <w:bCs/>
              </w:rPr>
            </w:r>
            <w:r>
              <w:rPr>
                <w:b/>
                <w:bCs/>
              </w:rPr>
            </w:r>
          </w:p>
        </w:tc>
        <w:tc>
          <w:tcPr>
            <w:shd w:val="clear" w:color="000000" w:fill="ffffff"/>
            <w:tcBorders/>
            <w:tcW w:w="2127" w:type="dxa"/>
            <w:vAlign w:val="center"/>
            <w:textDirection w:val="lrTb"/>
            <w:noWrap w:val="false"/>
          </w:tcPr>
          <w:p w14:paraId="230AB628">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14:paraId="2A57E057">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2335" w:type="dxa"/>
            <w:vAlign w:val="center"/>
            <w:textDirection w:val="lrTb"/>
            <w:noWrap w:val="false"/>
          </w:tcPr>
          <w:p w14:paraId="04AFBF3C">
            <w:pPr>
              <w:pBdr/>
              <w:spacing w:after="40" w:before="40" w:line="288" w:lineRule="auto"/>
              <w:ind/>
              <w:rPr>
                <w:b w:val="0"/>
                <w:bCs w:val="0"/>
              </w:rPr>
            </w:pPr>
            <w:r>
              <w:rPr>
                <w:b w:val="0"/>
                <w:bCs w:val="0"/>
              </w:rPr>
              <w:t xml:space="preserve">Đất ở tại đô thị</w:t>
            </w:r>
            <w:r>
              <w:rPr>
                <w:b w:val="0"/>
                <w:bCs w:val="0"/>
              </w:rPr>
            </w:r>
          </w:p>
        </w:tc>
        <w:tc>
          <w:tcPr>
            <w:tcBorders/>
            <w:tcW w:w="1701" w:type="dxa"/>
            <w:vAlign w:val="center"/>
            <w:textDirection w:val="lrTb"/>
            <w:noWrap/>
          </w:tcPr>
          <w:p w14:paraId="1929C39C">
            <w:pPr>
              <w:pBdr/>
              <w:spacing w:after="40" w:before="40" w:line="288" w:lineRule="auto"/>
              <w:ind/>
              <w:jc w:val="center"/>
              <w:rPr>
                <w:color w:val="000000"/>
              </w:rPr>
            </w:pPr>
            <w:r>
              <w:rPr>
                <w:color w:val="000000" w:themeColor="text1"/>
              </w:rPr>
              <w:t xml:space="preserve">108</w:t>
            </w:r>
            <w:r>
              <w:rPr>
                <w:color w:val="000000"/>
              </w:rPr>
            </w:r>
            <w:r>
              <w:rPr>
                <w:color w:val="000000"/>
              </w:rPr>
            </w:r>
          </w:p>
        </w:tc>
        <w:tc>
          <w:tcPr>
            <w:shd w:val="clear" w:color="000000" w:fill="ffffff"/>
            <w:tcBorders/>
            <w:tcW w:w="2409" w:type="dxa"/>
            <w:vAlign w:val="center"/>
            <w:textDirection w:val="lrTb"/>
            <w:noWrap w:val="false"/>
          </w:tcPr>
          <w:p w14:paraId="19E4E57F">
            <w:pPr>
              <w:pBdr/>
              <w:spacing w:after="40" w:before="40" w:line="288" w:lineRule="auto"/>
              <w:ind/>
              <w:jc w:val="center"/>
              <w:rPr/>
            </w:pPr>
            <w:r>
              <w:rPr>
                <w:color w:val="000000" w:themeColor="text1"/>
              </w:rPr>
              <w:t xml:space="preserve">64.000.000</w:t>
            </w:r>
            <w:r/>
          </w:p>
        </w:tc>
        <w:tc>
          <w:tcPr>
            <w:shd w:val="clear" w:color="000000" w:fill="ffffff"/>
            <w:tcBorders/>
            <w:tcW w:w="2127" w:type="dxa"/>
            <w:vAlign w:val="center"/>
            <w:textDirection w:val="lrTb"/>
            <w:noWrap w:val="false"/>
          </w:tcPr>
          <w:p w14:paraId="4B3E0C98">
            <w:pPr>
              <w:pBdr/>
              <w:spacing w:after="40" w:before="40" w:line="288" w:lineRule="auto"/>
              <w:ind/>
              <w:jc w:val="center"/>
              <w:rPr/>
            </w:pPr>
            <w:r>
              <w:rPr>
                <w:color w:val="000000" w:themeColor="text1"/>
              </w:rPr>
              <w:t xml:space="preserve">6.912.000.000</w:t>
            </w:r>
            <w:r/>
          </w:p>
        </w:tc>
      </w:tr>
      <w:tr>
        <w:trPr>
          <w:trHeight w:val="20"/>
        </w:trPr>
        <w:tc>
          <w:tcPr>
            <w:gridSpan w:val="4"/>
            <w:tcBorders/>
            <w:tcW w:w="7398" w:type="dxa"/>
            <w:vAlign w:val="center"/>
            <w:textDirection w:val="lrTb"/>
            <w:noWrap/>
          </w:tcPr>
          <w:p w14:paraId="1B280D68">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27" w:type="dxa"/>
            <w:vAlign w:val="center"/>
            <w:textDirection w:val="lrTb"/>
            <w:noWrap/>
          </w:tcPr>
          <w:p w14:paraId="19963A58">
            <w:pPr>
              <w:pBdr/>
              <w:spacing w:after="40" w:before="40" w:line="288" w:lineRule="auto"/>
              <w:ind/>
              <w:jc w:val="center"/>
              <w:rPr>
                <w:b/>
                <w:bCs/>
                <w:color w:val="000000"/>
              </w:rPr>
            </w:pPr>
            <w:r>
              <w:rPr>
                <w:b/>
                <w:bCs/>
                <w:color w:val="000000"/>
              </w:rPr>
              <w:t xml:space="preserve">6.912.000.000</w:t>
            </w:r>
            <w:r>
              <w:rPr>
                <w:b/>
                <w:bCs/>
                <w:color w:val="000000"/>
              </w:rPr>
            </w:r>
            <w:r>
              <w:rPr>
                <w:b/>
                <w:bCs/>
                <w:color w:val="000000"/>
              </w:rPr>
            </w:r>
          </w:p>
        </w:tc>
      </w:tr>
      <w:tr>
        <w:trPr>
          <w:trHeight w:val="20"/>
        </w:trPr>
        <w:tc>
          <w:tcPr>
            <w:gridSpan w:val="5"/>
            <w:tcBorders/>
            <w:tcW w:w="9525" w:type="dxa"/>
            <w:vAlign w:val="center"/>
            <w:textDirection w:val="lrTb"/>
            <w:noWrap w:val="false"/>
          </w:tcPr>
          <w:p w14:paraId="4171D34D">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Sáu tỷ chín trăm mười hai triệu đồng chẵn</w:t>
            </w:r>
            <w:r>
              <w:rPr>
                <w:b/>
                <w:bCs/>
                <w:i/>
                <w:iCs/>
                <w:color w:val="000000"/>
              </w:rPr>
              <w:t xml:space="preserve">./.)</w:t>
            </w:r>
            <w:r>
              <w:rPr>
                <w:b/>
                <w:bCs/>
                <w:i/>
                <w:iCs/>
                <w:color w:val="000000"/>
              </w:rPr>
            </w:r>
            <w:r>
              <w:rPr>
                <w:b/>
                <w:bCs/>
                <w:i/>
                <w:iCs/>
                <w:color w:val="000000"/>
              </w:rPr>
            </w:r>
          </w:p>
        </w:tc>
      </w:tr>
    </w:tbl>
    <w:p w14:paraId="187E2E91" w14:textId="56B58432">
      <w:pPr>
        <w:pStyle w:val="102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6"/>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2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6"/>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26"/>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26"/>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26"/>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26"/>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26"/>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26"/>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2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6"/>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2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2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26"/>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26"/>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26"/>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26"/>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2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2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2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6"/>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2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26"/>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501CAA4A">
      <w:pPr>
        <w:pStyle w:val="1026"/>
        <w:pBdr/>
        <w:tabs>
          <w:tab w:val="left" w:leader="none" w:pos="993"/>
        </w:tabs>
        <w:spacing w:after="120" w:before="120" w:line="288" w:lineRule="auto"/>
        <w:ind w:left="0"/>
        <w:jc w:val="both"/>
        <w:rPr>
          <w:lang w:val="vi-VN"/>
        </w:rPr>
      </w:pPr>
      <w:r>
        <w:rPr>
          <w:highlight w:val="none"/>
          <w:lang w:val="vi-VN"/>
        </w:rPr>
      </w:r>
      <w:r>
        <w:rPr>
          <w:highlight w:val="none"/>
          <w:lang w:val="vi-VN"/>
        </w:rPr>
      </w:r>
      <w:r>
        <w:rPr>
          <w:highlight w:val="none"/>
          <w:lang w:val="vi-VN"/>
        </w:rPr>
      </w:r>
    </w:p>
    <w:p w14:paraId="5D9A9B95">
      <w:pPr>
        <w:pStyle w:val="1026"/>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0201801F">
      <w:pPr>
        <w:pStyle w:val="1026"/>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1216CF9B">
      <w:pPr>
        <w:pStyle w:val="1026"/>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3E52F05C">
      <w:pPr>
        <w:pStyle w:val="1026"/>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1B06816E">
      <w:pPr>
        <w:pStyle w:val="1026"/>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1E8D4377">
      <w:pPr>
        <w:pStyle w:val="1026"/>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1333962D">
      <w:pPr>
        <w:pStyle w:val="1026"/>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08957F0A">
      <w:pPr>
        <w:pStyle w:val="1026"/>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74ABCCDE">
      <w:pPr>
        <w:pStyle w:val="1026"/>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4B52CD6E">
      <w:pPr>
        <w:pStyle w:val="1026"/>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492878ED">
      <w:pPr>
        <w:pStyle w:val="1026"/>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56267EA8">
      <w:pPr>
        <w:pStyle w:val="1026"/>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377D1750">
      <w:pPr>
        <w:pStyle w:val="1026"/>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699F9D9D" w14:textId="4418D349">
      <w:pPr>
        <w:pStyle w:val="1026"/>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H</w:t>
      </w:r>
      <w:r>
        <w:rPr>
          <w:rFonts w:ascii="Times New Roman" w:hAnsi="Times New Roman" w:eastAsia="Times New Roman" w:cs="Times New Roman"/>
          <w:color w:val="081b3a"/>
          <w:spacing w:val="3"/>
          <w:sz w:val="24"/>
        </w:rPr>
        <w:t xml:space="preserve">275/2025/1883/VFI-CT.51.A</w:t>
      </w:r>
      <w:r>
        <w:rPr>
          <w:rFonts w:ascii="Times New Roman" w:hAnsi="Times New Roman" w:eastAsia="Times New Roman" w:cs="Times New Roman"/>
          <w:color w:val="ff0000"/>
          <w:sz w:val="24"/>
        </w:rPr>
        <w:t xml:space="preserve"> </w:t>
      </w:r>
      <w:r>
        <w:rPr>
          <w:rFonts w:ascii="Times New Roman" w:hAnsi="Times New Roman" w:eastAsia="Times New Roman" w:cs="Times New Roman"/>
          <w:color w:val="000000"/>
          <w:sz w:val="24"/>
        </w:rPr>
        <w:t xml:space="preserve">ngày 29 tháng 12 năm 2025 </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ascii="Times New Roman" w:hAnsi="Times New Roman" w:eastAsia="Times New Roman" w:cs="Times New Roman"/>
                <w:color w:val="081b3a"/>
                <w:spacing w:val="3"/>
                <w:sz w:val="24"/>
                <w:highlight w:val="white"/>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7F7D43EE">
      <w:pPr>
        <w:pBdr>
          <w:top w:val="none" w:color="000000" w:sz="4" w:space="0"/>
          <w:left w:val="none" w:color="000000" w:sz="4" w:space="0"/>
          <w:bottom w:val="none" w:color="000000" w:sz="4" w:space="0"/>
          <w:right w:val="none" w:color="000000" w:sz="4" w:space="0"/>
        </w:pBdr>
        <w:spacing/>
        <w:ind w:right="0" w:firstLine="0" w:left="0"/>
        <w:jc w:val="center"/>
        <w:rPr/>
      </w:pPr>
      <w:r>
        <w:rPr>
          <w:i/>
          <w:lang w:val="pt-BR"/>
        </w:rPr>
        <w:t xml:space="preserve">(</w:t>
      </w:r>
      <w:r>
        <w:rPr>
          <w:rFonts w:ascii="Times New Roman" w:hAnsi="Times New Roman" w:eastAsia="Times New Roman" w:cs="Times New Roman"/>
          <w:i/>
          <w:color w:val="000000"/>
          <w:sz w:val="24"/>
        </w:rPr>
        <w:t xml:space="preserve">(Kèm theo Báo cáo thẩm định số </w:t>
      </w:r>
      <w:r>
        <w:rPr>
          <w:rFonts w:ascii="Times New Roman" w:hAnsi="Times New Roman" w:eastAsia="Times New Roman" w:cs="Times New Roman"/>
          <w:i/>
          <w:color w:val="081b3a"/>
          <w:spacing w:val="3"/>
          <w:sz w:val="24"/>
        </w:rPr>
        <w:t xml:space="preserve">275/2025/1883/VFI-BC.51.A</w:t>
      </w:r>
      <w:r>
        <w:rPr>
          <w:rFonts w:ascii="Times New Roman" w:hAnsi="Times New Roman" w:eastAsia="Times New Roman" w:cs="Times New Roman"/>
          <w:i/>
          <w:color w:val="000000"/>
          <w:sz w:val="24"/>
        </w:rPr>
        <w:t xml:space="preserve"> ngày 29 tháng 12 năm 2025của </w:t>
      </w:r>
      <w:r/>
    </w:p>
    <w:p w14:paraId="19C52641">
      <w:pPr>
        <w:pBdr/>
        <w:spacing/>
        <w:ind/>
        <w:jc w:val="center"/>
        <w:rPr>
          <w:bCs/>
          <w:i/>
          <w:lang w:val="pt-BR"/>
        </w:rPr>
      </w:pPr>
      <w:r>
        <w:rPr>
          <w:rFonts w:ascii="Times New Roman" w:hAnsi="Times New Roman" w:eastAsia="Times New Roman" w:cs="Times New Roman"/>
          <w:i/>
          <w:color w:val="000000"/>
          <w:sz w:val="24"/>
        </w:rPr>
        <w:t xml:space="preserve">Công ty Cổ phần Thẩm định và Đầu tư Tài chính Hoa Sen)</w:t>
      </w:r>
      <w:r>
        <w:rPr>
          <w:i/>
          <w:lang w:val="pt-BR"/>
        </w:rPr>
      </w:r>
      <w:r>
        <w:rPr>
          <w:bCs/>
          <w:i/>
          <w:lang w:val="pt-BR"/>
        </w:rPr>
      </w:r>
    </w:p>
    <w:tbl>
      <w:tblPr>
        <w:tblStyle w:val="10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914400" cy="1929384"/>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501645" name=""/>
                              <pic:cNvPicPr>
                                <a:picLocks noChangeAspect="1"/>
                              </pic:cNvPicPr>
                              <pic:nvPr/>
                            </pic:nvPicPr>
                            <pic:blipFill rotWithShape="1">
                              <a:blip r:embed="rId18"/>
                              <a:stretch/>
                            </pic:blipFill>
                            <pic:spPr bwMode="auto">
                              <a:xfrm rot="0" flipH="0" flipV="0">
                                <a:off x="0" y="0"/>
                                <a:ext cx="914400" cy="19293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72.00pt;height:151.92pt;mso-wrap-distance-left:0.00pt;mso-wrap-distance-top:0.00pt;mso-wrap-distance-right:0.00pt;mso-wrap-distance-bottom:0.00pt;rotation:0;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642202" name=""/>
                              <pic:cNvPicPr>
                                <a:picLocks noChangeAspect="1"/>
                              </pic:cNvPicPr>
                              <pic:nvPr/>
                            </pic:nvPicPr>
                            <pic:blipFill rotWithShape="1">
                              <a:blip r:embed="rId19"/>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80.00pt;height:134.64pt;mso-wrap-distance-left:0.00pt;mso-wrap-distance-top:0.00pt;mso-wrap-distance-right:0.00pt;mso-wrap-distance-bottom:0.00pt;rotation:0;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Đường trước tài sản</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961981" name=""/>
                              <pic:cNvPicPr>
                                <a:picLocks noChangeAspect="1"/>
                              </pic:cNvPicPr>
                              <pic:nvPr/>
                            </pic:nvPicPr>
                            <pic:blipFill rotWithShape="1">
                              <a:blip r:embed="rId20"/>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80.00pt;height:134.64pt;mso-wrap-distance-left:0.00pt;mso-wrap-distance-top:0.00pt;mso-wrap-distance-right:0.00pt;mso-wrap-distance-bottom:0.00pt;rotation:0;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698779" name=""/>
                              <pic:cNvPicPr>
                                <a:picLocks noChangeAspect="1"/>
                              </pic:cNvPicPr>
                              <pic:nvPr/>
                            </pic:nvPicPr>
                            <pic:blipFill rotWithShape="1">
                              <a:blip r:embed="rId21"/>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80.00pt;height:134.64pt;mso-wrap-distance-left:0.00pt;mso-wrap-distance-top:0.00pt;mso-wrap-distance-right:0.00pt;mso-wrap-distance-bottom:0.00pt;rotation:0;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62EC5255">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788321" name=""/>
                              <pic:cNvPicPr>
                                <a:picLocks noChangeAspect="1"/>
                              </pic:cNvPicPr>
                              <pic:nvPr/>
                            </pic:nvPicPr>
                            <pic:blipFill rotWithShape="1">
                              <a:blip r:embed="rId22"/>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80.00pt;height:134.64pt;mso-wrap-distance-left:0.00pt;mso-wrap-distance-top:0.00pt;mso-wrap-distance-right:0.00pt;mso-wrap-distance-bottom:0.00pt;rotation:0;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847322" name=""/>
                              <pic:cNvPicPr>
                                <a:picLocks noChangeAspect="1"/>
                              </pic:cNvPicPr>
                              <pic:nvPr/>
                            </pic:nvPicPr>
                            <pic:blipFill rotWithShape="1">
                              <a:blip r:embed="rId23"/>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80.00pt;height:134.64pt;mso-wrap-distance-left:0.00pt;mso-wrap-distance-top:0.00pt;mso-wrap-distance-right:0.00pt;mso-wrap-distance-bottom:0.00pt;rotation:0;z-index:1;" stroked="false">
                      <v:imagedata r:id="rId23"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highlight w:val="none"/>
        </w:rPr>
      </w:pPr>
      <w:r>
        <w:br w:type="page" w:clear="all"/>
      </w:r>
      <w:r>
        <w:rPr>
          <w:highlight w:val="none"/>
        </w:rPr>
      </w:r>
    </w:p>
    <w:p w14:paraId="7618ADBD">
      <w:pPr>
        <w:pBdr/>
        <w:spacing w:after="200" w:line="276" w:lineRule="auto"/>
        <w:ind/>
        <w:jc w:val="center"/>
        <w:rPr>
          <w:b/>
          <w:bCs/>
          <w:highlight w:val="none"/>
        </w:rPr>
      </w:pPr>
      <w:r>
        <w:rPr>
          <w:b/>
          <w:bCs/>
          <w:highlight w:val="none"/>
        </w:rPr>
        <w:t xml:space="preserve">PHÁP LÝ CỦA TÀI SẢN</w:t>
      </w:r>
      <w:r>
        <w:rPr>
          <w:b/>
          <w:bCs/>
        </w:rPr>
      </w:r>
      <w:r>
        <w:rPr>
          <w:b/>
          <w:bCs/>
          <w:highlight w:val="none"/>
        </w:rPr>
      </w:r>
    </w:p>
    <w:p w14:paraId="5FB6B744">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4591050" cy="306705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643331" name=""/>
                        <pic:cNvPicPr>
                          <a:picLocks noChangeAspect="1"/>
                        </pic:cNvPicPr>
                        <pic:nvPr/>
                      </pic:nvPicPr>
                      <pic:blipFill rotWithShape="1">
                        <a:blip r:embed="rId24"/>
                        <a:stretch/>
                      </pic:blipFill>
                      <pic:spPr bwMode="auto">
                        <a:xfrm>
                          <a:off x="0" y="0"/>
                          <a:ext cx="4591049" cy="30670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61.50pt;height:241.50pt;mso-wrap-distance-left:0.00pt;mso-wrap-distance-top:0.00pt;mso-wrap-distance-right:0.00pt;mso-wrap-distance-bottom:0.00pt;z-index:1;" stroked="false">
                <v:imagedata r:id="rId24" o:title=""/>
                <o:lock v:ext="edit" rotation="t"/>
              </v:shape>
            </w:pict>
          </mc:Fallback>
        </mc:AlternateContent>
      </w:r>
      <w:r>
        <w:rPr>
          <w:b/>
          <w:bCs/>
        </w:rPr>
      </w:r>
      <w:r>
        <w:rPr>
          <w:b/>
          <w:bCs/>
          <w:highlight w:val="none"/>
        </w:rPr>
      </w:r>
    </w:p>
    <w:p w14:paraId="0E5FD493">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4572000" cy="3209544"/>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712294" name=""/>
                        <pic:cNvPicPr>
                          <a:picLocks noChangeAspect="1"/>
                        </pic:cNvPicPr>
                        <pic:nvPr/>
                      </pic:nvPicPr>
                      <pic:blipFill rotWithShape="1">
                        <a:blip r:embed="rId25"/>
                        <a:stretch/>
                      </pic:blipFill>
                      <pic:spPr bwMode="auto">
                        <a:xfrm rot="0" flipH="0" flipV="0">
                          <a:off x="0" y="0"/>
                          <a:ext cx="4572000" cy="32095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60.00pt;height:252.72pt;mso-wrap-distance-left:0.00pt;mso-wrap-distance-top:0.00pt;mso-wrap-distance-right:0.00pt;mso-wrap-distance-bottom:0.00pt;rotation:0;z-index:1;" stroked="false">
                <v:imagedata r:id="rId25" o:title=""/>
                <o:lock v:ext="edit" rotation="t"/>
              </v:shape>
            </w:pict>
          </mc:Fallback>
        </mc:AlternateContent>
      </w:r>
      <w:r>
        <w:rPr>
          <w:b/>
          <w:bCs/>
        </w:rPr>
      </w:r>
      <w:r>
        <w:rPr>
          <w:b/>
          <w:bCs/>
          <w:highlight w:val="none"/>
        </w:rPr>
      </w:r>
    </w:p>
    <w:p w14:paraId="4649A1A5">
      <w:pPr>
        <w:pBdr/>
        <w:spacing w:after="200" w:line="276" w:lineRule="auto"/>
        <w:ind/>
        <w:jc w:val="center"/>
        <w:rPr>
          <w:b/>
          <w:bCs/>
        </w:rPr>
      </w:pPr>
      <w:r>
        <w:rPr>
          <w:b/>
          <w:bCs/>
        </w:rPr>
      </w:r>
      <w:r>
        <w:rPr>
          <w:b/>
          <w:bCs/>
        </w:rPr>
      </w:r>
      <w:r>
        <w:rPr>
          <w:b/>
          <w:bCs/>
        </w:rPr>
      </w:r>
    </w:p>
    <w:p w14:paraId="4B83FFCA">
      <w:pPr>
        <w:pBdr/>
        <w:spacing w:after="200" w:line="276" w:lineRule="auto"/>
        <w:ind/>
        <w:jc w:val="center"/>
        <w:rPr>
          <w:b/>
          <w:bCs/>
        </w:rPr>
      </w:pPr>
      <w:r>
        <w:rPr>
          <w:b/>
          <w:bCs/>
        </w:rPr>
      </w:r>
      <w:r>
        <w:rPr>
          <w:b/>
          <w:bCs/>
        </w:rPr>
      </w:r>
      <w:r>
        <w:rPr>
          <w:b/>
          <w:bCs/>
        </w:rPr>
      </w:r>
    </w:p>
    <w:p w14:paraId="4E560787">
      <w:pPr>
        <w:pBdr/>
        <w:spacing w:after="200" w:line="276" w:lineRule="auto"/>
        <w:ind/>
        <w:jc w:val="center"/>
        <w:rPr>
          <w:b/>
          <w:bCs/>
        </w:rPr>
      </w:pPr>
      <w:r>
        <w:rPr>
          <w:b/>
          <w:bCs/>
        </w:rPr>
      </w:r>
      <w:r>
        <w:rPr>
          <w:b/>
          <w:bCs/>
        </w:rPr>
      </w:r>
      <w:r>
        <w:rPr>
          <w:b/>
          <w:bCs/>
        </w:rPr>
      </w:r>
    </w:p>
    <w:p w14:paraId="7222E5EF">
      <w:pPr>
        <w:pBdr/>
        <w:spacing w:after="200" w:line="276" w:lineRule="auto"/>
        <w:ind/>
        <w:jc w:val="center"/>
        <w:rPr>
          <w:b/>
          <w:bCs/>
        </w:rPr>
      </w:pPr>
      <w:r>
        <w:rPr>
          <w:b/>
          <w:bCs/>
        </w:rPr>
      </w:r>
      <w:r>
        <w:rPr>
          <w:b/>
          <w:bCs/>
        </w:rPr>
      </w:r>
      <w:r>
        <w:rPr>
          <w:b/>
          <w:bCs/>
        </w:rPr>
      </w:r>
    </w:p>
    <w:p w14:paraId="148875F7">
      <w:pPr>
        <w:pBdr/>
        <w:spacing w:after="200" w:line="276" w:lineRule="auto"/>
        <w:ind/>
        <w:jc w:val="center"/>
        <w:rPr>
          <w:b/>
          <w:bCs/>
        </w:rPr>
      </w:pPr>
      <w:r>
        <w:rPr>
          <w:b/>
          <w:bCs/>
        </w:rPr>
      </w:r>
      <w:r>
        <w:rPr>
          <w:b/>
          <w:bCs/>
        </w:rPr>
      </w:r>
      <w:r>
        <w:rPr>
          <w:b/>
          <w:bCs/>
        </w:rPr>
      </w:r>
    </w:p>
    <w:p w14:paraId="338BB31F">
      <w:pPr>
        <w:pBdr/>
        <w:spacing w:after="200" w:line="276" w:lineRule="auto"/>
        <w:ind/>
        <w:jc w:val="center"/>
        <w:rPr>
          <w:b/>
          <w:bCs/>
        </w:rPr>
      </w:pPr>
      <w:r>
        <w:rPr>
          <w:b/>
          <w:bCs/>
        </w:rPr>
      </w:r>
      <w:r>
        <w:rPr>
          <w:b/>
          <w:bCs/>
        </w:rPr>
      </w:r>
      <w:r>
        <w:rPr>
          <w:b/>
          <w:bCs/>
        </w:rPr>
      </w:r>
    </w:p>
    <w:p w14:paraId="7C48527B">
      <w:pPr>
        <w:pBdr/>
        <w:spacing w:after="200" w:line="276" w:lineRule="auto"/>
        <w:ind/>
        <w:jc w:val="center"/>
        <w:rPr>
          <w:b/>
          <w:bCs/>
        </w:rPr>
      </w:pPr>
      <w:r>
        <w:rPr>
          <w:b/>
          <w:bCs/>
        </w:rPr>
      </w:r>
      <w:r>
        <w:rPr>
          <w:b/>
          <w:bCs/>
        </w:rPr>
      </w:r>
      <w:r>
        <w:rPr>
          <w:b/>
          <w:bCs/>
        </w:rPr>
      </w:r>
    </w:p>
    <w:p w14:paraId="7D804964">
      <w:pPr>
        <w:pBdr/>
        <w:spacing w:after="200" w:line="276" w:lineRule="auto"/>
        <w:ind/>
        <w:jc w:val="center"/>
        <w:rPr>
          <w:b/>
          <w:bCs/>
        </w:rPr>
      </w:pPr>
      <w:r>
        <w:rPr>
          <w:b/>
          <w:bCs/>
        </w:rPr>
      </w:r>
      <w:r>
        <w:rPr>
          <w:b/>
          <w:bCs/>
        </w:rPr>
        <w:t xml:space="preserve">BIÊN BẢN KHẢO SÁT HIỆN TRẠNG TÀI SẢN</w:t>
      </w:r>
      <w:r>
        <w:rPr>
          <w:b/>
          <w:bCs/>
        </w:rPr>
      </w:r>
      <w:r>
        <w:rPr>
          <w:b/>
          <w:bCs/>
        </w:rPr>
      </w:r>
    </w:p>
    <w:p w14:paraId="68F964B7">
      <w:pPr>
        <w:pBdr/>
        <w:spacing w:after="200" w:line="276" w:lineRule="auto"/>
        <w:ind/>
        <w:jc w:val="center"/>
        <w:rPr>
          <w:b/>
          <w:bCs/>
        </w:rPr>
      </w:pPr>
      <w:r>
        <w:rPr>
          <w:b/>
          <w:bCs/>
          <w:highlight w:val="none"/>
        </w:rPr>
      </w:r>
      <w:r>
        <mc:AlternateContent>
          <mc:Choice Requires="wpg">
            <w:drawing>
              <wp:inline xmlns:wp="http://schemas.openxmlformats.org/drawingml/2006/wordprocessingDrawing" distT="0" distB="0" distL="0" distR="0">
                <wp:extent cx="6048375" cy="879264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827581" name=""/>
                        <pic:cNvPicPr>
                          <a:picLocks noChangeAspect="1"/>
                        </pic:cNvPicPr>
                        <pic:nvPr/>
                      </pic:nvPicPr>
                      <pic:blipFill rotWithShape="1">
                        <a:blip r:embed="rId26"/>
                        <a:stretch/>
                      </pic:blipFill>
                      <pic:spPr bwMode="auto">
                        <a:xfrm>
                          <a:off x="0" y="0"/>
                          <a:ext cx="6048374" cy="87926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92.33pt;mso-wrap-distance-left:0.00pt;mso-wrap-distance-top:0.00pt;mso-wrap-distance-right:0.00pt;mso-wrap-distance-bottom:0.00pt;z-index:1;" stroked="false">
                <v:imagedata r:id="rId26" o:title=""/>
                <o:lock v:ext="edit" rotation="t"/>
              </v:shape>
            </w:pict>
          </mc:Fallback>
        </mc:AlternateContent>
      </w:r>
      <w:r>
        <w:rPr>
          <w:b/>
          <w:bCs/>
          <w:highlight w:val="none"/>
        </w:rPr>
      </w:r>
      <w:r>
        <w:rPr>
          <w:b/>
          <w:bCs/>
        </w:rP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rFonts w:ascii="Times New Roman" w:hAnsi="Times New Roman" w:eastAsia="Times New Roman" w:cs="Times New Roman"/>
          <w:i/>
          <w:color w:val="081b3a"/>
          <w:spacing w:val="3"/>
          <w:sz w:val="24"/>
        </w:rPr>
        <w:t xml:space="preserve">275/2025/1883/VFI-BC.51.A</w:t>
      </w:r>
      <w:r>
        <w:rPr>
          <w:rFonts w:ascii="Times New Roman" w:hAnsi="Times New Roman" w:eastAsia="Times New Roman" w:cs="Times New Roman"/>
          <w:i/>
          <w:color w:val="000000"/>
          <w:sz w:val="24"/>
        </w:rPr>
        <w:t xml:space="preserve"> </w:t>
      </w:r>
      <w:r>
        <w:rPr>
          <w:i/>
          <w:lang w:val="pt-BR"/>
        </w:rPr>
        <w:t xml:space="preserve">29 tháng 12 năm 2025</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0359569565</w:t>
            </w:r>
            <w:r>
              <w:rPr>
                <w:sz w:val="22"/>
                <w:szCs w:val="22"/>
              </w:rPr>
              <w:t xml:space="preserve"> </w:t>
            </w:r>
            <w:r>
              <w:rPr>
                <w:sz w:val="22"/>
                <w:szCs w:val="22"/>
              </w:rPr>
              <w:br/>
              <w:t xml:space="preserve">(Đàm văn tuấn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7.800.000.000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7.020.000.000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dich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(105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hd w:val="nil" w:color="auto"/>
              <w:spacing/>
              <w:ind/>
              <w:jc w:val="center"/>
              <w:rPr>
                <w14:ligatures w14:val="none"/>
              </w:rPr>
            </w:pPr>
            <w:r>
              <w:rPr>
                <w:color w:val="000000" w:themeColor="text1"/>
                <w:sz w:val="22"/>
                <w:szCs w:val="22"/>
              </w:rPr>
            </w:r>
            <w:r>
              <w:rPr>
                <w:highlight w:val="none"/>
              </w:rPr>
              <w:t xml:space="preserve">Tài sản nằm tiếp giáp QL17B</w:t>
            </w:r>
            <w:r>
              <w:rPr>
                <w14:ligatures w14: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105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4572000" cy="3172968"/>
                      <wp:effectExtent l="0" t="0" r="0" b="0"/>
                      <wp:docPr id="15" name=""/>
                      <wp:cNvGraphicFramePr/>
                      <a:graphic xmlns:a="http://schemas.openxmlformats.org/drawingml/2006/main">
                        <a:graphicData uri="http://schemas.openxmlformats.org/drawingml/2006/picture">
                          <pic:pic xmlns:pic="http://schemas.openxmlformats.org/drawingml/2006/picture">
                            <pic:nvPicPr>
                              <pic:cNvPr id="286269185" name="" descr=""/>
                              <pic:cNvPicPr/>
                              <pic:nvPr/>
                            </pic:nvPicPr>
                            <pic:blipFill rotWithShape="1">
                              <a:blip r:embed="rId27"/>
                              <a:stretch/>
                            </pic:blipFill>
                            <pic:spPr bwMode="auto">
                              <a:xfrm rot="0" flipH="0" flipV="0">
                                <a:off x="0" y="0"/>
                                <a:ext cx="4572000" cy="317296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60.00pt;height:249.84pt;mso-wrap-distance-left:0.00pt;mso-wrap-distance-top:0.00pt;mso-wrap-distance-right:0.00pt;mso-wrap-distance-bottom:0.00pt;rotation:0;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426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42426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34.07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b/>
                <w:bCs/>
                <w:i/>
              </w:rPr>
            </w:pPr>
            <w:r>
              <w:rPr>
                <w:b/>
                <w:bCs/>
                <w:i/>
                <w:iCs/>
              </w:rPr>
              <w:t xml:space="preserve">Nguyễn Đăng Hiếu</w:t>
            </w:r>
            <w:r>
              <w:rPr>
                <w:b/>
                <w:bCs/>
                <w:i/>
                <w:iCs/>
              </w:rPr>
            </w:r>
            <w:r>
              <w:rPr>
                <w:b/>
                <w:bCs/>
                <w:i/>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0359569565</w:t>
            </w:r>
            <w:r>
              <w:rPr>
                <w:sz w:val="22"/>
                <w:szCs w:val="22"/>
              </w:rPr>
              <w:t xml:space="preserve"> </w:t>
            </w:r>
            <w:r>
              <w:rPr>
                <w:sz w:val="22"/>
                <w:szCs w:val="22"/>
              </w:rPr>
              <w:br/>
              <w:t xml:space="preserve">(Đàm Văn Tuấn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7.600.000.000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6.840.000.000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(108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hd w:val="nil" w:color="auto"/>
              <w:spacing/>
              <w:ind/>
              <w:jc w:val="center"/>
              <w:rPr>
                <w14:ligatures w14:val="none"/>
              </w:rPr>
            </w:pPr>
            <w:r>
              <w:rPr>
                <w:highlight w:val="none"/>
              </w:rPr>
              <w:t xml:space="preserve">Tài sản nằm tiếp giáp QL17B</w:t>
            </w:r>
            <w:r>
              <w:rPr>
                <w14:ligatures w14: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108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14:paraId="7633C3A5" w14:textId="77777777">
            <w:pPr>
              <w:pBdr/>
              <w:spacing w:line="276" w:lineRule="auto"/>
              <w:ind/>
              <w:rPr>
                <w:highlight w:val="none"/>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4572000" cy="2907792"/>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308100" name=""/>
                              <pic:cNvPicPr>
                                <a:picLocks noChangeAspect="1"/>
                              </pic:cNvPicPr>
                              <pic:nvPr/>
                            </pic:nvPicPr>
                            <pic:blipFill rotWithShape="1">
                              <a:blip r:embed="rId29"/>
                              <a:stretch/>
                            </pic:blipFill>
                            <pic:spPr bwMode="auto">
                              <a:xfrm rot="0" flipH="0" flipV="0">
                                <a:off x="0" y="0"/>
                                <a:ext cx="4572000" cy="29077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60.00pt;height:228.96pt;mso-wrap-distance-left:0.00pt;mso-wrap-distance-top:0.00pt;mso-wrap-distance-right:0.00pt;mso-wrap-distance-bottom:0.00pt;rotation:0;z-index:1;" stroked="false">
                      <v:imagedata r:id="rId29" o:title=""/>
                      <o:lock v:ext="edit" rotation="t"/>
                    </v:shape>
                  </w:pict>
                </mc:Fallback>
              </mc:AlternateContent>
            </w:r>
            <w:r>
              <w:rPr>
                <w:color w:val="000000"/>
                <w:sz w:val="22"/>
                <w:szCs w:val="22"/>
              </w:rPr>
            </w:r>
            <w:r>
              <w:rPr>
                <w:highlight w:val="none"/>
              </w:rPr>
            </w:r>
          </w:p>
          <w:p w14:paraId="7F4AEB40">
            <w:pPr>
              <w:pBdr/>
              <w:spacing w:line="276" w:lineRule="auto"/>
              <w:ind/>
              <w:rPr>
                <w:color w:val="000000"/>
                <w:sz w:val="22"/>
                <w:szCs w:val="22"/>
              </w:rPr>
            </w:pPr>
            <w:r>
              <w:rPr>
                <w:highlight w:val="none"/>
              </w:rPr>
            </w:r>
            <w:r>
              <mc:AlternateContent>
                <mc:Choice Requires="wpg">
                  <w:drawing>
                    <wp:inline xmlns:wp="http://schemas.openxmlformats.org/drawingml/2006/wordprocessingDrawing" distT="0" distB="0" distL="0" distR="0">
                      <wp:extent cx="4572000" cy="2944368"/>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394926" name=""/>
                              <pic:cNvPicPr>
                                <a:picLocks noChangeAspect="1"/>
                              </pic:cNvPicPr>
                              <pic:nvPr/>
                            </pic:nvPicPr>
                            <pic:blipFill rotWithShape="1">
                              <a:blip r:embed="rId30"/>
                              <a:stretch/>
                            </pic:blipFill>
                            <pic:spPr bwMode="auto">
                              <a:xfrm rot="0" flipH="0" flipV="0">
                                <a:off x="0" y="0"/>
                                <a:ext cx="4572000" cy="29443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60.00pt;height:231.84pt;mso-wrap-distance-left:0.00pt;mso-wrap-distance-top:0.00pt;mso-wrap-distance-right:0.00pt;mso-wrap-distance-bottom:0.00pt;rotation:0;z-index:1;" stroked="false">
                      <v:imagedata r:id="rId30" o:title=""/>
                      <o:lock v:ext="edit" rotation="t"/>
                    </v:shape>
                  </w:pict>
                </mc:Fallback>
              </mc:AlternateContent>
            </w:r>
            <w:r>
              <w:rPr>
                <w:color w:val="000000"/>
                <w:sz w:val="22"/>
                <w:szCs w:val="22"/>
              </w:rPr>
            </w:r>
            <w:r>
              <w:rPr>
                <w:color w:val="000000"/>
                <w:sz w:val="22"/>
                <w:szCs w:val="22"/>
              </w:rPr>
            </w:r>
          </w:p>
          <w:p w14:paraId="0CF44AD9" w14:textId="0AC8C76C">
            <w:pPr>
              <w:pBdr/>
              <w:spacing w:line="276" w:lineRule="auto"/>
              <w:ind/>
              <w:rPr>
                <w:color w:val="000000"/>
                <w:sz w:val="22"/>
                <w:szCs w:val="22"/>
              </w:rPr>
            </w:pPr>
            <w:r>
              <mc:AlternateContent>
                <mc:Choice Requires="wpg">
                  <w:drawing>
                    <wp:inline xmlns:wp="http://schemas.openxmlformats.org/drawingml/2006/wordprocessingDrawing" distT="0" distB="0" distL="0" distR="0">
                      <wp:extent cx="4572000" cy="214884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044758" name=""/>
                              <pic:cNvPicPr>
                                <a:picLocks noChangeAspect="1"/>
                              </pic:cNvPicPr>
                              <pic:nvPr/>
                            </pic:nvPicPr>
                            <pic:blipFill rotWithShape="1">
                              <a:blip r:embed="rId31"/>
                              <a:stretch/>
                            </pic:blipFill>
                            <pic:spPr bwMode="auto">
                              <a:xfrm rot="0" flipH="0" flipV="0">
                                <a:off x="0" y="0"/>
                                <a:ext cx="4572000" cy="21488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60.00pt;height:169.20pt;mso-wrap-distance-left:0.00pt;mso-wrap-distance-top:0.00pt;mso-wrap-distance-right:0.00pt;mso-wrap-distance-bottom:0.00pt;rotation:0;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b/>
                <w:bCs/>
              </w:rPr>
            </w:pPr>
            <w:r>
              <w:rPr>
                <w:b/>
                <w:bCs/>
              </w:rPr>
              <w:t xml:space="preserve">Nguyễn Đăng Hiếu</w:t>
            </w:r>
            <w:r>
              <w:rPr>
                <w:b/>
                <w:bCs/>
              </w:rPr>
            </w:r>
            <w:r>
              <w:rPr>
                <w:b/>
                <w:bCs/>
              </w:rP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0961818788</w:t>
            </w:r>
            <w:r>
              <w:rPr>
                <w:sz w:val="22"/>
                <w:szCs w:val="22"/>
              </w:rPr>
              <w:t xml:space="preserve"> </w:t>
            </w:r>
            <w:r>
              <w:rPr>
                <w:sz w:val="22"/>
                <w:szCs w:val="22"/>
              </w:rPr>
              <w:br/>
              <w:t xml:space="preserve">(Bđs Thắng Đá</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5.400.000.000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4.860.000.000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621"/>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(105.12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hd w:val="nil" w:color="auto"/>
              <w:spacing/>
              <w:ind/>
              <w:rPr>
                <w14:ligatures w14:val="none"/>
              </w:rPr>
            </w:pPr>
            <w:r>
              <w:t xml:space="preserve">Vị</w:t>
            </w:r>
            <w:r>
              <w:t xml:space="preserve"> </w:t>
            </w:r>
            <w:r>
              <w:t xml:space="preserve">trí</w:t>
            </w:r>
            <w:r>
              <w:rPr>
                <w14:ligatures w14: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hd w:val="nil" w:color="auto"/>
              <w:spacing/>
              <w:ind/>
              <w:jc w:val="center"/>
              <w:rPr>
                <w:sz w:val="22"/>
                <w:szCs w:val="22"/>
                <w14:ligatures w14:val="none"/>
              </w:rPr>
            </w:pPr>
            <w:r>
              <w:rPr>
                <w:sz w:val="22"/>
                <w:szCs w:val="22"/>
              </w:rPr>
            </w:r>
            <w:r>
              <w:rPr>
                <w:sz w:val="22"/>
                <w:szCs w:val="22"/>
                <w:highlight w:val="none"/>
              </w:rPr>
              <w:t xml:space="preserve">Tài sản cách  QL17B khoảng 80m</w:t>
            </w:r>
            <w:r>
              <w:rPr>
                <w:sz w:val="22"/>
                <w:szCs w:val="22"/>
              </w:rPr>
            </w:r>
            <w:r>
              <w:rPr>
                <w:sz w:val="22"/>
                <w:szCs w:val="22"/>
                <w14:ligatures w14: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105,12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446337"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344633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71.37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4555435"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1956341736" name="" descr=""/>
                              <pic:cNvPicPr/>
                              <pic:nvPr/>
                            </pic:nvPicPr>
                            <pic:blipFill rotWithShape="1">
                              <a:blip r:embed="rId33"/>
                              <a:stretch/>
                            </pic:blipFill>
                            <pic:spPr bwMode="auto">
                              <a:xfrm>
                                <a:off x="0" y="0"/>
                                <a:ext cx="4555434"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58.7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061939"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506193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98.58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6F608D1E">
            <w:pPr>
              <w:pBdr/>
              <w:spacing/>
              <w:ind/>
              <w:jc w:val="center"/>
              <w:rPr>
                <w:b/>
                <w:bCs/>
                <w:i/>
              </w:rPr>
            </w:pPr>
            <w:r>
              <w:rPr>
                <w:b/>
                <w:bCs/>
                <w:i/>
                <w:iCs/>
              </w:rPr>
              <w:t xml:space="preserve">Nguyễn Đăng Hiếu</w:t>
            </w:r>
            <w:r>
              <w:rPr>
                <w:b/>
                <w:bCs/>
                <w:i/>
                <w:iCs/>
              </w:rPr>
            </w:r>
            <w:r>
              <w:rPr>
                <w:b/>
                <w:bCs/>
                <w:i/>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36B9E9F"/>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8">
    <w:name w:val="Table Grid Light"/>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1"/>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2"/>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3"/>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4"/>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5"/>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w:basedOn w:val="101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1"/>
    <w:basedOn w:val="101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2"/>
    <w:basedOn w:val="101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3"/>
    <w:basedOn w:val="101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4"/>
    <w:basedOn w:val="101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5"/>
    <w:basedOn w:val="101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6"/>
    <w:basedOn w:val="101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w:basedOn w:val="101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1"/>
    <w:basedOn w:val="101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5"/>
    <w:basedOn w:val="101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6"/>
    <w:basedOn w:val="101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w:basedOn w:val="101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1"/>
    <w:basedOn w:val="101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5"/>
    <w:basedOn w:val="101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6"/>
    <w:basedOn w:val="101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w:basedOn w:val="101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1"/>
    <w:basedOn w:val="101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2"/>
    <w:basedOn w:val="101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3"/>
    <w:basedOn w:val="101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4"/>
    <w:basedOn w:val="101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5"/>
    <w:basedOn w:val="101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6"/>
    <w:basedOn w:val="101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Accent 1"/>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2"/>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3"/>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4"/>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5"/>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6"/>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6 Colorful"/>
    <w:basedOn w:val="101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0">
    <w:name w:val="Grid Table 6 Colorful - Accent 1"/>
    <w:basedOn w:val="101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1">
    <w:name w:val="Grid Table 6 Colorful - Accent 2"/>
    <w:basedOn w:val="101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2">
    <w:name w:val="Grid Table 6 Colorful - Accent 3"/>
    <w:basedOn w:val="101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3">
    <w:name w:val="Grid Table 6 Colorful - Accent 4"/>
    <w:basedOn w:val="101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4">
    <w:name w:val="Grid Table 6 Colorful - Accent 5"/>
    <w:basedOn w:val="101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6 Colorful - Accent 6"/>
    <w:basedOn w:val="101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7 Colorful"/>
    <w:basedOn w:val="101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1"/>
    <w:basedOn w:val="101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5"/>
    <w:basedOn w:val="101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6"/>
    <w:basedOn w:val="101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1"/>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2"/>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3"/>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4"/>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5"/>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6"/>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w:basedOn w:val="101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1"/>
    <w:basedOn w:val="101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2"/>
    <w:basedOn w:val="101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3"/>
    <w:basedOn w:val="101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4"/>
    <w:basedOn w:val="101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5"/>
    <w:basedOn w:val="101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6"/>
    <w:basedOn w:val="101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w:basedOn w:val="101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1"/>
    <w:basedOn w:val="101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2"/>
    <w:basedOn w:val="101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3"/>
    <w:basedOn w:val="101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4"/>
    <w:basedOn w:val="101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5"/>
    <w:basedOn w:val="101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6"/>
    <w:basedOn w:val="101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w:basedOn w:val="101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1"/>
    <w:basedOn w:val="101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2"/>
    <w:basedOn w:val="101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3"/>
    <w:basedOn w:val="101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4"/>
    <w:basedOn w:val="101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5"/>
    <w:basedOn w:val="101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6"/>
    <w:basedOn w:val="101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5 Dark"/>
    <w:basedOn w:val="101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1"/>
    <w:basedOn w:val="101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2"/>
    <w:basedOn w:val="101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3"/>
    <w:basedOn w:val="101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4"/>
    <w:basedOn w:val="101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5"/>
    <w:basedOn w:val="101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6"/>
    <w:basedOn w:val="101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6 Colorful"/>
    <w:basedOn w:val="101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1"/>
    <w:basedOn w:val="101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2"/>
    <w:basedOn w:val="101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3"/>
    <w:basedOn w:val="101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4"/>
    <w:basedOn w:val="101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5"/>
    <w:basedOn w:val="101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6"/>
    <w:basedOn w:val="101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7 Colorful"/>
    <w:basedOn w:val="101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6">
    <w:name w:val="List Table 7 Colorful - Accent 1"/>
    <w:basedOn w:val="101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7">
    <w:name w:val="List Table 7 Colorful - Accent 2"/>
    <w:basedOn w:val="101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8">
    <w:name w:val="List Table 7 Colorful - Accent 3"/>
    <w:basedOn w:val="101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9">
    <w:name w:val="List Table 7 Colorful - Accent 4"/>
    <w:basedOn w:val="101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0">
    <w:name w:val="List Table 7 Colorful - Accent 5"/>
    <w:basedOn w:val="101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1">
    <w:name w:val="List Table 7 Colorful - Accent 6"/>
    <w:basedOn w:val="101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2">
    <w:name w:val="Lined - Accent"/>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1"/>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2"/>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3"/>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4"/>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5"/>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6"/>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w:basedOn w:val="101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1"/>
    <w:basedOn w:val="101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2"/>
    <w:basedOn w:val="101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3"/>
    <w:basedOn w:val="101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4"/>
    <w:basedOn w:val="101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5"/>
    <w:basedOn w:val="101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6"/>
    <w:basedOn w:val="101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w:basedOn w:val="101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1"/>
    <w:basedOn w:val="101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2"/>
    <w:basedOn w:val="101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3"/>
    <w:basedOn w:val="101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4"/>
    <w:basedOn w:val="101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5"/>
    <w:basedOn w:val="101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6"/>
    <w:basedOn w:val="101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3">
    <w:name w:val="Heading 5"/>
    <w:basedOn w:val="1004"/>
    <w:next w:val="1004"/>
    <w:link w:val="968"/>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4">
    <w:name w:val="Heading 6"/>
    <w:basedOn w:val="1004"/>
    <w:next w:val="1004"/>
    <w:link w:val="969"/>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5">
    <w:name w:val="Heading 7"/>
    <w:basedOn w:val="1004"/>
    <w:next w:val="1004"/>
    <w:link w:val="970"/>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6">
    <w:name w:val="Heading 8"/>
    <w:basedOn w:val="1004"/>
    <w:next w:val="1004"/>
    <w:link w:val="971"/>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7">
    <w:name w:val="Heading 9"/>
    <w:basedOn w:val="1004"/>
    <w:next w:val="1004"/>
    <w:link w:val="972"/>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8">
    <w:name w:val="Heading 5 Char"/>
    <w:basedOn w:val="1009"/>
    <w:link w:val="963"/>
    <w:uiPriority w:val="9"/>
    <w:pPr>
      <w:pBdr/>
      <w:spacing/>
      <w:ind/>
    </w:pPr>
    <w:rPr>
      <w:rFonts w:ascii="Arial" w:hAnsi="Arial" w:eastAsia="Arial" w:cs="Arial"/>
      <w:color w:val="0f4761" w:themeColor="accent1" w:themeShade="BF"/>
    </w:rPr>
  </w:style>
  <w:style w:type="character" w:styleId="969">
    <w:name w:val="Heading 6 Char"/>
    <w:basedOn w:val="1009"/>
    <w:link w:val="964"/>
    <w:uiPriority w:val="9"/>
    <w:pPr>
      <w:pBdr/>
      <w:spacing/>
      <w:ind/>
    </w:pPr>
    <w:rPr>
      <w:rFonts w:ascii="Arial" w:hAnsi="Arial" w:eastAsia="Arial" w:cs="Arial"/>
      <w:i/>
      <w:iCs/>
      <w:color w:val="595959" w:themeColor="text1" w:themeTint="A6"/>
    </w:rPr>
  </w:style>
  <w:style w:type="character" w:styleId="970">
    <w:name w:val="Heading 7 Char"/>
    <w:basedOn w:val="1009"/>
    <w:link w:val="965"/>
    <w:uiPriority w:val="9"/>
    <w:pPr>
      <w:pBdr/>
      <w:spacing/>
      <w:ind/>
    </w:pPr>
    <w:rPr>
      <w:rFonts w:ascii="Arial" w:hAnsi="Arial" w:eastAsia="Arial" w:cs="Arial"/>
      <w:color w:val="595959" w:themeColor="text1" w:themeTint="A6"/>
    </w:rPr>
  </w:style>
  <w:style w:type="character" w:styleId="971">
    <w:name w:val="Heading 8 Char"/>
    <w:basedOn w:val="1009"/>
    <w:link w:val="966"/>
    <w:uiPriority w:val="9"/>
    <w:pPr>
      <w:pBdr/>
      <w:spacing/>
      <w:ind/>
    </w:pPr>
    <w:rPr>
      <w:rFonts w:ascii="Arial" w:hAnsi="Arial" w:eastAsia="Arial" w:cs="Arial"/>
      <w:i/>
      <w:iCs/>
      <w:color w:val="272727" w:themeColor="text1" w:themeTint="D8"/>
    </w:rPr>
  </w:style>
  <w:style w:type="character" w:styleId="972">
    <w:name w:val="Heading 9 Char"/>
    <w:basedOn w:val="1009"/>
    <w:link w:val="967"/>
    <w:uiPriority w:val="9"/>
    <w:pPr>
      <w:pBdr/>
      <w:spacing/>
      <w:ind/>
    </w:pPr>
    <w:rPr>
      <w:rFonts w:ascii="Arial" w:hAnsi="Arial" w:eastAsia="Arial" w:cs="Arial"/>
      <w:i/>
      <w:iCs/>
      <w:color w:val="272727" w:themeColor="text1" w:themeTint="D8"/>
    </w:rPr>
  </w:style>
  <w:style w:type="paragraph" w:styleId="973">
    <w:name w:val="Subtitle"/>
    <w:basedOn w:val="1004"/>
    <w:next w:val="1004"/>
    <w:link w:val="974"/>
    <w:uiPriority w:val="11"/>
    <w:qFormat/>
    <w:pPr>
      <w:numPr>
        <w:ilvl w:val="1"/>
      </w:numPr>
      <w:pBdr/>
      <w:spacing/>
      <w:ind/>
    </w:pPr>
    <w:rPr>
      <w:color w:val="595959" w:themeColor="text1" w:themeTint="A6"/>
      <w:spacing w:val="15"/>
      <w:sz w:val="28"/>
      <w:szCs w:val="28"/>
    </w:rPr>
  </w:style>
  <w:style w:type="character" w:styleId="974">
    <w:name w:val="Subtitle Char"/>
    <w:basedOn w:val="1009"/>
    <w:link w:val="973"/>
    <w:uiPriority w:val="11"/>
    <w:pPr>
      <w:pBdr/>
      <w:spacing/>
      <w:ind/>
    </w:pPr>
    <w:rPr>
      <w:color w:val="595959" w:themeColor="text1" w:themeTint="A6"/>
      <w:spacing w:val="15"/>
      <w:sz w:val="28"/>
      <w:szCs w:val="28"/>
    </w:rPr>
  </w:style>
  <w:style w:type="paragraph" w:styleId="975">
    <w:name w:val="Quote"/>
    <w:basedOn w:val="1004"/>
    <w:next w:val="1004"/>
    <w:link w:val="976"/>
    <w:uiPriority w:val="29"/>
    <w:qFormat/>
    <w:pPr>
      <w:pBdr/>
      <w:spacing w:before="160"/>
      <w:ind/>
      <w:jc w:val="center"/>
    </w:pPr>
    <w:rPr>
      <w:i/>
      <w:iCs/>
      <w:color w:val="404040" w:themeColor="text1" w:themeTint="BF"/>
    </w:rPr>
  </w:style>
  <w:style w:type="character" w:styleId="976">
    <w:name w:val="Quote Char"/>
    <w:basedOn w:val="1009"/>
    <w:link w:val="975"/>
    <w:uiPriority w:val="29"/>
    <w:pPr>
      <w:pBdr/>
      <w:spacing/>
      <w:ind/>
    </w:pPr>
    <w:rPr>
      <w:i/>
      <w:iCs/>
      <w:color w:val="404040" w:themeColor="text1" w:themeTint="BF"/>
    </w:rPr>
  </w:style>
  <w:style w:type="character" w:styleId="977">
    <w:name w:val="Intense Emphasis"/>
    <w:basedOn w:val="1009"/>
    <w:uiPriority w:val="21"/>
    <w:qFormat/>
    <w:pPr>
      <w:pBdr/>
      <w:spacing/>
      <w:ind/>
    </w:pPr>
    <w:rPr>
      <w:i/>
      <w:iCs/>
      <w:color w:val="0f4761" w:themeColor="accent1" w:themeShade="BF"/>
    </w:rPr>
  </w:style>
  <w:style w:type="paragraph" w:styleId="978">
    <w:name w:val="Intense Quote"/>
    <w:basedOn w:val="1004"/>
    <w:next w:val="1004"/>
    <w:link w:val="979"/>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9">
    <w:name w:val="Intense Quote Char"/>
    <w:basedOn w:val="1009"/>
    <w:link w:val="978"/>
    <w:uiPriority w:val="30"/>
    <w:pPr>
      <w:pBdr/>
      <w:spacing/>
      <w:ind/>
    </w:pPr>
    <w:rPr>
      <w:i/>
      <w:iCs/>
      <w:color w:val="0f4761" w:themeColor="accent1" w:themeShade="BF"/>
    </w:rPr>
  </w:style>
  <w:style w:type="character" w:styleId="980">
    <w:name w:val="Intense Reference"/>
    <w:basedOn w:val="1009"/>
    <w:uiPriority w:val="32"/>
    <w:qFormat/>
    <w:pPr>
      <w:pBdr/>
      <w:spacing/>
      <w:ind/>
    </w:pPr>
    <w:rPr>
      <w:b/>
      <w:bCs/>
      <w:smallCaps/>
      <w:color w:val="0f4761" w:themeColor="accent1" w:themeShade="BF"/>
      <w:spacing w:val="5"/>
    </w:rPr>
  </w:style>
  <w:style w:type="paragraph" w:styleId="981">
    <w:name w:val="No Spacing"/>
    <w:basedOn w:val="1004"/>
    <w:uiPriority w:val="1"/>
    <w:qFormat/>
    <w:pPr>
      <w:pBdr/>
      <w:spacing w:after="0" w:line="240" w:lineRule="auto"/>
      <w:ind/>
    </w:pPr>
  </w:style>
  <w:style w:type="character" w:styleId="982">
    <w:name w:val="Subtle Emphasis"/>
    <w:basedOn w:val="1009"/>
    <w:uiPriority w:val="19"/>
    <w:qFormat/>
    <w:pPr>
      <w:pBdr/>
      <w:spacing/>
      <w:ind/>
    </w:pPr>
    <w:rPr>
      <w:i/>
      <w:iCs/>
      <w:color w:val="404040" w:themeColor="text1" w:themeTint="BF"/>
    </w:rPr>
  </w:style>
  <w:style w:type="character" w:styleId="983">
    <w:name w:val="Subtle Reference"/>
    <w:basedOn w:val="1009"/>
    <w:uiPriority w:val="31"/>
    <w:qFormat/>
    <w:pPr>
      <w:pBdr/>
      <w:spacing/>
      <w:ind/>
    </w:pPr>
    <w:rPr>
      <w:smallCaps/>
      <w:color w:val="5a5a5a" w:themeColor="text1" w:themeTint="A5"/>
    </w:rPr>
  </w:style>
  <w:style w:type="character" w:styleId="984">
    <w:name w:val="Book Title"/>
    <w:basedOn w:val="1009"/>
    <w:uiPriority w:val="33"/>
    <w:qFormat/>
    <w:pPr>
      <w:pBdr/>
      <w:spacing/>
      <w:ind/>
    </w:pPr>
    <w:rPr>
      <w:b/>
      <w:bCs/>
      <w:i/>
      <w:iCs/>
      <w:spacing w:val="5"/>
    </w:rPr>
  </w:style>
  <w:style w:type="paragraph" w:styleId="985">
    <w:name w:val="Caption"/>
    <w:basedOn w:val="1004"/>
    <w:next w:val="1004"/>
    <w:uiPriority w:val="35"/>
    <w:unhideWhenUsed/>
    <w:qFormat/>
    <w:pPr>
      <w:pBdr/>
      <w:spacing w:after="200" w:line="240" w:lineRule="auto"/>
      <w:ind/>
    </w:pPr>
    <w:rPr>
      <w:i/>
      <w:iCs/>
      <w:color w:val="0e2841" w:themeColor="text2"/>
      <w:sz w:val="18"/>
      <w:szCs w:val="18"/>
    </w:rPr>
  </w:style>
  <w:style w:type="paragraph" w:styleId="986">
    <w:name w:val="footnote text"/>
    <w:basedOn w:val="1004"/>
    <w:link w:val="987"/>
    <w:uiPriority w:val="99"/>
    <w:semiHidden/>
    <w:unhideWhenUsed/>
    <w:pPr>
      <w:pBdr/>
      <w:spacing w:after="0" w:line="240" w:lineRule="auto"/>
      <w:ind/>
    </w:pPr>
    <w:rPr>
      <w:sz w:val="20"/>
      <w:szCs w:val="20"/>
    </w:rPr>
  </w:style>
  <w:style w:type="character" w:styleId="987">
    <w:name w:val="Footnote Text Char"/>
    <w:basedOn w:val="1009"/>
    <w:link w:val="986"/>
    <w:uiPriority w:val="99"/>
    <w:semiHidden/>
    <w:pPr>
      <w:pBdr/>
      <w:spacing/>
      <w:ind/>
    </w:pPr>
    <w:rPr>
      <w:sz w:val="20"/>
      <w:szCs w:val="20"/>
    </w:rPr>
  </w:style>
  <w:style w:type="character" w:styleId="988">
    <w:name w:val="footnote reference"/>
    <w:basedOn w:val="1009"/>
    <w:uiPriority w:val="99"/>
    <w:semiHidden/>
    <w:unhideWhenUsed/>
    <w:pPr>
      <w:pBdr/>
      <w:spacing/>
      <w:ind/>
    </w:pPr>
    <w:rPr>
      <w:vertAlign w:val="superscript"/>
    </w:rPr>
  </w:style>
  <w:style w:type="paragraph" w:styleId="989">
    <w:name w:val="endnote text"/>
    <w:basedOn w:val="1004"/>
    <w:link w:val="990"/>
    <w:uiPriority w:val="99"/>
    <w:semiHidden/>
    <w:unhideWhenUsed/>
    <w:pPr>
      <w:pBdr/>
      <w:spacing w:after="0" w:line="240" w:lineRule="auto"/>
      <w:ind/>
    </w:pPr>
    <w:rPr>
      <w:sz w:val="20"/>
      <w:szCs w:val="20"/>
    </w:rPr>
  </w:style>
  <w:style w:type="character" w:styleId="990">
    <w:name w:val="Endnote Text Char"/>
    <w:basedOn w:val="1009"/>
    <w:link w:val="989"/>
    <w:uiPriority w:val="99"/>
    <w:semiHidden/>
    <w:pPr>
      <w:pBdr/>
      <w:spacing/>
      <w:ind/>
    </w:pPr>
    <w:rPr>
      <w:sz w:val="20"/>
      <w:szCs w:val="20"/>
    </w:rPr>
  </w:style>
  <w:style w:type="character" w:styleId="991">
    <w:name w:val="endnote reference"/>
    <w:basedOn w:val="1009"/>
    <w:uiPriority w:val="99"/>
    <w:semiHidden/>
    <w:unhideWhenUsed/>
    <w:pPr>
      <w:pBdr/>
      <w:spacing/>
      <w:ind/>
    </w:pPr>
    <w:rPr>
      <w:vertAlign w:val="superscript"/>
    </w:rPr>
  </w:style>
  <w:style w:type="paragraph" w:styleId="992">
    <w:name w:val="toc 1"/>
    <w:basedOn w:val="1004"/>
    <w:next w:val="1004"/>
    <w:uiPriority w:val="39"/>
    <w:unhideWhenUsed/>
    <w:pPr>
      <w:pBdr/>
      <w:spacing w:after="100"/>
      <w:ind/>
    </w:pPr>
  </w:style>
  <w:style w:type="paragraph" w:styleId="993">
    <w:name w:val="toc 2"/>
    <w:basedOn w:val="1004"/>
    <w:next w:val="1004"/>
    <w:uiPriority w:val="39"/>
    <w:unhideWhenUsed/>
    <w:pPr>
      <w:pBdr/>
      <w:spacing w:after="100"/>
      <w:ind w:left="220"/>
    </w:pPr>
  </w:style>
  <w:style w:type="paragraph" w:styleId="994">
    <w:name w:val="toc 3"/>
    <w:basedOn w:val="1004"/>
    <w:next w:val="1004"/>
    <w:uiPriority w:val="39"/>
    <w:unhideWhenUsed/>
    <w:pPr>
      <w:pBdr/>
      <w:spacing w:after="100"/>
      <w:ind w:left="440"/>
    </w:pPr>
  </w:style>
  <w:style w:type="paragraph" w:styleId="995">
    <w:name w:val="toc 4"/>
    <w:basedOn w:val="1004"/>
    <w:next w:val="1004"/>
    <w:uiPriority w:val="39"/>
    <w:unhideWhenUsed/>
    <w:pPr>
      <w:pBdr/>
      <w:spacing w:after="100"/>
      <w:ind w:left="660"/>
    </w:pPr>
  </w:style>
  <w:style w:type="paragraph" w:styleId="996">
    <w:name w:val="toc 5"/>
    <w:basedOn w:val="1004"/>
    <w:next w:val="1004"/>
    <w:uiPriority w:val="39"/>
    <w:unhideWhenUsed/>
    <w:pPr>
      <w:pBdr/>
      <w:spacing w:after="100"/>
      <w:ind w:left="880"/>
    </w:pPr>
  </w:style>
  <w:style w:type="paragraph" w:styleId="997">
    <w:name w:val="toc 6"/>
    <w:basedOn w:val="1004"/>
    <w:next w:val="1004"/>
    <w:uiPriority w:val="39"/>
    <w:unhideWhenUsed/>
    <w:pPr>
      <w:pBdr/>
      <w:spacing w:after="100"/>
      <w:ind w:left="1100"/>
    </w:pPr>
  </w:style>
  <w:style w:type="paragraph" w:styleId="998">
    <w:name w:val="toc 7"/>
    <w:basedOn w:val="1004"/>
    <w:next w:val="1004"/>
    <w:uiPriority w:val="39"/>
    <w:unhideWhenUsed/>
    <w:pPr>
      <w:pBdr/>
      <w:spacing w:after="100"/>
      <w:ind w:left="1320"/>
    </w:pPr>
  </w:style>
  <w:style w:type="paragraph" w:styleId="999">
    <w:name w:val="toc 8"/>
    <w:basedOn w:val="1004"/>
    <w:next w:val="1004"/>
    <w:uiPriority w:val="39"/>
    <w:unhideWhenUsed/>
    <w:pPr>
      <w:pBdr/>
      <w:spacing w:after="100"/>
      <w:ind w:left="1540"/>
    </w:pPr>
  </w:style>
  <w:style w:type="paragraph" w:styleId="1000">
    <w:name w:val="toc 9"/>
    <w:basedOn w:val="1004"/>
    <w:next w:val="1004"/>
    <w:uiPriority w:val="39"/>
    <w:unhideWhenUsed/>
    <w:pPr>
      <w:pBdr/>
      <w:spacing w:after="100"/>
      <w:ind w:left="1760"/>
    </w:pPr>
  </w:style>
  <w:style w:type="character" w:styleId="1001">
    <w:name w:val="Placeholder Text"/>
    <w:basedOn w:val="1009"/>
    <w:uiPriority w:val="99"/>
    <w:semiHidden/>
    <w:pPr>
      <w:pBdr/>
      <w:spacing/>
      <w:ind/>
    </w:pPr>
    <w:rPr>
      <w:color w:val="666666"/>
    </w:rPr>
  </w:style>
  <w:style w:type="paragraph" w:styleId="1002">
    <w:name w:val="TOC Heading"/>
    <w:uiPriority w:val="39"/>
    <w:unhideWhenUsed/>
    <w:pPr>
      <w:pBdr/>
      <w:spacing/>
      <w:ind/>
    </w:pPr>
  </w:style>
  <w:style w:type="paragraph" w:styleId="1003">
    <w:name w:val="table of figures"/>
    <w:basedOn w:val="1004"/>
    <w:next w:val="1004"/>
    <w:uiPriority w:val="99"/>
    <w:unhideWhenUsed/>
    <w:pPr>
      <w:pBdr/>
      <w:spacing w:after="0" w:afterAutospacing="0"/>
      <w:ind/>
    </w:pPr>
  </w:style>
  <w:style w:type="paragraph" w:styleId="1004" w:default="1">
    <w:name w:val="Normal"/>
    <w:qFormat/>
    <w:pPr>
      <w:pBdr/>
      <w:spacing w:after="0" w:line="240" w:lineRule="auto"/>
      <w:ind/>
    </w:pPr>
    <w:rPr>
      <w:rFonts w:ascii="Times New Roman" w:hAnsi="Times New Roman" w:eastAsia="Times New Roman" w:cs="Times New Roman"/>
      <w:sz w:val="24"/>
      <w:szCs w:val="24"/>
    </w:rPr>
  </w:style>
  <w:style w:type="paragraph" w:styleId="1005">
    <w:name w:val="Heading 1"/>
    <w:basedOn w:val="1004"/>
    <w:next w:val="1004"/>
    <w:link w:val="1012"/>
    <w:qFormat/>
    <w:pPr>
      <w:keepNext w:val="true"/>
      <w:pBdr/>
      <w:spacing w:after="120" w:before="120"/>
      <w:ind/>
      <w:jc w:val="center"/>
      <w:outlineLvl w:val="0"/>
    </w:pPr>
    <w:rPr>
      <w:b/>
      <w:bCs/>
      <w:sz w:val="27"/>
      <w:szCs w:val="27"/>
    </w:rPr>
  </w:style>
  <w:style w:type="paragraph" w:styleId="1006">
    <w:name w:val="Heading 2"/>
    <w:basedOn w:val="1004"/>
    <w:next w:val="1004"/>
    <w:link w:val="101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7">
    <w:name w:val="Heading 3"/>
    <w:basedOn w:val="1004"/>
    <w:next w:val="1004"/>
    <w:link w:val="1014"/>
    <w:qFormat/>
    <w:pPr>
      <w:keepNext w:val="true"/>
      <w:pBdr/>
      <w:spacing w:before="60"/>
      <w:ind/>
      <w:outlineLvl w:val="2"/>
    </w:pPr>
    <w:rPr>
      <w:sz w:val="28"/>
      <w:szCs w:val="28"/>
    </w:rPr>
  </w:style>
  <w:style w:type="paragraph" w:styleId="1008">
    <w:name w:val="Heading 4"/>
    <w:basedOn w:val="1004"/>
    <w:next w:val="1004"/>
    <w:link w:val="1015"/>
    <w:qFormat/>
    <w:pPr>
      <w:keepNext w:val="true"/>
      <w:pBdr/>
      <w:spacing/>
      <w:ind/>
      <w:jc w:val="center"/>
      <w:outlineLvl w:val="3"/>
    </w:pPr>
    <w:rPr>
      <w:b/>
      <w:bCs/>
    </w:rPr>
  </w:style>
  <w:style w:type="character" w:styleId="1009" w:default="1">
    <w:name w:val="Default Paragraph Font"/>
    <w:uiPriority w:val="1"/>
    <w:semiHidden/>
    <w:unhideWhenUsed/>
    <w:pPr>
      <w:pBdr/>
      <w:spacing/>
      <w:ind/>
    </w:pPr>
  </w:style>
  <w:style w:type="table" w:styleId="101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1" w:default="1">
    <w:name w:val="No List"/>
    <w:uiPriority w:val="99"/>
    <w:semiHidden/>
    <w:unhideWhenUsed/>
    <w:pPr>
      <w:pBdr/>
      <w:spacing/>
      <w:ind/>
    </w:pPr>
  </w:style>
  <w:style w:type="character" w:styleId="1012" w:customStyle="1">
    <w:name w:val="Heading 1 Char"/>
    <w:basedOn w:val="1009"/>
    <w:link w:val="1005"/>
    <w:pPr>
      <w:pBdr/>
      <w:spacing/>
      <w:ind/>
    </w:pPr>
    <w:rPr>
      <w:rFonts w:ascii="Times New Roman" w:hAnsi="Times New Roman" w:eastAsia="Times New Roman" w:cs="Times New Roman"/>
      <w:b/>
      <w:bCs/>
      <w:sz w:val="27"/>
      <w:szCs w:val="27"/>
    </w:rPr>
  </w:style>
  <w:style w:type="character" w:styleId="1013" w:customStyle="1">
    <w:name w:val="Heading 2 Char"/>
    <w:basedOn w:val="1009"/>
    <w:link w:val="1006"/>
    <w:uiPriority w:val="9"/>
    <w:pPr>
      <w:pBdr/>
      <w:spacing/>
      <w:ind/>
    </w:pPr>
    <w:rPr>
      <w:rFonts w:asciiTheme="majorHAnsi" w:hAnsiTheme="majorHAnsi" w:eastAsiaTheme="majorEastAsia" w:cstheme="majorBidi"/>
      <w:color w:val="365f91" w:themeColor="accent1" w:themeShade="BF"/>
      <w:sz w:val="26"/>
      <w:szCs w:val="26"/>
    </w:rPr>
  </w:style>
  <w:style w:type="character" w:styleId="1014" w:customStyle="1">
    <w:name w:val="Heading 3 Char"/>
    <w:basedOn w:val="1009"/>
    <w:link w:val="1007"/>
    <w:pPr>
      <w:pBdr/>
      <w:spacing/>
      <w:ind/>
    </w:pPr>
    <w:rPr>
      <w:rFonts w:ascii="Times New Roman" w:hAnsi="Times New Roman" w:eastAsia="Times New Roman" w:cs="Times New Roman"/>
      <w:sz w:val="28"/>
      <w:szCs w:val="28"/>
    </w:rPr>
  </w:style>
  <w:style w:type="character" w:styleId="1015" w:customStyle="1">
    <w:name w:val="Heading 4 Char"/>
    <w:basedOn w:val="1009"/>
    <w:link w:val="1008"/>
    <w:pPr>
      <w:pBdr/>
      <w:spacing/>
      <w:ind/>
    </w:pPr>
    <w:rPr>
      <w:rFonts w:ascii="Times New Roman" w:hAnsi="Times New Roman" w:eastAsia="Times New Roman" w:cs="Times New Roman"/>
      <w:b/>
      <w:bCs/>
      <w:sz w:val="24"/>
      <w:szCs w:val="24"/>
    </w:rPr>
  </w:style>
  <w:style w:type="character" w:styleId="1016">
    <w:name w:val="Hyperlink"/>
    <w:uiPriority w:val="99"/>
    <w:pPr>
      <w:pBdr/>
      <w:spacing/>
      <w:ind/>
    </w:pPr>
    <w:rPr>
      <w:color w:val="000000"/>
      <w:u w:val="single"/>
    </w:rPr>
  </w:style>
  <w:style w:type="character" w:styleId="1017">
    <w:name w:val="Strong"/>
    <w:uiPriority w:val="22"/>
    <w:qFormat/>
    <w:pPr>
      <w:pBdr/>
      <w:spacing/>
      <w:ind/>
    </w:pPr>
    <w:rPr>
      <w:b/>
      <w:bCs/>
    </w:rPr>
  </w:style>
  <w:style w:type="paragraph" w:styleId="1018">
    <w:name w:val="Balloon Text"/>
    <w:basedOn w:val="1004"/>
    <w:link w:val="1019"/>
    <w:uiPriority w:val="99"/>
    <w:semiHidden/>
    <w:unhideWhenUsed/>
    <w:pPr>
      <w:pBdr/>
      <w:spacing/>
      <w:ind/>
    </w:pPr>
    <w:rPr>
      <w:rFonts w:ascii="Tahoma" w:hAnsi="Tahoma" w:cs="Tahoma"/>
      <w:sz w:val="16"/>
      <w:szCs w:val="16"/>
    </w:rPr>
  </w:style>
  <w:style w:type="character" w:styleId="1019" w:customStyle="1">
    <w:name w:val="Balloon Text Char"/>
    <w:basedOn w:val="1009"/>
    <w:link w:val="1018"/>
    <w:uiPriority w:val="99"/>
    <w:semiHidden/>
    <w:pPr>
      <w:pBdr/>
      <w:spacing/>
      <w:ind/>
    </w:pPr>
    <w:rPr>
      <w:rFonts w:ascii="Tahoma" w:hAnsi="Tahoma" w:eastAsia="Times New Roman" w:cs="Tahoma"/>
      <w:sz w:val="16"/>
      <w:szCs w:val="16"/>
    </w:rPr>
  </w:style>
  <w:style w:type="paragraph" w:styleId="1020">
    <w:name w:val="Header"/>
    <w:basedOn w:val="1004"/>
    <w:link w:val="1021"/>
    <w:unhideWhenUsed/>
    <w:pPr>
      <w:pBdr/>
      <w:tabs>
        <w:tab w:val="center" w:leader="none" w:pos="4680"/>
        <w:tab w:val="right" w:leader="none" w:pos="9360"/>
      </w:tabs>
      <w:spacing/>
      <w:ind/>
    </w:pPr>
  </w:style>
  <w:style w:type="character" w:styleId="1021" w:customStyle="1">
    <w:name w:val="Header Char"/>
    <w:basedOn w:val="1009"/>
    <w:link w:val="1020"/>
    <w:pPr>
      <w:pBdr/>
      <w:spacing/>
      <w:ind/>
    </w:pPr>
    <w:rPr>
      <w:rFonts w:ascii="Times New Roman" w:hAnsi="Times New Roman" w:eastAsia="Times New Roman" w:cs="Times New Roman"/>
      <w:sz w:val="24"/>
      <w:szCs w:val="24"/>
    </w:rPr>
  </w:style>
  <w:style w:type="paragraph" w:styleId="1022">
    <w:name w:val="Footer"/>
    <w:basedOn w:val="1004"/>
    <w:link w:val="1023"/>
    <w:uiPriority w:val="99"/>
    <w:unhideWhenUsed/>
    <w:pPr>
      <w:pBdr/>
      <w:tabs>
        <w:tab w:val="center" w:leader="none" w:pos="4680"/>
        <w:tab w:val="right" w:leader="none" w:pos="9360"/>
      </w:tabs>
      <w:spacing/>
      <w:ind/>
    </w:pPr>
  </w:style>
  <w:style w:type="character" w:styleId="1023" w:customStyle="1">
    <w:name w:val="Footer Char"/>
    <w:basedOn w:val="1009"/>
    <w:link w:val="1022"/>
    <w:uiPriority w:val="99"/>
    <w:pPr>
      <w:pBdr/>
      <w:spacing/>
      <w:ind/>
    </w:pPr>
    <w:rPr>
      <w:rFonts w:ascii="Times New Roman" w:hAnsi="Times New Roman" w:eastAsia="Times New Roman" w:cs="Times New Roman"/>
      <w:sz w:val="24"/>
      <w:szCs w:val="24"/>
    </w:rPr>
  </w:style>
  <w:style w:type="character" w:styleId="1024" w:customStyle="1">
    <w:name w:val="normal-h1"/>
    <w:pPr>
      <w:pBdr/>
      <w:spacing/>
      <w:ind/>
    </w:pPr>
    <w:rPr>
      <w:rFonts w:hint="default" w:ascii=".VnTime" w:hAnsi=".VnTime"/>
      <w:color w:val="0000ff"/>
      <w:sz w:val="24"/>
      <w:szCs w:val="24"/>
    </w:rPr>
  </w:style>
  <w:style w:type="paragraph" w:styleId="1025" w:customStyle="1">
    <w:name w:val="normal-p"/>
    <w:basedOn w:val="1004"/>
    <w:pPr>
      <w:pBdr/>
      <w:spacing/>
      <w:ind/>
      <w:jc w:val="both"/>
    </w:pPr>
    <w:rPr>
      <w:sz w:val="20"/>
      <w:szCs w:val="20"/>
    </w:rPr>
  </w:style>
  <w:style w:type="paragraph" w:styleId="1026">
    <w:name w:val="List Paragraph"/>
    <w:basedOn w:val="1004"/>
    <w:link w:val="1113"/>
    <w:uiPriority w:val="34"/>
    <w:qFormat/>
    <w:pPr>
      <w:pBdr/>
      <w:spacing/>
      <w:ind w:left="720"/>
    </w:pPr>
  </w:style>
  <w:style w:type="paragraph" w:styleId="1027">
    <w:name w:val="Normal (Web)"/>
    <w:basedOn w:val="1004"/>
    <w:uiPriority w:val="99"/>
    <w:pPr>
      <w:pBdr/>
      <w:spacing w:after="100" w:afterAutospacing="1" w:before="100" w:beforeAutospacing="1"/>
      <w:ind/>
    </w:pPr>
  </w:style>
  <w:style w:type="paragraph" w:styleId="1028">
    <w:name w:val="Body Text"/>
    <w:basedOn w:val="1004"/>
    <w:link w:val="1029"/>
    <w:pPr>
      <w:pBdr/>
      <w:spacing w:after="120"/>
      <w:ind/>
      <w:jc w:val="both"/>
    </w:pPr>
  </w:style>
  <w:style w:type="character" w:styleId="1029" w:customStyle="1">
    <w:name w:val="Body Text Char"/>
    <w:basedOn w:val="1009"/>
    <w:link w:val="1028"/>
    <w:pPr>
      <w:pBdr/>
      <w:spacing/>
      <w:ind/>
    </w:pPr>
    <w:rPr>
      <w:rFonts w:ascii="Times New Roman" w:hAnsi="Times New Roman" w:eastAsia="Times New Roman" w:cs="Times New Roman"/>
      <w:sz w:val="24"/>
      <w:szCs w:val="24"/>
    </w:rPr>
  </w:style>
  <w:style w:type="table" w:styleId="1030">
    <w:name w:val="Table Grid"/>
    <w:basedOn w:val="101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2">
    <w:name w:val="annotation reference"/>
    <w:basedOn w:val="1009"/>
    <w:uiPriority w:val="99"/>
    <w:semiHidden/>
    <w:unhideWhenUsed/>
    <w:pPr>
      <w:pBdr/>
      <w:spacing/>
      <w:ind/>
    </w:pPr>
    <w:rPr>
      <w:sz w:val="16"/>
      <w:szCs w:val="16"/>
    </w:rPr>
  </w:style>
  <w:style w:type="paragraph" w:styleId="1033">
    <w:name w:val="annotation text"/>
    <w:basedOn w:val="1004"/>
    <w:link w:val="1034"/>
    <w:uiPriority w:val="99"/>
    <w:unhideWhenUsed/>
    <w:pPr>
      <w:pBdr/>
      <w:spacing/>
      <w:ind/>
    </w:pPr>
    <w:rPr>
      <w:sz w:val="20"/>
      <w:szCs w:val="20"/>
    </w:rPr>
  </w:style>
  <w:style w:type="character" w:styleId="1034" w:customStyle="1">
    <w:name w:val="Comment Text Char"/>
    <w:basedOn w:val="1009"/>
    <w:link w:val="1033"/>
    <w:uiPriority w:val="99"/>
    <w:pPr>
      <w:pBdr/>
      <w:spacing/>
      <w:ind/>
    </w:pPr>
    <w:rPr>
      <w:rFonts w:ascii="Times New Roman" w:hAnsi="Times New Roman" w:eastAsia="Times New Roman" w:cs="Times New Roman"/>
      <w:sz w:val="20"/>
      <w:szCs w:val="20"/>
    </w:rPr>
  </w:style>
  <w:style w:type="paragraph" w:styleId="1035">
    <w:name w:val="annotation subject"/>
    <w:basedOn w:val="1033"/>
    <w:next w:val="1033"/>
    <w:link w:val="1036"/>
    <w:uiPriority w:val="99"/>
    <w:semiHidden/>
    <w:unhideWhenUsed/>
    <w:pPr>
      <w:pBdr/>
      <w:spacing/>
      <w:ind/>
    </w:pPr>
    <w:rPr>
      <w:b/>
      <w:bCs/>
    </w:rPr>
  </w:style>
  <w:style w:type="character" w:styleId="1036" w:customStyle="1">
    <w:name w:val="Comment Subject Char"/>
    <w:basedOn w:val="1034"/>
    <w:link w:val="1035"/>
    <w:uiPriority w:val="99"/>
    <w:semiHidden/>
    <w:pPr>
      <w:pBdr/>
      <w:spacing/>
      <w:ind/>
    </w:pPr>
    <w:rPr>
      <w:rFonts w:ascii="Times New Roman" w:hAnsi="Times New Roman" w:eastAsia="Times New Roman" w:cs="Times New Roman"/>
      <w:b/>
      <w:bCs/>
      <w:sz w:val="20"/>
      <w:szCs w:val="20"/>
    </w:rPr>
  </w:style>
  <w:style w:type="paragraph" w:styleId="1037" w:customStyle="1">
    <w:name w:val="font5"/>
    <w:basedOn w:val="1004"/>
    <w:pPr>
      <w:pBdr/>
      <w:spacing w:after="100" w:afterAutospacing="1" w:before="100" w:beforeAutospacing="1"/>
      <w:ind/>
    </w:pPr>
    <w:rPr>
      <w:rFonts w:ascii="Tahoma" w:hAnsi="Tahoma" w:cs="Tahoma"/>
      <w:color w:val="000000"/>
      <w:sz w:val="18"/>
      <w:szCs w:val="18"/>
    </w:rPr>
  </w:style>
  <w:style w:type="paragraph" w:styleId="1038" w:customStyle="1">
    <w:name w:val="font6"/>
    <w:basedOn w:val="1004"/>
    <w:pPr>
      <w:pBdr/>
      <w:spacing w:after="100" w:afterAutospacing="1" w:before="100" w:beforeAutospacing="1"/>
      <w:ind/>
    </w:pPr>
    <w:rPr>
      <w:rFonts w:ascii="Tahoma" w:hAnsi="Tahoma" w:cs="Tahoma"/>
      <w:b/>
      <w:bCs/>
      <w:color w:val="000000"/>
      <w:sz w:val="18"/>
      <w:szCs w:val="18"/>
    </w:rPr>
  </w:style>
  <w:style w:type="paragraph" w:styleId="1039" w:customStyle="1">
    <w:name w:val="xl233"/>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0" w:customStyle="1">
    <w:name w:val="xl234"/>
    <w:basedOn w:val="1004"/>
    <w:pPr>
      <w:pBdr/>
      <w:spacing w:after="100" w:afterAutospacing="1" w:before="100" w:beforeAutospacing="1"/>
      <w:ind/>
      <w:jc w:val="center"/>
    </w:pPr>
  </w:style>
  <w:style w:type="paragraph" w:styleId="1041" w:customStyle="1">
    <w:name w:val="xl235"/>
    <w:basedOn w:val="1004"/>
    <w:pPr>
      <w:pBdr/>
      <w:spacing w:after="100" w:afterAutospacing="1" w:before="100" w:beforeAutospacing="1"/>
      <w:ind/>
      <w:jc w:val="center"/>
    </w:pPr>
    <w:rPr>
      <w:b/>
      <w:bCs/>
    </w:rPr>
  </w:style>
  <w:style w:type="paragraph" w:styleId="1042" w:customStyle="1">
    <w:name w:val="xl236"/>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3" w:customStyle="1">
    <w:name w:val="xl23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4" w:customStyle="1">
    <w:name w:val="xl238"/>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5" w:customStyle="1">
    <w:name w:val="xl23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6" w:customStyle="1">
    <w:name w:val="xl240"/>
    <w:basedOn w:val="1004"/>
    <w:pPr>
      <w:pBdr/>
      <w:spacing w:after="100" w:afterAutospacing="1" w:before="100" w:beforeAutospacing="1"/>
      <w:ind/>
    </w:pPr>
  </w:style>
  <w:style w:type="paragraph" w:styleId="1047" w:customStyle="1">
    <w:name w:val="xl241"/>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8" w:customStyle="1">
    <w:name w:val="xl242"/>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9" w:customStyle="1">
    <w:name w:val="xl243"/>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0" w:customStyle="1">
    <w:name w:val="xl244"/>
    <w:basedOn w:val="1004"/>
    <w:pPr>
      <w:pBdr/>
      <w:spacing w:after="100" w:afterAutospacing="1" w:before="100" w:beforeAutospacing="1"/>
      <w:ind/>
    </w:pPr>
    <w:rPr>
      <w:b/>
      <w:bCs/>
    </w:rPr>
  </w:style>
  <w:style w:type="paragraph" w:styleId="1051" w:customStyle="1">
    <w:name w:val="xl245"/>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6"/>
    <w:basedOn w:val="100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3" w:customStyle="1">
    <w:name w:val="xl247"/>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48"/>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5" w:customStyle="1">
    <w:name w:val="xl24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6" w:customStyle="1">
    <w:name w:val="xl250"/>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7" w:customStyle="1">
    <w:name w:val="xl251"/>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5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3"/>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4"/>
    <w:basedOn w:val="100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5"/>
    <w:basedOn w:val="100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6"/>
    <w:basedOn w:val="100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8"/>
    <w:basedOn w:val="100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0"/>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1"/>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62"/>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9" w:customStyle="1">
    <w:name w:val="xl263"/>
    <w:basedOn w:val="1004"/>
    <w:pPr>
      <w:pBdr/>
      <w:shd w:val="clear" w:color="000000" w:fill="ffffff"/>
      <w:spacing w:after="100" w:afterAutospacing="1" w:before="100" w:beforeAutospacing="1"/>
      <w:ind/>
    </w:pPr>
  </w:style>
  <w:style w:type="paragraph" w:styleId="1070" w:customStyle="1">
    <w:name w:val="xl264"/>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5"/>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2" w:customStyle="1">
    <w:name w:val="xl26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3" w:customStyle="1">
    <w:name w:val="xl26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68"/>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69"/>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70"/>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7" w:customStyle="1">
    <w:name w:val="xl271"/>
    <w:basedOn w:val="100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8" w:customStyle="1">
    <w:name w:val="xl27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73"/>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0" w:customStyle="1">
    <w:name w:val="xl274"/>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1" w:customStyle="1">
    <w:name w:val="xl275"/>
    <w:basedOn w:val="1004"/>
    <w:pPr>
      <w:pBdr/>
      <w:spacing w:after="100" w:afterAutospacing="1" w:before="100" w:beforeAutospacing="1"/>
      <w:ind/>
    </w:pPr>
  </w:style>
  <w:style w:type="paragraph" w:styleId="1082" w:customStyle="1">
    <w:name w:val="xl27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3" w:customStyle="1">
    <w:name w:val="xl277"/>
    <w:basedOn w:val="100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4" w:customStyle="1">
    <w:name w:val="xl278"/>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7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80"/>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7" w:customStyle="1">
    <w:name w:val="xl281"/>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8" w:customStyle="1">
    <w:name w:val="xl28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9" w:customStyle="1">
    <w:name w:val="xl283"/>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4"/>
    <w:basedOn w:val="1004"/>
    <w:pPr>
      <w:pBdr>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5"/>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7"/>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8"/>
    <w:basedOn w:val="1004"/>
    <w:pPr>
      <w:pBdr>
        <w:top w:val="single" w:color="000000" w:sz="4" w:space="0"/>
        <w:left w:val="single" w:color="000000" w:sz="4" w:space="0"/>
        <w:right w:val="single" w:color="000000" w:sz="4" w:space="0"/>
      </w:pBdr>
      <w:spacing w:after="100" w:afterAutospacing="1" w:before="100" w:beforeAutospacing="1"/>
      <w:ind/>
    </w:pPr>
  </w:style>
  <w:style w:type="paragraph" w:styleId="1095" w:customStyle="1">
    <w:name w:val="xl289"/>
    <w:basedOn w:val="1004"/>
    <w:pPr>
      <w:pBdr>
        <w:left w:val="single" w:color="000000" w:sz="4" w:space="0"/>
        <w:right w:val="single" w:color="000000" w:sz="4" w:space="0"/>
      </w:pBdr>
      <w:spacing w:after="100" w:afterAutospacing="1" w:before="100" w:beforeAutospacing="1"/>
      <w:ind/>
    </w:pPr>
    <w:rPr>
      <w:b/>
      <w:bCs/>
    </w:rPr>
  </w:style>
  <w:style w:type="paragraph" w:styleId="1096" w:customStyle="1">
    <w:name w:val="xl290"/>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7" w:customStyle="1">
    <w:name w:val="xl291"/>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8" w:customStyle="1">
    <w:name w:val="xl292"/>
    <w:basedOn w:val="1004"/>
    <w:pPr>
      <w:pBdr>
        <w:top w:val="single" w:color="000000" w:sz="4" w:space="0"/>
        <w:left w:val="single" w:color="000000" w:sz="4" w:space="0"/>
        <w:right w:val="single" w:color="000000" w:sz="4" w:space="0"/>
      </w:pBdr>
      <w:spacing w:after="100" w:afterAutospacing="1" w:before="100" w:beforeAutospacing="1"/>
      <w:ind/>
    </w:pPr>
  </w:style>
  <w:style w:type="paragraph" w:styleId="1099" w:customStyle="1">
    <w:name w:val="xl293"/>
    <w:basedOn w:val="1004"/>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94"/>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name w:val="Title"/>
    <w:basedOn w:val="1004"/>
    <w:link w:val="1102"/>
    <w:qFormat/>
    <w:pPr>
      <w:pBdr/>
      <w:spacing/>
      <w:ind/>
      <w:jc w:val="center"/>
    </w:pPr>
    <w:rPr>
      <w:b/>
      <w:bCs/>
      <w:sz w:val="32"/>
      <w:szCs w:val="26"/>
    </w:rPr>
  </w:style>
  <w:style w:type="character" w:styleId="1102" w:customStyle="1">
    <w:name w:val="Title Char"/>
    <w:basedOn w:val="1009"/>
    <w:link w:val="1101"/>
    <w:pPr>
      <w:pBdr/>
      <w:spacing/>
      <w:ind/>
    </w:pPr>
    <w:rPr>
      <w:rFonts w:ascii="Times New Roman" w:hAnsi="Times New Roman" w:eastAsia="Times New Roman" w:cs="Times New Roman"/>
      <w:b/>
      <w:bCs/>
      <w:sz w:val="32"/>
      <w:szCs w:val="26"/>
    </w:rPr>
  </w:style>
  <w:style w:type="character" w:styleId="1103" w:customStyle="1">
    <w:name w:val="Unresolved Mention1"/>
    <w:basedOn w:val="1009"/>
    <w:uiPriority w:val="99"/>
    <w:semiHidden/>
    <w:unhideWhenUsed/>
    <w:pPr>
      <w:pBdr/>
      <w:spacing/>
      <w:ind/>
    </w:pPr>
    <w:rPr>
      <w:color w:val="605e5c"/>
      <w:shd w:val="clear" w:color="auto" w:fill="e1dfdd"/>
    </w:rPr>
  </w:style>
  <w:style w:type="character" w:styleId="1104" w:customStyle="1">
    <w:name w:val="Body text (3)_"/>
    <w:link w:val="1105"/>
    <w:pPr>
      <w:pBdr/>
      <w:spacing/>
      <w:ind/>
    </w:pPr>
    <w:rPr>
      <w:rFonts w:ascii="Times New Roman" w:hAnsi="Times New Roman" w:cs="Times New Roman"/>
      <w:i/>
      <w:iCs/>
      <w:spacing w:val="4"/>
      <w:shd w:val="clear" w:color="auto" w:fill="ffffff"/>
    </w:rPr>
  </w:style>
  <w:style w:type="paragraph" w:styleId="1105" w:customStyle="1">
    <w:name w:val="Body text (3)1"/>
    <w:basedOn w:val="1004"/>
    <w:link w:val="110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6" w:customStyle="1">
    <w:name w:val="t-j"/>
    <w:basedOn w:val="1004"/>
    <w:pPr>
      <w:pBdr/>
      <w:spacing w:after="100" w:afterAutospacing="1" w:before="100" w:beforeAutospacing="1"/>
      <w:ind/>
    </w:pPr>
  </w:style>
  <w:style w:type="character" w:styleId="1107" w:customStyle="1">
    <w:name w:val="Unresolved Mention2"/>
    <w:basedOn w:val="1009"/>
    <w:uiPriority w:val="99"/>
    <w:semiHidden/>
    <w:unhideWhenUsed/>
    <w:pPr>
      <w:pBdr/>
      <w:spacing/>
      <w:ind/>
    </w:pPr>
    <w:rPr>
      <w:color w:val="605e5c"/>
      <w:shd w:val="clear" w:color="auto" w:fill="e1dfdd"/>
    </w:rPr>
  </w:style>
  <w:style w:type="character" w:styleId="1108">
    <w:name w:val="FollowedHyperlink"/>
    <w:basedOn w:val="1009"/>
    <w:uiPriority w:val="99"/>
    <w:semiHidden/>
    <w:unhideWhenUsed/>
    <w:pPr>
      <w:pBdr/>
      <w:spacing/>
      <w:ind/>
    </w:pPr>
    <w:rPr>
      <w:color w:val="800080" w:themeColor="followedHyperlink"/>
      <w:u w:val="single"/>
    </w:rPr>
  </w:style>
  <w:style w:type="character" w:styleId="1109" w:customStyle="1">
    <w:name w:val="text"/>
    <w:basedOn w:val="1009"/>
    <w:pPr>
      <w:pBdr/>
      <w:spacing/>
      <w:ind/>
    </w:pPr>
  </w:style>
  <w:style w:type="character" w:styleId="1110" w:customStyle="1">
    <w:name w:val="card-send-time__sendtime"/>
    <w:basedOn w:val="1009"/>
    <w:pPr>
      <w:pBdr/>
      <w:spacing/>
      <w:ind/>
    </w:pPr>
  </w:style>
  <w:style w:type="character" w:styleId="1111" w:customStyle="1">
    <w:name w:val="Đề cập Chưa giải quyết1"/>
    <w:basedOn w:val="1009"/>
    <w:uiPriority w:val="99"/>
    <w:semiHidden/>
    <w:unhideWhenUsed/>
    <w:pPr>
      <w:pBdr/>
      <w:spacing/>
      <w:ind/>
    </w:pPr>
    <w:rPr>
      <w:color w:val="605e5c"/>
      <w:shd w:val="clear" w:color="auto" w:fill="e1dfdd"/>
    </w:rPr>
  </w:style>
  <w:style w:type="paragraph" w:styleId="1112" w:customStyle="1">
    <w:name w:val="nqtitle"/>
    <w:basedOn w:val="1004"/>
    <w:pPr>
      <w:pBdr/>
      <w:spacing w:after="100" w:afterAutospacing="1" w:before="100" w:beforeAutospacing="1"/>
      <w:ind/>
    </w:pPr>
    <w:rPr>
      <w:lang w:val="vi-VN" w:eastAsia="vi-VN"/>
    </w:rPr>
  </w:style>
  <w:style w:type="character" w:styleId="1113" w:customStyle="1">
    <w:name w:val="List Paragraph Char"/>
    <w:link w:val="1026"/>
    <w:uiPriority w:val="34"/>
    <w:qFormat/>
    <w:pPr>
      <w:pBdr/>
      <w:spacing/>
      <w:ind/>
    </w:pPr>
    <w:rPr>
      <w:rFonts w:ascii="Times New Roman" w:hAnsi="Times New Roman" w:eastAsia="Times New Roman" w:cs="Times New Roman"/>
      <w:sz w:val="24"/>
      <w:szCs w:val="24"/>
    </w:rPr>
  </w:style>
  <w:style w:type="character" w:styleId="1114" w:customStyle="1">
    <w:name w:val="Đề cập Chưa giải quyết2"/>
    <w:basedOn w:val="1009"/>
    <w:uiPriority w:val="99"/>
    <w:semiHidden/>
    <w:unhideWhenUsed/>
    <w:pPr>
      <w:pBdr/>
      <w:spacing/>
      <w:ind/>
    </w:pPr>
    <w:rPr>
      <w:color w:val="605e5c"/>
      <w:shd w:val="clear" w:color="auto" w:fill="e1dfdd"/>
    </w:rPr>
  </w:style>
  <w:style w:type="character" w:styleId="1115" w:customStyle="1">
    <w:name w:val="Unresolved Mention3"/>
    <w:basedOn w:val="1009"/>
    <w:uiPriority w:val="99"/>
    <w:semiHidden/>
    <w:unhideWhenUsed/>
    <w:pPr>
      <w:pBdr/>
      <w:spacing/>
      <w:ind/>
    </w:pPr>
    <w:rPr>
      <w:color w:val="605e5c"/>
      <w:shd w:val="clear" w:color="auto" w:fill="e1dfdd"/>
    </w:rPr>
  </w:style>
  <w:style w:type="character" w:styleId="1116" w:customStyle="1">
    <w:name w:val="copy"/>
    <w:basedOn w:val="1009"/>
    <w:pPr>
      <w:pBdr/>
      <w:spacing/>
      <w:ind/>
    </w:pPr>
  </w:style>
  <w:style w:type="paragraph" w:styleId="1117" w:customStyle="1">
    <w:name w:val="align-justify"/>
    <w:basedOn w:val="1004"/>
    <w:pPr>
      <w:pBdr/>
      <w:spacing w:after="100" w:afterAutospacing="1" w:before="100" w:beforeAutospacing="1"/>
      <w:ind/>
    </w:pPr>
  </w:style>
  <w:style w:type="character" w:styleId="1118" w:customStyle="1">
    <w:name w:val="btn"/>
    <w:basedOn w:val="1009"/>
    <w:pPr>
      <w:pBdr/>
      <w:spacing/>
      <w:ind/>
    </w:pPr>
  </w:style>
  <w:style w:type="character" w:styleId="1119" w:customStyle="1">
    <w:name w:val="hide_mobile"/>
    <w:basedOn w:val="1009"/>
    <w:pPr>
      <w:pBdr/>
      <w:spacing/>
      <w:ind/>
    </w:pPr>
  </w:style>
  <w:style w:type="character" w:styleId="1120">
    <w:name w:val="Emphasis"/>
    <w:basedOn w:val="1009"/>
    <w:uiPriority w:val="20"/>
    <w:qFormat/>
    <w:pPr>
      <w:pBdr/>
      <w:spacing/>
      <w:ind/>
    </w:pPr>
    <w:rPr>
      <w:i/>
      <w:iCs/>
    </w:rPr>
  </w:style>
  <w:style w:type="character" w:styleId="1121" w:customStyle="1">
    <w:name w:val="t1"/>
    <w:basedOn w:val="1009"/>
    <w:pPr>
      <w:pBdr/>
      <w:spacing/>
      <w:ind/>
    </w:pPr>
  </w:style>
  <w:style w:type="character" w:styleId="1122" w:customStyle="1">
    <w:name w:val="Unresolved Mention4"/>
    <w:basedOn w:val="1009"/>
    <w:uiPriority w:val="99"/>
    <w:semiHidden/>
    <w:unhideWhenUsed/>
    <w:pPr>
      <w:pBdr/>
      <w:spacing/>
      <w:ind/>
    </w:pPr>
    <w:rPr>
      <w:color w:val="605e5c"/>
      <w:shd w:val="clear" w:color="auto" w:fill="e1dfdd"/>
    </w:rPr>
  </w:style>
  <w:style w:type="character" w:styleId="1123">
    <w:name w:val="Unresolved Mention"/>
    <w:basedOn w:val="100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Đăng Hiếu</cp:lastModifiedBy>
  <cp:revision>271</cp:revision>
  <dcterms:created xsi:type="dcterms:W3CDTF">2025-09-15T09:58:00Z</dcterms:created>
  <dcterms:modified xsi:type="dcterms:W3CDTF">2025-12-30T10:15:32Z</dcterms:modified>
</cp:coreProperties>
</file>