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116554</wp:posOffset>
                </wp:positionV>
                <wp:extent cx="5467350" cy="3801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016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bCs/>
                                <w14:ligatures w14:val="none"/>
                              </w:rPr>
                            </w:pPr>
                            <w:r>
                              <w:rPr>
                                <w:b/>
                              </w:rPr>
                              <w:t xml:space="preserve">Số</w:t>
                            </w:r>
                            <w:r>
                              <w:rPr>
                                <w:b/>
                              </w:rPr>
                              <w:t xml:space="preserve">: </w:t>
                            </w:r>
                            <w:r>
                              <w:rPr>
                                <w:b/>
                                <w:bCs/>
                                <w:highlight w:val="none"/>
                              </w:rPr>
                              <w:t xml:space="preserve">275/2026/0022/VFI-CT.51.A</w:t>
                            </w:r>
                            <w:r>
                              <w:rPr>
                                <w:b/>
                                <w:bCs/>
                                <w14:ligatures w14:val="none"/>
                              </w:rPr>
                            </w:r>
                            <w:r>
                              <w:rPr>
                                <w:b/>
                                <w:bCs/>
                                <w14:ligatures w14:val="none"/>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VĂN VỊNH</w:t>
                            </w:r>
                            <w:r>
                              <w:rPr>
                                <w:rFonts w:ascii="Times New Roman Bold" w:hAnsi="Times New Roman Bold"/>
                                <w:b/>
                                <w:lang w:val="pt-BR"/>
                              </w:rPr>
                            </w:r>
                            <w:r>
                              <w:rPr>
                                <w:rFonts w:ascii="Times New Roman Bold" w:hAnsi="Times New Roman Bold"/>
                                <w:b/>
                                <w:lang w:val="pt-BR"/>
                              </w:rPr>
                            </w:r>
                          </w:p>
                          <w:p w14:paraId="76A67289">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 tại thửa đất số:332, tờ bản đồ số: 5 có địa chỉ: Thôn Hòa Mỹ, xã Hồng Minh, huyện Phú Xuyên, Thành phố Hà Nội (</w:t>
                            </w:r>
                            <w:r>
                              <w:rPr>
                                <w:rFonts w:ascii="Times New Roman" w:hAnsi="Times New Roman" w:eastAsia="Times New Roman" w:cs="Times New Roman"/>
                                <w:i/>
                                <w:iCs/>
                                <w:color w:val="000000"/>
                                <w:spacing w:val="3"/>
                                <w:sz w:val="24"/>
                                <w:highlight w:val="white"/>
                              </w:rPr>
                              <w:t xml:space="preserve">nay là xã Phương Dực, Thành phố Hà Nội</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BI 152571, số vào sổ cấp GCN: CH 00136 do UBND huyện Phú Xuyên </w:t>
                            </w:r>
                            <w:r>
                              <w:rPr>
                                <w:rFonts w:ascii="Times New Roman" w:hAnsi="Times New Roman" w:eastAsia="Times New Roman" w:cs="Times New Roman"/>
                                <w:color w:val="000000"/>
                                <w:spacing w:val="3"/>
                                <w:sz w:val="24"/>
                                <w:highlight w:val="white"/>
                              </w:rPr>
                              <w:t xml:space="preserve">cấp ngày 08/02/2012 cho </w:t>
                            </w:r>
                            <w:r>
                              <w:rPr>
                                <w:rFonts w:ascii="Times New Roman" w:hAnsi="Times New Roman" w:eastAsia="Times New Roman" w:cs="Times New Roman"/>
                                <w:color w:val="000000"/>
                                <w:spacing w:val="3"/>
                                <w:sz w:val="24"/>
                              </w:rPr>
                              <w:t xml:space="preserve">hộ Ông Nguyễn Văn Vịnh.</w:t>
                            </w:r>
                            <w:r/>
                          </w:p>
                          <w:p w14:paraId="7378FCEA">
                            <w:pPr>
                              <w:pBdr/>
                              <w:spacing w:after="120" w:before="120" w:line="360" w:lineRule="auto"/>
                              <w:ind/>
                              <w:jc w:val="both"/>
                              <w:rPr>
                                <w:bCs/>
                                <w:i/>
                              </w:rPr>
                            </w:pPr>
                            <w:r>
                              <w:rPr>
                                <w:b/>
                              </w:rPr>
                            </w:r>
                            <w:r>
                              <w:rPr>
                                <w:bCs/>
                                <w:i/>
                              </w:rPr>
                            </w:r>
                            <w:r>
                              <w:rPr>
                                <w:bCs/>
                                <w:i/>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9.18pt;mso-position-vertical:absolute;width:430.50pt;height:299.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bCs/>
                          <w14:ligatures w14:val="none"/>
                        </w:rPr>
                      </w:pPr>
                      <w:r>
                        <w:rPr>
                          <w:b/>
                        </w:rPr>
                        <w:t xml:space="preserve">Số</w:t>
                      </w:r>
                      <w:r>
                        <w:rPr>
                          <w:b/>
                        </w:rPr>
                        <w:t xml:space="preserve">: </w:t>
                      </w:r>
                      <w:r>
                        <w:rPr>
                          <w:b/>
                          <w:bCs/>
                          <w:highlight w:val="none"/>
                        </w:rPr>
                        <w:t xml:space="preserve">275/2026/0022/VFI-CT.51.A</w:t>
                      </w:r>
                      <w:r>
                        <w:rPr>
                          <w:b/>
                          <w:bCs/>
                          <w14:ligatures w14:val="none"/>
                        </w:rPr>
                      </w:r>
                      <w:r>
                        <w:rPr>
                          <w:b/>
                          <w:bCs/>
                          <w14:ligatures w14:val="none"/>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VĂN VỊNH</w:t>
                      </w:r>
                      <w:r>
                        <w:rPr>
                          <w:rFonts w:ascii="Times New Roman Bold" w:hAnsi="Times New Roman Bold"/>
                          <w:b/>
                          <w:lang w:val="pt-BR"/>
                        </w:rPr>
                      </w:r>
                      <w:r>
                        <w:rPr>
                          <w:rFonts w:ascii="Times New Roman Bold" w:hAnsi="Times New Roman Bold"/>
                          <w:b/>
                          <w:lang w:val="pt-BR"/>
                        </w:rPr>
                      </w:r>
                    </w:p>
                    <w:p w14:paraId="76A67289">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 tại thửa đất số:332, tờ bản đồ số: 5 có địa chỉ: Thôn Hòa Mỹ, xã Hồng Minh, huyện Phú Xuyên, Thành phố Hà Nội (</w:t>
                      </w:r>
                      <w:r>
                        <w:rPr>
                          <w:rFonts w:ascii="Times New Roman" w:hAnsi="Times New Roman" w:eastAsia="Times New Roman" w:cs="Times New Roman"/>
                          <w:i/>
                          <w:iCs/>
                          <w:color w:val="000000"/>
                          <w:spacing w:val="3"/>
                          <w:sz w:val="24"/>
                          <w:highlight w:val="white"/>
                        </w:rPr>
                        <w:t xml:space="preserve">nay là xã Phương Dực, Thành phố Hà Nội</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BI 152571, số vào sổ cấp GCN: CH 00136 do UBND huyện Phú Xuyên </w:t>
                      </w:r>
                      <w:r>
                        <w:rPr>
                          <w:rFonts w:ascii="Times New Roman" w:hAnsi="Times New Roman" w:eastAsia="Times New Roman" w:cs="Times New Roman"/>
                          <w:color w:val="000000"/>
                          <w:spacing w:val="3"/>
                          <w:sz w:val="24"/>
                          <w:highlight w:val="white"/>
                        </w:rPr>
                        <w:t xml:space="preserve">cấp ngày 08/02/2012 cho </w:t>
                      </w:r>
                      <w:r>
                        <w:rPr>
                          <w:rFonts w:ascii="Times New Roman" w:hAnsi="Times New Roman" w:eastAsia="Times New Roman" w:cs="Times New Roman"/>
                          <w:color w:val="000000"/>
                          <w:spacing w:val="3"/>
                          <w:sz w:val="24"/>
                        </w:rPr>
                        <w:t xml:space="preserve">hộ Ông Nguyễn Văn Vịnh.</w:t>
                      </w:r>
                      <w:r/>
                    </w:p>
                    <w:p w14:paraId="7378FCEA">
                      <w:pPr>
                        <w:pBdr/>
                        <w:spacing w:after="120" w:before="120" w:line="360" w:lineRule="auto"/>
                        <w:ind/>
                        <w:jc w:val="both"/>
                        <w:rPr>
                          <w:bCs/>
                          <w:i/>
                        </w:rPr>
                      </w:pPr>
                      <w:r>
                        <w:rPr>
                          <w:b/>
                        </w:rPr>
                      </w:r>
                      <w:r>
                        <w:rPr>
                          <w:bCs/>
                          <w:i/>
                        </w:rPr>
                      </w:r>
                      <w:r>
                        <w:rPr>
                          <w:bCs/>
                          <w:i/>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Fonts w:ascii="Times New Roman" w:hAnsi="Times New Roman" w:eastAsia="Times New Roman" w:cs="Times New Roman"/>
                <w:color w:val="081b3a"/>
                <w:spacing w:val="3"/>
                <w:sz w:val="22"/>
                <w:szCs w:val="22"/>
                <w:highlight w:val="none"/>
              </w:rPr>
              <w:t xml:space="preserve">275/2026/0022/VFI-CT.51.A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08 tháng 1 năm 2026</w:t>
            </w:r>
            <w:r>
              <w:rPr>
                <w:color w:val="000000" w:themeColor="text1"/>
                <w:sz w:val="24"/>
                <w:szCs w:val="24"/>
                <w:lang w:val="vi-VN"/>
              </w:rPr>
            </w:r>
            <w:r>
              <w:rPr>
                <w:color w:val="000000" w:themeColor="text1"/>
                <w:sz w:val="24"/>
                <w:szCs w:val="24"/>
                <w:lang w:val="vi-VN"/>
              </w:rPr>
            </w:r>
          </w:p>
        </w:tc>
      </w:tr>
    </w:tbl>
    <w:p w14:paraId="60EC0402" w14:textId="3594439F">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w:hAnsi="Times New Roman" w:eastAsia="Times New Roman" w:cs="Times New Roman"/>
          <w:b/>
          <w:color w:val="000000"/>
          <w:sz w:val="24"/>
        </w:rPr>
        <w:t xml:space="preserve">ÔNG NGUYỄN VĂN VỊNH</w:t>
      </w:r>
      <w:r>
        <w:rPr>
          <w:rFonts w:ascii="Times New Roman Bold" w:hAnsi="Times New Roman Bold"/>
          <w:b/>
          <w:lang w:val="pt-BR"/>
        </w:rPr>
      </w:r>
      <w:r>
        <w:rPr>
          <w:rFonts w:ascii="Times New Roman Bold" w:hAnsi="Times New Roman Bold"/>
          <w:b/>
          <w:lang w:val="pt-BR"/>
        </w:rPr>
      </w:r>
    </w:p>
    <w:p w14:paraId="2FBE1F03">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0"/>
        <w:jc w:val="both"/>
        <w:rPr/>
      </w:pPr>
      <w:r>
        <w:rPr>
          <w:spacing w:val="-4"/>
          <w:lang w:val="vi-VN"/>
        </w:rPr>
        <w:tab/>
      </w:r>
      <w:r>
        <w:rPr>
          <w:rFonts w:ascii="Times New Roman" w:hAnsi="Times New Roman" w:eastAsia="Times New Roman" w:cs="Times New Roman"/>
          <w:color w:val="000000"/>
          <w:spacing w:val="-4"/>
          <w:sz w:val="24"/>
        </w:rPr>
        <w:t xml:space="preserve">Căn cứ Hợp đồng dịch vụ thẩm định giá số: 275/2026/0022/VFI-HĐTĐ.51.A ký ngày 08/01/2026 giữa Ông Nguyễn Văn Vịnh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14:paraId="1D84A86F">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275/2026/0022/VFI-BC.51.A ngày </w:t>
      </w:r>
      <w:r>
        <w:rPr>
          <w:rFonts w:ascii="Times New Roman" w:hAnsi="Times New Roman" w:eastAsia="Times New Roman" w:cs="Times New Roman"/>
          <w:color w:val="000000"/>
          <w:spacing w:val="-4"/>
          <w:sz w:val="24"/>
        </w:rPr>
        <w:t xml:space="preserve">08/01/2026 </w:t>
      </w:r>
      <w:r>
        <w:rPr>
          <w:rFonts w:ascii="Times New Roman" w:hAnsi="Times New Roman" w:eastAsia="Times New Roman" w:cs="Times New Roman"/>
          <w:color w:val="000000"/>
          <w:spacing w:val="-2"/>
          <w:sz w:val="24"/>
        </w:rPr>
        <w:t xml:space="preserve">của Công ty Cổ phần Thẩm định và Đầu tư Tài chính Hoa Sen;</w:t>
      </w:r>
      <w:r/>
    </w:p>
    <w:p w14:paraId="613D78A6">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Văn Vịnh</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001065015439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Ngày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01/07/1965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Bóng, xã Hồng Minh, huyện Phú Xuyên,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sử dụng đất tại thửa đất số:332, tờ bản đồ số: 5 có địa chỉ: Thôn Hòa Mỹ, xã Hồng Minh, huyện Phú Xuyên, Thành phố Hà Nội (</w:t>
      </w:r>
      <w:r>
        <w:rPr>
          <w:rFonts w:ascii="Times New Roman" w:hAnsi="Times New Roman" w:eastAsia="Times New Roman" w:cs="Times New Roman"/>
          <w:i/>
          <w:iCs/>
          <w:color w:val="000000"/>
          <w:spacing w:val="3"/>
          <w:sz w:val="24"/>
          <w:highlight w:val="white"/>
        </w:rPr>
        <w:t xml:space="preserve">nay là xã Phương Dực, Thành phố Hà Nội</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BI 152571, số vào sổ cấp GCN: CH 00136 do UBND huyện Phú Xuyên </w:t>
      </w:r>
      <w:r>
        <w:rPr>
          <w:rFonts w:ascii="Times New Roman" w:hAnsi="Times New Roman" w:eastAsia="Times New Roman" w:cs="Times New Roman"/>
          <w:color w:val="000000"/>
          <w:spacing w:val="3"/>
          <w:sz w:val="24"/>
          <w:highlight w:val="white"/>
        </w:rPr>
        <w:t xml:space="preserve">cấp ngày 08/02/2012 cho </w:t>
      </w:r>
      <w:r>
        <w:rPr>
          <w:rFonts w:ascii="Times New Roman" w:hAnsi="Times New Roman" w:eastAsia="Times New Roman" w:cs="Times New Roman"/>
          <w:color w:val="000000"/>
          <w:spacing w:val="3"/>
          <w:sz w:val="24"/>
        </w:rPr>
        <w:t xml:space="preserve">hộ Ông Nguyễn Văn Vịnh.</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số:332, tờ bản đồ số: 5 có địa chỉ: Thôn Hòa Mỹ, xã Hồng Minh, huyện Phú Xuyên, Thành phố Hà Nội (</w:t>
            </w:r>
            <w:r>
              <w:rPr>
                <w:rFonts w:ascii="Times New Roman" w:hAnsi="Times New Roman" w:eastAsia="Times New Roman" w:cs="Times New Roman"/>
                <w:b/>
                <w:bCs/>
                <w:i/>
                <w:iCs/>
                <w:color w:val="000000"/>
                <w:spacing w:val="3"/>
                <w:sz w:val="24"/>
                <w:highlight w:val="white"/>
              </w:rPr>
              <w:t xml:space="preserve">nay là xã Phương Dực, Thành phố Hà Nội</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tài sản gắn liền với đất: BI 152571, số vào sổ cấp GCN: CH 00136 do UBND huyện Phú Xuyên </w:t>
            </w:r>
            <w:r>
              <w:rPr>
                <w:rFonts w:ascii="Times New Roman" w:hAnsi="Times New Roman" w:eastAsia="Times New Roman" w:cs="Times New Roman"/>
                <w:b/>
                <w:bCs/>
                <w:color w:val="000000"/>
                <w:spacing w:val="3"/>
                <w:sz w:val="24"/>
                <w:highlight w:val="white"/>
              </w:rPr>
              <w:t xml:space="preserve">cấp ngày 08/02/2012 cho </w:t>
            </w:r>
            <w:r>
              <w:rPr>
                <w:rFonts w:ascii="Times New Roman" w:hAnsi="Times New Roman" w:eastAsia="Times New Roman" w:cs="Times New Roman"/>
                <w:b/>
                <w:bCs/>
                <w:color w:val="000000"/>
                <w:spacing w:val="3"/>
                <w:sz w:val="24"/>
              </w:rPr>
              <w:t xml:space="preserve">hộ Ông Nguyễn Văn Vịnh.</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381"/>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84.000.000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10.080.000.000</w:t>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10.080.000.000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tám mươi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46469"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Fonts w:ascii="Times New Roman" w:hAnsi="Times New Roman" w:eastAsia="Times New Roman" w:cs="Times New Roman"/>
                <w:color w:val="081b3a"/>
                <w:spacing w:val="3"/>
                <w:sz w:val="24"/>
                <w:szCs w:val="24"/>
                <w:highlight w:val="none"/>
              </w:rPr>
              <w:t xml:space="preserve">275/2026/0022/VFI-BC.51.A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08 tháng 1 năm 2026</w:t>
            </w:r>
            <w:r>
              <w:rPr>
                <w:color w:val="000000" w:themeColor="text1"/>
                <w:sz w:val="24"/>
                <w:szCs w:val="24"/>
                <w:lang w:val="vi-VN"/>
              </w:rPr>
            </w:r>
            <w:r>
              <w:rPr>
                <w:color w:val="000000" w:themeColor="text1"/>
                <w:sz w:val="24"/>
                <w:szCs w:val="24"/>
                <w:lang w:val="vi-VN"/>
              </w:rPr>
            </w:r>
          </w:p>
        </w:tc>
      </w:tr>
    </w:tbl>
    <w:p w14:paraId="53E21BF3" w14:textId="59EB6EC9">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6"/>
        <w:pBdr/>
        <w:tabs>
          <w:tab w:val="left" w:leader="none" w:pos="0"/>
          <w:tab w:val="left" w:leader="none" w:pos="4820"/>
        </w:tabs>
        <w:spacing w:after="200" w:before="100" w:line="340" w:lineRule="atLeast"/>
        <w:ind w:hanging="180"/>
        <w:rPr>
          <w:b w:val="0"/>
          <w:bCs w:val="0"/>
          <w:i/>
          <w:spacing w:val="-6"/>
          <w:sz w:val="24"/>
          <w:szCs w:val="24"/>
        </w:rPr>
      </w:pPr>
      <w:r>
        <w:rPr>
          <w:b w:val="0"/>
          <w:bCs w:val="0"/>
          <w:i/>
          <w:spacing w:val="-6"/>
          <w:sz w:val="24"/>
          <w:szCs w:val="24"/>
          <w:lang w:val="pt-BR"/>
        </w:rPr>
        <w:t xml:space="preserve">(</w:t>
      </w:r>
      <w:r>
        <w:rPr>
          <w:rFonts w:ascii="Times New Roman" w:hAnsi="Times New Roman" w:eastAsia="Times New Roman" w:cs="Times New Roman"/>
          <w:b w:val="0"/>
          <w:bCs w:val="0"/>
          <w:i/>
          <w:color w:val="000000"/>
          <w:spacing w:val="-6"/>
          <w:sz w:val="24"/>
        </w:rPr>
        <w:t xml:space="preserve">Kèm theo Chứng thư thẩm định giá số: </w:t>
      </w:r>
      <w:r>
        <w:rPr>
          <w:rFonts w:ascii="Times New Roman" w:hAnsi="Times New Roman" w:eastAsia="Times New Roman" w:cs="Times New Roman"/>
          <w:b w:val="0"/>
          <w:bCs w:val="0"/>
          <w:i/>
          <w:color w:val="081b3a"/>
          <w:spacing w:val="3"/>
          <w:sz w:val="24"/>
        </w:rPr>
        <w:t xml:space="preserve">275/2026/0022</w:t>
      </w:r>
      <w:r>
        <w:rPr>
          <w:rFonts w:ascii="Times New Roman" w:hAnsi="Times New Roman" w:eastAsia="Times New Roman" w:cs="Times New Roman"/>
          <w:b w:val="0"/>
          <w:bCs w:val="0"/>
          <w:i/>
          <w:color w:val="081b3a"/>
          <w:spacing w:val="3"/>
          <w:sz w:val="24"/>
        </w:rPr>
        <w:t xml:space="preserve">/VFI-CT.51.A</w:t>
      </w:r>
      <w:r>
        <w:rPr>
          <w:rFonts w:ascii="Times New Roman" w:hAnsi="Times New Roman" w:eastAsia="Times New Roman" w:cs="Times New Roman"/>
          <w:b w:val="0"/>
          <w:bCs w:val="0"/>
          <w:i/>
          <w:color w:val="000000"/>
          <w:spacing w:val="-6"/>
          <w:sz w:val="24"/>
        </w:rPr>
        <w:t xml:space="preserve"> </w:t>
      </w:r>
      <w:r>
        <w:rPr>
          <w:rFonts w:ascii="Times New Roman" w:hAnsi="Times New Roman" w:eastAsia="Times New Roman" w:cs="Times New Roman"/>
          <w:b w:val="0"/>
          <w:bCs w:val="0"/>
          <w:i/>
          <w:color w:val="000000"/>
          <w:spacing w:val="-6"/>
          <w:sz w:val="24"/>
        </w:rPr>
        <w:t xml:space="preserve">ngày 8 tháng 1 năm 2026</w:t>
      </w:r>
      <w:r>
        <w:rPr>
          <w:b w:val="0"/>
          <w:bCs w:val="0"/>
          <w:i/>
          <w:spacing w:val="-6"/>
          <w:sz w:val="24"/>
          <w:szCs w:val="24"/>
          <w:lang w:val="pt-BR"/>
        </w:rPr>
        <w:t xml:space="preserve">)</w:t>
      </w:r>
      <w:r>
        <w:rPr>
          <w:b w:val="0"/>
          <w:bCs w:val="0"/>
          <w:i/>
          <w:spacing w:val="-6"/>
          <w:sz w:val="24"/>
          <w:szCs w:val="24"/>
        </w:rPr>
      </w:r>
      <w:r>
        <w:rPr>
          <w:b w:val="0"/>
          <w:bCs w:val="0"/>
          <w:i/>
          <w:spacing w:val="-6"/>
          <w:sz w:val="24"/>
          <w:szCs w:val="24"/>
        </w:rPr>
      </w:r>
    </w:p>
    <w:p w14:paraId="115F5EC5" w14:textId="3D6167EF">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30566A2">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3381B04E">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1B45499">
            <w:pPr>
              <w:pBdr/>
              <w:spacing/>
              <w:ind/>
              <w:rPr/>
            </w:pPr>
            <w:r>
              <w:rPr>
                <w:b/>
                <w:bCs/>
              </w:rPr>
              <w:t xml:space="preserve">Nguyễn Văn Vịnh</w:t>
            </w:r>
            <w:r/>
          </w:p>
        </w:tc>
      </w:tr>
      <w:tr>
        <w:trPr>
          <w:trHeight w:val="20"/>
        </w:trPr>
        <w:tc>
          <w:tcPr>
            <w:tcBorders/>
            <w:tcW w:w="2518" w:type="dxa"/>
            <w:vAlign w:val="center"/>
            <w:textDirection w:val="lrTb"/>
            <w:noWrap w:val="false"/>
          </w:tcPr>
          <w:p w14:paraId="0E8B7FE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52A3475A">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9C45B29">
            <w:pPr>
              <w:pBdr/>
              <w:spacing w:after="40" w:before="40" w:line="276" w:lineRule="auto"/>
              <w:ind/>
              <w:jc w:val="both"/>
              <w:rPr>
                <w:color w:val="ff0000"/>
                <w:lang w:val="pt-BR"/>
              </w:rPr>
            </w:pPr>
            <w:r>
              <w:rPr>
                <w:color w:val="000000" w:themeColor="text1"/>
                <w:lang w:val="vi-VN"/>
              </w:rPr>
              <w:t xml:space="preserve">001065015439</w:t>
            </w:r>
            <w:r>
              <w:rPr>
                <w:color w:val="ff0000"/>
                <w:lang w:val="pt-BR"/>
              </w:rPr>
            </w:r>
            <w:r>
              <w:rPr>
                <w:color w:val="ff0000"/>
                <w:lang w:val="pt-BR"/>
              </w:rPr>
            </w:r>
          </w:p>
        </w:tc>
      </w:tr>
      <w:tr>
        <w:trPr>
          <w:trHeight w:val="20"/>
        </w:trPr>
        <w:tc>
          <w:tcPr>
            <w:tcBorders/>
            <w:tcW w:w="2518" w:type="dxa"/>
            <w:vAlign w:val="center"/>
            <w:textDirection w:val="lrTb"/>
            <w:noWrap w:val="false"/>
          </w:tcPr>
          <w:p w14:paraId="33989039">
            <w:pPr>
              <w:pBdr/>
              <w:spacing w:after="40" w:before="40" w:line="276" w:lineRule="auto"/>
              <w:ind/>
              <w:jc w:val="both"/>
              <w:rPr>
                <w:bCs/>
                <w:color w:val="000000" w:themeColor="text1"/>
                <w:lang w:val="pt-BR"/>
              </w:rPr>
            </w:pPr>
            <w:r>
              <w:rPr>
                <w:bCs/>
                <w:color w:val="000000" w:themeColor="text1"/>
                <w:lang w:val="pt-BR"/>
              </w:rPr>
              <w:t xml:space="preserve">Ngày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1EF38563">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16005FF6">
            <w:pPr>
              <w:pBdr/>
              <w:spacing w:after="40" w:before="40" w:line="276" w:lineRule="auto"/>
              <w:ind/>
              <w:jc w:val="both"/>
              <w:rPr>
                <w:color w:val="ff0000"/>
                <w:lang w:val="pt-BR"/>
              </w:rPr>
            </w:pPr>
            <w:r>
              <w:rPr>
                <w:color w:val="000000" w:themeColor="text1"/>
                <w:lang w:val="vi-VN"/>
              </w:rPr>
              <w:t xml:space="preserve">01/07/1965</w:t>
            </w:r>
            <w:r>
              <w:rPr>
                <w:color w:val="ff0000"/>
                <w:lang w:val="pt-BR"/>
              </w:rPr>
            </w:r>
            <w:r>
              <w:rPr>
                <w:color w:val="ff0000"/>
                <w:lang w:val="pt-BR"/>
              </w:rPr>
            </w:r>
          </w:p>
        </w:tc>
      </w:tr>
      <w:tr>
        <w:trPr>
          <w:trHeight w:val="20"/>
        </w:trPr>
        <w:tc>
          <w:tcPr>
            <w:tcBorders/>
            <w:tcW w:w="2518" w:type="dxa"/>
            <w:vAlign w:val="center"/>
            <w:textDirection w:val="lrTb"/>
            <w:noWrap w:val="false"/>
          </w:tcPr>
          <w:p w14:paraId="23193299">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6B0DFE30">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31DB61DD">
            <w:pPr>
              <w:pBdr/>
              <w:spacing w:after="40" w:before="40" w:line="276" w:lineRule="auto"/>
              <w:ind/>
              <w:jc w:val="both"/>
              <w:rPr>
                <w:color w:val="ff0000"/>
                <w:lang w:val="pt-BR"/>
              </w:rPr>
            </w:pPr>
            <w:r>
              <w:rPr>
                <w:color w:val="000000" w:themeColor="text1"/>
                <w:lang w:val="vi-VN"/>
              </w:rPr>
              <w:t xml:space="preserve">Thôn Bóng, xã Hồng Minh, huyện Phú Xuyên,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29A11C8">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pacing w:val="3"/>
                <w:sz w:val="24"/>
                <w:highlight w:val="white"/>
              </w:rPr>
              <w:t xml:space="preserve">Quyền sử dụng đất tại thửa đất số:332, tờ bản đồ số: 5 có địa chỉ: Thôn Hòa Mỹ, xã Hồng Minh, huyện Phú Xuyên, Thành phố Hà Nội (</w:t>
            </w:r>
            <w:r>
              <w:rPr>
                <w:rFonts w:ascii="Times New Roman" w:hAnsi="Times New Roman" w:eastAsia="Times New Roman" w:cs="Times New Roman"/>
                <w:b w:val="0"/>
                <w:bCs w:val="0"/>
                <w:i/>
                <w:iCs/>
                <w:color w:val="000000"/>
                <w:spacing w:val="3"/>
                <w:sz w:val="24"/>
                <w:highlight w:val="white"/>
              </w:rPr>
              <w:t xml:space="preserve">nay là xã Phương Dực, Thành phố Hà Nội</w:t>
            </w:r>
            <w:r>
              <w:rPr>
                <w:rFonts w:ascii="Times New Roman" w:hAnsi="Times New Roman" w:eastAsia="Times New Roman" w:cs="Times New Roman"/>
                <w:b w:val="0"/>
                <w:bCs w:val="0"/>
                <w:color w:val="000000"/>
                <w:spacing w:val="3"/>
                <w:sz w:val="24"/>
                <w:highlight w:val="white"/>
              </w:rPr>
              <w:t xml:space="preserve">) theo Giấy chứng nhận quyền sử dụng đất, quyền sở hữu tài sản gắn liền với đất: BI 152571, số vào sổ cấp GCN: CH 00136 do UBND huyện Phú Xuyên </w:t>
            </w:r>
            <w:r>
              <w:rPr>
                <w:rFonts w:ascii="Times New Roman" w:hAnsi="Times New Roman" w:eastAsia="Times New Roman" w:cs="Times New Roman"/>
                <w:b w:val="0"/>
                <w:bCs w:val="0"/>
                <w:color w:val="000000"/>
                <w:spacing w:val="3"/>
                <w:sz w:val="24"/>
                <w:highlight w:val="white"/>
              </w:rPr>
              <w:t xml:space="preserve">cấp ngày 08/02/2012 cho </w:t>
            </w:r>
            <w:r>
              <w:rPr>
                <w:rFonts w:ascii="Times New Roman" w:hAnsi="Times New Roman" w:eastAsia="Times New Roman" w:cs="Times New Roman"/>
                <w:b w:val="0"/>
                <w:bCs w:val="0"/>
                <w:color w:val="000000"/>
                <w:spacing w:val="3"/>
                <w:sz w:val="24"/>
              </w:rPr>
              <w:t xml:space="preserve">hộ Ông Nguyễn Văn Vịnh.</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pacing w:val="3"/>
                <w:sz w:val="24"/>
                <w:highlight w:val="white"/>
              </w:rPr>
              <w:t xml:space="preserve">Thôn Hòa Mỹ, xã Hồng Minh, huyện Phú Xuyên, Thành phố Hà Nội (</w:t>
            </w:r>
            <w:r>
              <w:rPr>
                <w:rFonts w:ascii="Times New Roman" w:hAnsi="Times New Roman" w:eastAsia="Times New Roman" w:cs="Times New Roman"/>
                <w:b w:val="0"/>
                <w:bCs w:val="0"/>
                <w:i/>
                <w:iCs/>
                <w:color w:val="000000"/>
                <w:spacing w:val="3"/>
                <w:sz w:val="24"/>
                <w:highlight w:val="white"/>
              </w:rPr>
              <w:t xml:space="preserve">nay là xã Phương Dực, Thành phố Hà Nội</w:t>
            </w:r>
            <w:r>
              <w:rPr>
                <w:rFonts w:ascii="Times New Roman" w:hAnsi="Times New Roman" w:eastAsia="Times New Roman" w:cs="Times New Roman"/>
                <w:b w:val="0"/>
                <w:bCs w:val="0"/>
                <w:color w:val="000000"/>
                <w:spacing w:val="3"/>
                <w:sz w:val="24"/>
                <w:highlight w:val="white"/>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20.794176, 105.824158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pacing w:val="3"/>
          <w:sz w:val="24"/>
          <w:highlight w:val="white"/>
        </w:rPr>
        <w:t xml:space="preserve">Giấy chứng nhận quyền sử dụng đất, quyền sở hữu tài sản gắn liền với đất: BI 152571, số vào sổ cấp GCN: CH 00136 do UBND huyện Phú Xuyên </w:t>
      </w:r>
      <w:r>
        <w:rPr>
          <w:rFonts w:ascii="Times New Roman" w:hAnsi="Times New Roman" w:eastAsia="Times New Roman" w:cs="Times New Roman"/>
          <w:b w:val="0"/>
          <w:bCs w:val="0"/>
          <w:color w:val="000000"/>
          <w:spacing w:val="3"/>
          <w:sz w:val="24"/>
          <w:highlight w:val="white"/>
        </w:rPr>
        <w:t xml:space="preserve">cấp ngày 08/02/2012 cho </w:t>
      </w:r>
      <w:r>
        <w:rPr>
          <w:rFonts w:ascii="Times New Roman" w:hAnsi="Times New Roman" w:eastAsia="Times New Roman" w:cs="Times New Roman"/>
          <w:b w:val="0"/>
          <w:bCs w:val="0"/>
          <w:color w:val="000000"/>
          <w:spacing w:val="3"/>
          <w:sz w:val="24"/>
        </w:rPr>
        <w:t xml:space="preserve">hộ Ông Nguyễn Văn Vịnh.</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3525FE09">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81b3a"/>
          <w:spacing w:val="3"/>
          <w:sz w:val="24"/>
        </w:rPr>
        <w:t xml:space="preserve">275/2026/0022/VFI-HĐTĐ.51.A</w:t>
      </w:r>
      <w:r>
        <w:rPr>
          <w:rFonts w:ascii="Times New Roman" w:hAnsi="Times New Roman" w:eastAsia="Times New Roman" w:cs="Times New Roman"/>
          <w:color w:val="000000"/>
          <w:sz w:val="24"/>
        </w:rPr>
        <w:t xml:space="preserve">  ngày 08/01/2026 giữa ông Nguyễn Văn Vịnh với Công ty Cổ phần Thẩm định và Đầu tư Tài chính Hoa Sen.</w:t>
      </w:r>
      <w:r>
        <w:rPr>
          <w:rFonts w:ascii="Times New Roman" w:hAnsi="Times New Roman" w:eastAsia="Times New Roman" w:cs="Times New Roman"/>
          <w:sz w:val="24"/>
        </w:rPr>
      </w:r>
      <w:r/>
    </w:p>
    <w:p w14:paraId="7BDC3A25" w14:textId="77D2CF95">
      <w:pPr>
        <w:pStyle w:val="103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5F92FBF">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Huyện Phú Xuyên nằm cách trung tâm Hà Nội khoảng 30km, một khoảng cách đủ gần để hưởng lợi từ sự phát triển của đô thị lớn nhưng vẫn giữ được không gian sống thoáng đãng. Vị trí này giúp Phú Xuyên trở thành cửa ngõ phía Nam của thủ đô, kết nối dễ dàng với </w:t>
      </w:r>
      <w:r>
        <w:rPr>
          <w:rFonts w:ascii="Times New Roman" w:hAnsi="Times New Roman" w:eastAsia="Times New Roman" w:cs="Times New Roman"/>
          <w:color w:val="000000"/>
          <w:sz w:val="24"/>
        </w:rPr>
        <w:t xml:space="preserve">các tỉnh phía Bắc và miền Trung. Hạ tầng giao thông hiện đại là một điểm cộng lớn, với Quốc lộ 1A chạy qua và đường cao tốc Pháp Vân – Cầu Giẽ. Đặc biệt, tuyến đường Vành đai 4 dự kiến đi qua Phú Xuyên sẽ càng tăng cường khả năng kết nối, rút ngắn thời gia</w:t>
      </w:r>
      <w:r>
        <w:rPr>
          <w:rFonts w:ascii="Times New Roman" w:hAnsi="Times New Roman" w:eastAsia="Times New Roman" w:cs="Times New Roman"/>
          <w:color w:val="000000"/>
          <w:sz w:val="24"/>
        </w:rPr>
        <w:t xml:space="preserve">n di chuyển và thúc đẩy giá trị bất động sản Phú Xuyên.</w:t>
      </w:r>
      <w:r/>
    </w:p>
    <w:p w14:paraId="457A318C">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Phú Xuyên đang được quy hoạch để trở thành một trong năm đô thị vệ tinh quan trọng của Hà Nội. Quy hoạch này bao gồm việc đầu tư mạnh mẽ vào hệ thống hạ tầng đồng bộ, từ đường sá, điện, nước, đến các tiện ích xã hội như trường học, bệnh viện, trung tâm thư</w:t>
      </w:r>
      <w:r>
        <w:rPr>
          <w:rFonts w:ascii="Times New Roman" w:hAnsi="Times New Roman" w:eastAsia="Times New Roman" w:cs="Times New Roman"/>
          <w:color w:val="000000"/>
          <w:sz w:val="24"/>
        </w:rPr>
        <w:t xml:space="preserve">ơng mại. Nhiều dự án khu đô thị mới Phú Xuyên đang và sắp triển khai, hứa hẹn một diện mạo đô thị hiện đại, đáp ứng nhu cầu sống và làm việc ngày càng cao của người dân. Sự đầu tư bài bản này là yếu tố then chốt thúc đẩy giá nhà đất Phú Xuyên tăng trưởng b</w:t>
      </w:r>
      <w:r>
        <w:rPr>
          <w:rFonts w:ascii="Times New Roman" w:hAnsi="Times New Roman" w:eastAsia="Times New Roman" w:cs="Times New Roman"/>
          <w:color w:val="000000"/>
          <w:sz w:val="24"/>
        </w:rPr>
        <w:t xml:space="preserve">ền vững.</w:t>
      </w:r>
      <w:r/>
    </w:p>
    <w:p w14:paraId="62EA96A2">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So với các quận nội thành Hà Nội hay các khu vực lân cận đã phát triển, giá nhà đất Phú Xuyên hiện tại vẫn ở mức khá cạnh tranh. Điều này tạo cơ hội lớn cho các nhà đầu tư có nguồn vốn vừa và nhỏ. Với tốc độ đô thị hóa nhanh chóng và các dự án hạ tầng lớn </w:t>
      </w:r>
      <w:r>
        <w:rPr>
          <w:rFonts w:ascii="Times New Roman" w:hAnsi="Times New Roman" w:eastAsia="Times New Roman" w:cs="Times New Roman"/>
          <w:color w:val="000000"/>
          <w:sz w:val="24"/>
        </w:rPr>
        <w:t xml:space="preserve">đang được triển khai, tiềm năng tăng giá trong tương lai của đất Phú Xuyên là rất rõ ràng. Việc sở hữu bất động sản tại Phú Xuyên ở thời điểm này được xem là một khoản đầu tư dài hạn đầy hứa hẹn.</w:t>
      </w:r>
      <w:r/>
    </w:p>
    <w:p w14:paraId="462AB0C3">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Nhiều dự án giao thông trọng điểm không chỉ kết nối Phú Xuyên với các vùng kinh tế trọng điểm mà còn thúc đẩy giá trị nhà đất Phú Xuyên. Nổi bật nhất là dự án đường Vành đai 4 vùng Thủ đô, khi hoàn thành sẽ tạo trục giao thông huyết mạch, giảm áp lực giao </w:t>
      </w:r>
      <w:r>
        <w:rPr>
          <w:rFonts w:ascii="Times New Roman" w:hAnsi="Times New Roman" w:eastAsia="Times New Roman" w:cs="Times New Roman"/>
          <w:color w:val="000000"/>
          <w:sz w:val="24"/>
        </w:rPr>
        <w:t xml:space="preserve">thông cho nội đô và mở ra quỹ đất rộng lớn cho phát triển công nghiệp, dịch vụ. Bên cạnh đó, các tuyến đường tỉnh lộ và đường huyện cũng được nâng cấp, mở rộng, giúp việc di chuyển nội khu và liên vùng trở nên thuận tiện hơn rất nhiều. Điều này trực tiếp ả</w:t>
      </w:r>
      <w:r>
        <w:rPr>
          <w:rFonts w:ascii="Times New Roman" w:hAnsi="Times New Roman" w:eastAsia="Times New Roman" w:cs="Times New Roman"/>
          <w:color w:val="000000"/>
          <w:sz w:val="24"/>
        </w:rPr>
        <w:t xml:space="preserve">nh hưởng đến thanh khoản và giá trị của các khu vực đất nền Phú Xuyên.</w:t>
      </w:r>
      <w:r/>
    </w:p>
    <w:p w14:paraId="08F30158">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Theo quy hoạch tổng thể, Phú Xuyên đang hướng tới việc trở thành một đô thị vệ tinh đa chức năng, với các khu công nghiệp, khu dân cư, và dịch vụ logistics hiện đại. Nhiều dự án khu dân cư mới, khu đô thị sinh thái đang được hình thành, cung cấp đa dạng sả</w:t>
      </w:r>
      <w:r>
        <w:rPr>
          <w:rFonts w:ascii="Times New Roman" w:hAnsi="Times New Roman" w:eastAsia="Times New Roman" w:cs="Times New Roman"/>
          <w:color w:val="000000"/>
          <w:sz w:val="24"/>
        </w:rPr>
        <w:t xml:space="preserve">n phẩm bất động sản Phú Xuyên từ đất nền, nhà phố, đến căn hộ. Sự xuất hiện của các khu đô thị được quy hoạch bài bản không chỉ nâng cao chất lượng sống cho cư dân mà còn tạo động lực tăng trưởng mạnh mẽ cho thị trường mua bán nhà đất Huyện Phú Xuyên, Hà N</w:t>
      </w:r>
      <w:r>
        <w:rPr>
          <w:rFonts w:ascii="Times New Roman" w:hAnsi="Times New Roman" w:eastAsia="Times New Roman" w:cs="Times New Roman"/>
          <w:color w:val="000000"/>
          <w:sz w:val="24"/>
        </w:rPr>
        <w:t xml:space="preserve">ội. Các dự án này thường đi kèm với các tiện ích nội khu đầy đủ, thu hút lượng lớn cư dân về sinh sống.</w:t>
      </w:r>
      <w:r/>
    </w:p>
    <w:p w14:paraId="37CE32F2">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Để đưa ra quyết định đầu tư nhà đất Phú Xuyên hiệu quả, việc nắm rõ các khu vực tiềm năng là vô cùng quan trọng. Mỗi khu vực có những đặc điểm riêng biệt, phù hợp với từng mục đích đầu tư khác nhau.</w:t>
      </w:r>
      <w:r/>
    </w:p>
    <w:p w14:paraId="0AE9756B">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Khu vực trung tâm huyện, đặc biệt là thị trấn Phú Xuyên, luôn là nơi sôi động nhất với các hoạt động mua bán nhà đất Huyện Phú Xuyên, Hà Nội. Nơi đây tập trung đầy đủ các tiện ích thiết yếu như chợ truyền thống, trung tâm thương mại, hệ thống trường học cá</w:t>
      </w:r>
      <w:r>
        <w:rPr>
          <w:rFonts w:ascii="Times New Roman" w:hAnsi="Times New Roman" w:eastAsia="Times New Roman" w:cs="Times New Roman"/>
          <w:color w:val="000000"/>
          <w:sz w:val="24"/>
        </w:rPr>
        <w:t xml:space="preserve">c cấp và bệnh viện. Với mật độ dân cư cao và hoạt động kinh doanh sầm uất, nhà phố Phú Xuyên tại khu vực này rất phù hợp cho những ai có nhu cầu an cư lâu dài hoặc muốn kinh doanh, cho thuê mặt bằng. Giá trị bất động sản Phú Xuyên ở đây thường cao hơn nhưn</w:t>
      </w:r>
      <w:r>
        <w:rPr>
          <w:rFonts w:ascii="Times New Roman" w:hAnsi="Times New Roman" w:eastAsia="Times New Roman" w:cs="Times New Roman"/>
          <w:color w:val="000000"/>
          <w:sz w:val="24"/>
        </w:rPr>
        <w:t xml:space="preserve">g đi kèm với tính thanh khoản tốt và khả năng sinh lời ổn định.</w:t>
      </w:r>
      <w:r/>
    </w:p>
    <w:p w14:paraId="475608F4">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Các xã ven đô như Phú Yên, Phú Túc, hay Chuyên Mỹ đang nổi lên như những điểm sáng cho các nhà đầu tư tìm kiếm đất nền Phú Xuyên với giá cả phải chăng và tiềm năng tăng trưởng vượt trội. Đây là những khu vực có quỹ đất nông nghiệp lớn, đang dần được chuyển</w:t>
      </w:r>
      <w:r>
        <w:rPr>
          <w:rFonts w:ascii="Times New Roman" w:hAnsi="Times New Roman" w:eastAsia="Times New Roman" w:cs="Times New Roman"/>
          <w:color w:val="000000"/>
          <w:sz w:val="24"/>
        </w:rPr>
        <w:t xml:space="preserve"> đổi sang đất thổ cư theo quy hoạch. Việc đầu tư vào đất Phú Xuyên tại đây thường yêu cầu tầm nhìn dài hạn, nhưng đổi lại là khả năng sinh lời cao khi hạ tầng tiếp tục được hoàn thiện và đô thị hóa lan rộng. Nhiều dự án đường liên xã, liên huyện cũng đang </w:t>
      </w:r>
      <w:r>
        <w:rPr>
          <w:rFonts w:ascii="Times New Roman" w:hAnsi="Times New Roman" w:eastAsia="Times New Roman" w:cs="Times New Roman"/>
          <w:color w:val="000000"/>
          <w:sz w:val="24"/>
        </w:rPr>
        <w:t xml:space="preserve">được đầu tư, nâng cao giá trị kết nối của khu vực này.</w:t>
      </w:r>
      <w:r/>
    </w:p>
    <w:p w14:paraId="1B5486AD">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Phú Xuyên có lợi thế khi gần các khu công nghiệp lớn như Phú Nghĩa, Phú Minh. Sự phát triển của các khu công nghiệp này kéo theo lượng lớn công nhân và lao động đổ về, tạo ra nhu cầu thuê nhà ở và dịch vụ rất lớn. Các khu vực nhà đất Phú Xuyên lân cận khu </w:t>
      </w:r>
      <w:r>
        <w:rPr>
          <w:rFonts w:ascii="Times New Roman" w:hAnsi="Times New Roman" w:eastAsia="Times New Roman" w:cs="Times New Roman"/>
          <w:color w:val="000000"/>
          <w:sz w:val="24"/>
        </w:rPr>
        <w:t xml:space="preserve">công nghiệp trở thành lựa chọn lý tưởng cho các nhà đầu tư muốn khai thác mô hình cho thuê phòng trọ, nhà ở cho công nhân. Đây là kênh đầu tư mang lại dòng tiền ổn định và bền vững, ít chịu tác động bởi biến động thị trường. Việc xây dựng các dãy nhà trọ h</w:t>
      </w:r>
      <w:r>
        <w:rPr>
          <w:rFonts w:ascii="Times New Roman" w:hAnsi="Times New Roman" w:eastAsia="Times New Roman" w:cs="Times New Roman"/>
          <w:color w:val="000000"/>
          <w:sz w:val="24"/>
        </w:rPr>
        <w:t xml:space="preserve">oặc căn hộ mini cho thuê tại đây có thể mang lại hiệu quả kinh tế đáng kể.</w:t>
      </w:r>
      <w:r/>
    </w:p>
    <w:p w14:paraId="4FCE2B27">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Để đảm bảo quá trình mua bán nhà đất Huyện Phú Xuyên, Hà Nội diễn ra suôn sẻ và an toàn, nhà đầu tư cần trang bị cho mình những kiến thức và lưu ý quan trọng. Việc cẩn trọng trong từng bước giao dịch sẽ giúp giảm thiểu rủi ro đáng kể.</w:t>
      </w:r>
      <w:r/>
    </w:p>
    <w:p w14:paraId="45B1A922">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Đây là yếu tố quan trọng hàng đầu khi đầu tư bất động sản Phú Xuyên. Người mua cần kiểm tra kỹ lưỡng giấy tờ pháp lý của mảnh đất, bao gồm sổ đỏ (Giấy chứng nhận quyền sử dụng đất), xác minh thông tin chủ sở hữu, và kiểm tra xem tài sản có đang vướng tranh</w:t>
      </w:r>
      <w:r>
        <w:rPr>
          <w:rFonts w:ascii="Times New Roman" w:hAnsi="Times New Roman" w:eastAsia="Times New Roman" w:cs="Times New Roman"/>
          <w:color w:val="000000"/>
          <w:sz w:val="24"/>
        </w:rPr>
        <w:t xml:space="preserve"> chấp hay thế chấp hay không. Việc tìm hiểu quy hoạch đất đai tại địa phương cũng vô cùng cần thiết, nhằm đảm bảo mảnh đất phù hợp với mục đích sử dụng và không nằm trong diện giải tỏa. Một số trường hợp đất Phú Xuyên có thể vướng quy hoạch đường, công trì</w:t>
      </w:r>
      <w:r>
        <w:rPr>
          <w:rFonts w:ascii="Times New Roman" w:hAnsi="Times New Roman" w:eastAsia="Times New Roman" w:cs="Times New Roman"/>
          <w:color w:val="000000"/>
          <w:sz w:val="24"/>
        </w:rPr>
        <w:t xml:space="preserve">nh công cộng, gây ảnh hưởng đến quyền lợi của người mua.</w:t>
      </w:r>
      <w:r/>
    </w:p>
    <w:p w14:paraId="322C9D70">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Trong thị trường nhà đất Phú Xuyên sôi động, việc lựa chọn một đơn vị tư vấn bất động sản uy tín là vô cùng quan trọng. Một đơn vị môi giới có kinh nghiệm không chỉ giúp bạn tìm được sản phẩm phù hợp với nhu cầu và ngân sách, mà còn hỗ trợ đắc lực trong vi</w:t>
      </w:r>
      <w:r>
        <w:rPr>
          <w:rFonts w:ascii="Times New Roman" w:hAnsi="Times New Roman" w:eastAsia="Times New Roman" w:cs="Times New Roman"/>
          <w:color w:val="000000"/>
          <w:sz w:val="24"/>
        </w:rPr>
        <w:t xml:space="preserve">ệc kiểm tra pháp lý, định giá, và hoàn tất các thủ tục giấy tờ. Tránh xa những lời mời chào hấp dẫn từ các dự án chưa được cấp phép hoặc các giao dịch không minh bạch, nhằm bảo vệ tài sản và quyền lợi của mình khi mua bán nhà đất Huyện Phú Xuyên, Hà Nội.</w:t>
      </w:r>
      <w:r/>
    </w:p>
    <w:p w14:paraId="31CE8C8C">
      <w:pPr>
        <w:pStyle w:val="1037"/>
        <w:numPr>
          <w:ilvl w:val="0"/>
          <w:numId w:val="44"/>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90"/>
        <w:jc w:val="both"/>
        <w:rPr/>
      </w:pPr>
      <w:r>
        <w:rPr>
          <w:rFonts w:ascii="Times New Roman" w:hAnsi="Times New Roman" w:eastAsia="Times New Roman" w:cs="Times New Roman"/>
          <w:color w:val="000000"/>
          <w:sz w:val="24"/>
        </w:rPr>
        <w:t xml:space="preserve">Trước khi quyết định đầu tư đất nền Phú Xuyên, hãy dành thời gian đánh giá kỹ lưỡng tiềm năng tăng giá của khu vực. Ưu tiên những vị trí gần các trục đường chính, các khu công nghiệp hiện hữu hoặc sắp hình thành, và các khu vực có dự án quy hoạch mới. Việc</w:t>
      </w:r>
      <w:r>
        <w:rPr>
          <w:rFonts w:ascii="Times New Roman" w:hAnsi="Times New Roman" w:eastAsia="Times New Roman" w:cs="Times New Roman"/>
          <w:color w:val="000000"/>
          <w:sz w:val="24"/>
        </w:rPr>
        <w:t xml:space="preserve"> theo dõi sát sao các thông tin về quy hoạch, hạ tầng, và chính sách phát triển đô thị của huyện Phú Xuyên sẽ giúp bạn đưa ra quyết định đầu tư sáng suốt, tối đa hóa lợi nhuận trong dài hạn. Tiềm năng của bất động sản Phú Xuyên phụ thuộc nhiều vào tốc độ t</w:t>
      </w:r>
      <w:r>
        <w:rPr>
          <w:rFonts w:ascii="Times New Roman" w:hAnsi="Times New Roman" w:eastAsia="Times New Roman" w:cs="Times New Roman"/>
          <w:color w:val="000000"/>
          <w:sz w:val="24"/>
        </w:rPr>
        <w:t xml:space="preserve">riển khai các dự án này.</w:t>
      </w:r>
      <w:r/>
    </w:p>
    <w:p w14:paraId="4709D889">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142"/>
        <w:jc w:val="center"/>
        <w:rPr/>
      </w:pPr>
      <w:r>
        <w:rPr>
          <w:rFonts w:ascii="Times New Roman" w:hAnsi="Times New Roman" w:eastAsia="Times New Roman" w:cs="Times New Roman"/>
          <w:color w:val="000000"/>
          <w:sz w:val="24"/>
        </w:rPr>
        <w:t xml:space="preserve">(https://summerland.com.vn/tiem-nang-mua-ban-nha-dat-huyen-phu-xuyen-ha-noi)</w:t>
      </w:r>
      <w:r>
        <w:rPr>
          <w:rFonts w:ascii="Times New Roman" w:hAnsi="Times New Roman" w:eastAsia="Times New Roman" w:cs="Times New Roman"/>
          <w:sz w:val="24"/>
        </w:rPr>
      </w:r>
      <w:r/>
    </w:p>
    <w:p w14:paraId="20BF0D54" w14:textId="312C63AB">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44485069">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số:332, tờ bản đồ số: 5 có địa chỉ: Thôn Hòa Mỹ, xã Hồng Minh, huyện Phú Xuyên, Thành phố Hà Nội (</w:t>
            </w:r>
            <w:r>
              <w:rPr>
                <w:rFonts w:ascii="Times New Roman" w:hAnsi="Times New Roman" w:eastAsia="Times New Roman" w:cs="Times New Roman"/>
                <w:b/>
                <w:bCs/>
                <w:i/>
                <w:iCs/>
                <w:color w:val="000000"/>
                <w:spacing w:val="3"/>
                <w:sz w:val="24"/>
                <w:highlight w:val="white"/>
              </w:rPr>
              <w:t xml:space="preserve">nay là xã Phương Dực, Thành phố Hà Nội</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tài sản gắn liền với đất: BI 152571, số vào sổ cấp GCN: CH 00136 do UBND huyện Phú Xuyên </w:t>
            </w:r>
            <w:r>
              <w:rPr>
                <w:rFonts w:ascii="Times New Roman" w:hAnsi="Times New Roman" w:eastAsia="Times New Roman" w:cs="Times New Roman"/>
                <w:b/>
                <w:bCs/>
                <w:color w:val="000000"/>
                <w:spacing w:val="3"/>
                <w:sz w:val="24"/>
                <w:highlight w:val="white"/>
              </w:rPr>
              <w:t xml:space="preserve">cấp ngày 08/02/2012 cho </w:t>
            </w:r>
            <w:r>
              <w:rPr>
                <w:rFonts w:ascii="Times New Roman" w:hAnsi="Times New Roman" w:eastAsia="Times New Roman" w:cs="Times New Roman"/>
                <w:b/>
                <w:bCs/>
                <w:color w:val="000000"/>
                <w:spacing w:val="3"/>
                <w:sz w:val="24"/>
              </w:rPr>
              <w:t xml:space="preserve">hộ Ông Nguyễn Văn Vịnh.</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332</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5</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color w:val="000000"/>
              </w:rPr>
            </w:r>
            <w:r>
              <w:rPr>
                <w:rFonts w:ascii="Times New Roman" w:hAnsi="Times New Roman" w:eastAsia="Times New Roman" w:cs="Times New Roman"/>
                <w:b w:val="0"/>
                <w:bCs w:val="0"/>
                <w:color w:val="000000"/>
                <w:spacing w:val="3"/>
                <w:sz w:val="24"/>
                <w:highlight w:val="white"/>
              </w:rPr>
              <w:t xml:space="preserve">Thôn Hòa Mỹ, xã Hồng Minh, huyện Phú Xuyên, Thành phố Hà Nội (</w:t>
            </w:r>
            <w:r>
              <w:rPr>
                <w:rFonts w:ascii="Times New Roman" w:hAnsi="Times New Roman" w:eastAsia="Times New Roman" w:cs="Times New Roman"/>
                <w:b w:val="0"/>
                <w:bCs w:val="0"/>
                <w:i/>
                <w:iCs/>
                <w:color w:val="000000"/>
                <w:spacing w:val="3"/>
                <w:sz w:val="24"/>
                <w:highlight w:val="white"/>
              </w:rPr>
              <w:t xml:space="preserve">nay là xã Phương Dực, Thành phố Hà Nội</w:t>
            </w:r>
            <w:r>
              <w:rPr>
                <w:rFonts w:ascii="Times New Roman" w:hAnsi="Times New Roman" w:eastAsia="Times New Roman" w:cs="Times New Roman"/>
                <w:b w:val="0"/>
                <w:bCs w:val="0"/>
                <w:color w:val="000000"/>
                <w:spacing w:val="3"/>
                <w:sz w:val="24"/>
                <w:highlight w:val="white"/>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120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khảo sát tổ thẩm định không thu thập được thông tin quy hoạch gì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 không có vỉa hè</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tiếp giáp với đường DT429</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22AE84E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Đông nam tiếp giáp với đường DT429</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20.794176</w:t>
            </w:r>
            <w:r>
              <w:rPr>
                <w:color w:val="000000"/>
              </w:rPr>
              <w:t xml:space="preserve">, </w:t>
            </w:r>
            <w:r>
              <w:rPr>
                <w:color w:val="000000"/>
              </w:rPr>
              <w:t xml:space="preserve">105.824158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361863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225874544" name="" descr=""/>
                              <pic:cNvPicPr/>
                              <pic:nvPr/>
                            </pic:nvPicPr>
                            <pic:blipFill rotWithShape="1">
                              <a:blip r:embed="rId17"/>
                              <a:stretch/>
                            </pic:blipFill>
                            <pic:spPr bwMode="auto">
                              <a:xfrm>
                                <a:off x="0" y="0"/>
                                <a:ext cx="361863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4.93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120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vuông</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CF5B81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65AEDF07">
            <w:pPr>
              <w:pBdr/>
              <w:spacing/>
              <w:ind/>
              <w:jc w:val="center"/>
              <w:rPr>
                <w:b w:val="0"/>
                <w:bCs w:val="0"/>
                <w:color w:val="000000"/>
              </w:rPr>
            </w:pPr>
            <w:r>
              <w:rPr>
                <w:color w:val="000000"/>
              </w:rPr>
            </w:r>
            <w:r>
              <w:rPr>
                <w:rFonts w:ascii="Times New Roman" w:hAnsi="Times New Roman" w:eastAsia="Times New Roman" w:cs="Times New Roman"/>
                <w:b w:val="0"/>
                <w:bCs w:val="0"/>
                <w:color w:val="000000"/>
                <w:spacing w:val="3"/>
                <w:sz w:val="24"/>
                <w:highlight w:val="white"/>
              </w:rPr>
              <w:t xml:space="preserve">Thôn Hòa Mỹ, xã Hồng Minh, huyện Phú Xuyên, Thành phố Hà Nội </w:t>
            </w:r>
            <w:r>
              <w:t xml:space="preserve">✔</w:t>
            </w:r>
            <w:r>
              <w:rPr>
                <w:b w:val="0"/>
                <w:bCs w:val="0"/>
                <w:color w:val="000000"/>
              </w:rPr>
            </w:r>
            <w:r>
              <w:rPr>
                <w:b w:val="0"/>
                <w:bCs w:val="0"/>
                <w:color w:val="000000"/>
              </w:rPr>
            </w:r>
          </w:p>
        </w:tc>
        <w:tc>
          <w:tcPr>
            <w:tcBorders/>
            <w:tcW w:w="1605" w:type="dxa"/>
            <w:vAlign w:val="center"/>
            <w:textDirection w:val="lrTb"/>
            <w:noWrap w:val="false"/>
          </w:tcPr>
          <w:p w14:paraId="6B9FAF33">
            <w:pPr>
              <w:pBdr/>
              <w:spacing/>
              <w:ind/>
              <w:jc w:val="center"/>
              <w:rPr>
                <w:b w:val="0"/>
                <w:bCs w:val="0"/>
                <w:color w:val="000000"/>
              </w:rPr>
            </w:pPr>
            <w:r>
              <w:rPr>
                <w:color w:val="000000"/>
              </w:rPr>
            </w:r>
            <w:r>
              <w:rPr>
                <w:rFonts w:ascii="Times New Roman" w:hAnsi="Times New Roman" w:eastAsia="Times New Roman" w:cs="Times New Roman"/>
                <w:b w:val="0"/>
                <w:bCs w:val="0"/>
                <w:color w:val="000000"/>
                <w:spacing w:val="3"/>
                <w:sz w:val="24"/>
                <w:highlight w:val="white"/>
              </w:rPr>
              <w:t xml:space="preserve">Thôn Hòa Mỹ, xã Hồng Minh, huyện Phú Xuyên, Thành phố Hà Nội </w:t>
            </w:r>
            <w:r>
              <w:t xml:space="preserve">✔</w:t>
            </w:r>
            <w:r>
              <w:rPr>
                <w:b w:val="0"/>
                <w:bCs w:val="0"/>
                <w:color w:val="000000"/>
              </w:rPr>
            </w:r>
            <w:r>
              <w:rPr>
                <w:b w:val="0"/>
                <w:bCs w:val="0"/>
                <w:color w:val="000000"/>
              </w:rPr>
            </w:r>
          </w:p>
        </w:tc>
        <w:tc>
          <w:tcPr>
            <w:tcBorders/>
            <w:tcW w:w="1371" w:type="dxa"/>
            <w:vAlign w:val="center"/>
            <w:textDirection w:val="lrTb"/>
            <w:noWrap w:val="false"/>
          </w:tcPr>
          <w:p w14:paraId="0AF4493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b w:val="0"/>
                <w:bCs w:val="0"/>
                <w:i w:val="0"/>
              </w:rPr>
            </w:pPr>
            <w:r>
              <w:rPr>
                <w:rFonts w:ascii="Times New Roman" w:hAnsi="Times New Roman" w:eastAsia="Times New Roman" w:cs="Times New Roman"/>
                <w:b w:val="0"/>
                <w:bCs w:val="0"/>
                <w:i w:val="0"/>
                <w:iCs w:val="0"/>
                <w:color w:val="000000"/>
                <w:spacing w:val="3"/>
                <w:sz w:val="24"/>
                <w:highlight w:val="none"/>
              </w:rPr>
              <w:t xml:space="preserve">X</w:t>
            </w:r>
            <w:r>
              <w:rPr>
                <w:rFonts w:ascii="Times New Roman" w:hAnsi="Times New Roman" w:eastAsia="Times New Roman" w:cs="Times New Roman"/>
                <w:b w:val="0"/>
                <w:bCs w:val="0"/>
                <w:i w:val="0"/>
                <w:iCs w:val="0"/>
                <w:color w:val="000000"/>
                <w:spacing w:val="3"/>
                <w:sz w:val="24"/>
                <w:highlight w:val="white"/>
              </w:rPr>
              <w:t xml:space="preserve">ã Phương Dực, Thành phố Hà Nộ</w:t>
            </w:r>
            <w:r>
              <w:rPr>
                <w:rFonts w:ascii="Times New Roman" w:hAnsi="Times New Roman" w:eastAsia="Times New Roman" w:cs="Times New Roman"/>
                <w:b w:val="0"/>
                <w:bCs w:val="0"/>
                <w:i w:val="0"/>
                <w:iCs w:val="0"/>
                <w:color w:val="000000"/>
                <w:spacing w:val="3"/>
                <w:sz w:val="24"/>
                <w:highlight w:val="white"/>
              </w:rPr>
              <w:t xml:space="preserve">i</w:t>
            </w:r>
            <w:r>
              <w:rPr>
                <w:rFonts w:ascii="Times New Roman" w:hAnsi="Times New Roman" w:eastAsia="Times New Roman" w:cs="Times New Roman"/>
                <w:b w:val="0"/>
                <w:bCs w:val="0"/>
                <w:i w:val="0"/>
                <w:iCs w:val="0"/>
                <w:color w:val="000000"/>
                <w:spacing w:val="3"/>
                <w:sz w:val="24"/>
                <w:highlight w:val="none"/>
              </w:rPr>
              <w:t xml:space="preserve"> </w:t>
            </w:r>
            <w:r>
              <w:t xml:space="preserve">✔</w:t>
            </w:r>
            <w:r>
              <w:rPr>
                <w:b w:val="0"/>
                <w:bCs w:val="0"/>
                <w:i w:val="0"/>
              </w:rPr>
            </w:r>
            <w:r>
              <w:rPr>
                <w:b w:val="0"/>
                <w:bCs w:val="0"/>
                <w:i w:val="0"/>
              </w:rPr>
            </w:r>
          </w:p>
        </w:tc>
        <w:tc>
          <w:tcPr>
            <w:tcBorders/>
            <w:tcW w:w="1605" w:type="dxa"/>
            <w:vAlign w:val="center"/>
            <w:textDirection w:val="lrTb"/>
            <w:noWrap w:val="false"/>
          </w:tcPr>
          <w:p w14:paraId="225EE279">
            <w:pPr>
              <w:pBdr/>
              <w:spacing/>
              <w:ind/>
              <w:jc w:val="center"/>
              <w:rPr>
                <w:b w:val="0"/>
                <w:bCs w:val="0"/>
                <w:i w:val="0"/>
              </w:rPr>
            </w:pPr>
            <w:r>
              <w:rPr>
                <w:rFonts w:ascii="Times New Roman" w:hAnsi="Times New Roman" w:eastAsia="Times New Roman" w:cs="Times New Roman"/>
                <w:b w:val="0"/>
                <w:bCs w:val="0"/>
                <w:i w:val="0"/>
                <w:iCs w:val="0"/>
                <w:color w:val="000000"/>
                <w:spacing w:val="3"/>
                <w:sz w:val="24"/>
                <w:highlight w:val="none"/>
              </w:rPr>
              <w:t xml:space="preserve">X</w:t>
            </w:r>
            <w:r>
              <w:rPr>
                <w:rFonts w:ascii="Times New Roman" w:hAnsi="Times New Roman" w:eastAsia="Times New Roman" w:cs="Times New Roman"/>
                <w:b w:val="0"/>
                <w:bCs w:val="0"/>
                <w:i w:val="0"/>
                <w:iCs w:val="0"/>
                <w:color w:val="000000"/>
                <w:spacing w:val="3"/>
                <w:sz w:val="24"/>
                <w:highlight w:val="white"/>
              </w:rPr>
              <w:t xml:space="preserve">ã Phương Dực, Thành phố Hà Nộ</w:t>
            </w:r>
            <w:r>
              <w:rPr>
                <w:rFonts w:ascii="Times New Roman" w:hAnsi="Times New Roman" w:eastAsia="Times New Roman" w:cs="Times New Roman"/>
                <w:b w:val="0"/>
                <w:bCs w:val="0"/>
                <w:i w:val="0"/>
                <w:iCs w:val="0"/>
                <w:color w:val="000000"/>
                <w:spacing w:val="3"/>
                <w:sz w:val="24"/>
                <w:highlight w:val="white"/>
              </w:rPr>
              <w:t xml:space="preserve">i</w:t>
            </w:r>
            <w:r>
              <w:rPr>
                <w:rFonts w:ascii="Times New Roman" w:hAnsi="Times New Roman" w:eastAsia="Times New Roman" w:cs="Times New Roman"/>
                <w:b w:val="0"/>
                <w:bCs w:val="0"/>
                <w:i w:val="0"/>
                <w:iCs w:val="0"/>
                <w:color w:val="000000"/>
                <w:spacing w:val="3"/>
                <w:sz w:val="24"/>
                <w:highlight w:val="none"/>
              </w:rPr>
              <w:t xml:space="preserve"> </w:t>
            </w:r>
            <w:r>
              <w:t xml:space="preserve">✔</w:t>
            </w:r>
            <w:r>
              <w:rPr>
                <w:b w:val="0"/>
                <w:bCs w:val="0"/>
                <w:i w:val="0"/>
              </w:rPr>
            </w:r>
            <w:r>
              <w:rPr>
                <w:b w:val="0"/>
                <w:bCs w:val="0"/>
                <w:i w:val="0"/>
              </w:rP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0EE36C78">
            <w:pPr>
              <w:pBdr/>
              <w:spacing/>
              <w:ind/>
              <w:jc w:val="center"/>
              <w:rPr/>
            </w:pPr>
            <w:r>
              <w:t xml:space="preserve">Lâu dài ✔</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không có vỉa hè</w:t>
            </w:r>
            <w:r/>
          </w:p>
        </w:tc>
        <w:tc>
          <w:tcPr>
            <w:tcBorders/>
            <w:tcW w:w="1605" w:type="dxa"/>
            <w:vAlign w:val="center"/>
            <w:textDirection w:val="lrTb"/>
            <w:noWrap w:val="false"/>
          </w:tcPr>
          <w:p w14:paraId="79F97508" w14:textId="77777777">
            <w:pPr>
              <w:pBdr/>
              <w:spacing/>
              <w:ind/>
              <w:jc w:val="center"/>
              <w:rPr/>
            </w:pPr>
            <w:r>
              <w:t xml:space="preserve">Đường nhựa không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6225C287">
            <w:pPr>
              <w:pBdr/>
              <w:spacing/>
              <w:ind/>
              <w:jc w:val="center"/>
              <w:rPr/>
            </w:pPr>
            <w:r>
              <w:t xml:space="preserve">10 ✔</w:t>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00FD6E0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0EF10939">
            <w:pPr>
              <w:pBdr/>
              <w:spacing/>
              <w:ind/>
              <w:jc w:val="center"/>
              <w:rPr/>
            </w:pPr>
            <w:r>
              <w:t xml:space="preserve">Hạ tầng khu dân cư thông thường ✔</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29FE619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11C2491E">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3DDD639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32F05524">
            <w:pPr>
              <w:pBdr/>
              <w:spacing/>
              <w:ind/>
              <w:jc w:val="center"/>
              <w:rPr/>
            </w:pPr>
            <w:r>
              <w:t xml:space="preserve">120 ✔</w:t>
            </w:r>
            <w:r/>
          </w:p>
        </w:tc>
        <w:tc>
          <w:tcPr>
            <w:tcBorders/>
            <w:tcW w:w="1605" w:type="dxa"/>
            <w:vAlign w:val="center"/>
            <w:textDirection w:val="lrTb"/>
            <w:noWrap w:val="false"/>
          </w:tcPr>
          <w:p w14:paraId="79F97508" w14:textId="77777777">
            <w:pPr>
              <w:pBdr/>
              <w:spacing/>
              <w:ind/>
              <w:jc w:val="center"/>
              <w:rPr/>
            </w:pPr>
            <w:r>
              <w:t xml:space="preserve">120 ✔</w:t>
            </w:r>
            <w:r/>
          </w:p>
        </w:tc>
        <w:tc>
          <w:tcPr>
            <w:tcBorders/>
            <w:tcW w:w="1371" w:type="dxa"/>
            <w:vAlign w:val="center"/>
            <w:textDirection w:val="lrTb"/>
            <w:noWrap w:val="false"/>
          </w:tcPr>
          <w:p w14:paraId="0D21DC9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29F27983">
            <w:pPr>
              <w:pBdr/>
              <w:spacing/>
              <w:ind/>
              <w:jc w:val="center"/>
              <w:rPr/>
            </w:pPr>
            <w:r>
              <w:t xml:space="preserve">5</w:t>
            </w:r>
            <w:r/>
          </w:p>
        </w:tc>
        <w:tc>
          <w:tcPr>
            <w:tcBorders/>
            <w:tcW w:w="1605" w:type="dxa"/>
            <w:vAlign w:val="center"/>
            <w:textDirection w:val="lrTb"/>
            <w:noWrap w:val="false"/>
          </w:tcPr>
          <w:p w14:paraId="79F97508" w14:textId="77777777">
            <w:pPr>
              <w:pBdr/>
              <w:spacing/>
              <w:ind/>
              <w:jc w:val="center"/>
              <w:rPr/>
            </w:pPr>
            <w:r>
              <w:t xml:space="preserve">5</w:t>
            </w:r>
            <w:r/>
          </w:p>
        </w:tc>
        <w:tc>
          <w:tcPr>
            <w:tcBorders/>
            <w:tcW w:w="1371" w:type="dxa"/>
            <w:vAlign w:val="center"/>
            <w:textDirection w:val="lrTb"/>
            <w:noWrap w:val="false"/>
          </w:tcPr>
          <w:p w14:paraId="2FB397AD">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191D1AA9">
            <w:pPr>
              <w:pBdr/>
              <w:spacing/>
              <w:ind/>
              <w:jc w:val="center"/>
              <w:rPr/>
            </w:pPr>
            <w:r>
              <w:t xml:space="preserve">20 ✔</w:t>
            </w:r>
            <w:r/>
          </w:p>
        </w:tc>
        <w:tc>
          <w:tcPr>
            <w:tcBorders/>
            <w:tcW w:w="1605" w:type="dxa"/>
            <w:vAlign w:val="center"/>
            <w:textDirection w:val="lrTb"/>
            <w:noWrap w:val="false"/>
          </w:tcPr>
          <w:p w14:paraId="79F97508" w14:textId="77777777">
            <w:pPr>
              <w:pBdr/>
              <w:spacing/>
              <w:ind/>
              <w:jc w:val="center"/>
              <w:rPr/>
            </w:pPr>
            <w:r>
              <w:t xml:space="preserve">20 ✔</w:t>
            </w:r>
            <w:r/>
          </w:p>
        </w:tc>
        <w:tc>
          <w:tcPr>
            <w:tcBorders/>
            <w:tcW w:w="1371" w:type="dxa"/>
            <w:vAlign w:val="center"/>
            <w:textDirection w:val="lrTb"/>
            <w:noWrap w:val="false"/>
          </w:tcPr>
          <w:p w14:paraId="67FECBB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594BF1C2">
            <w:pPr>
              <w:pBdr/>
              <w:spacing/>
              <w:ind/>
              <w:jc w:val="center"/>
              <w:rPr/>
            </w:pPr>
            <w:r>
              <w:t xml:space="preserve">Tiếp giáp 1 mặt tiền ✔</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1B423AC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0888F059">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vuông ✔</w:t>
            </w:r>
            <w:r/>
          </w:p>
        </w:tc>
        <w:tc>
          <w:tcPr>
            <w:tcBorders/>
            <w:tcW w:w="1371" w:type="dxa"/>
            <w:vAlign w:val="center"/>
            <w:textDirection w:val="lrTb"/>
            <w:noWrap w:val="false"/>
          </w:tcPr>
          <w:p w14:paraId="5040CEA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AA3ED82">
            <w:pPr>
              <w:pBdr/>
              <w:spacing/>
              <w:ind/>
              <w:jc w:val="center"/>
              <w:rPr/>
            </w:pPr>
            <w:r>
              <w:t xml:space="preserve">Đông Nam ✔</w:t>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64BDF69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5B5A6DCC">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15384772">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51BB5887">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66ECCAF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Hồng Minh, Huyện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Hồng Minh, Huyện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Phú Túc, Huyện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Phú Túc, Huyện Phú Xuyên,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https://www.facebook.com/share/p/15iND3uWnb/</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https://www.facebook.com/share/p/1G9YGEVf82/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tiép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0973824625</w:t>
            </w:r>
            <w:r>
              <w:rPr>
                <w:sz w:val="22"/>
                <w:szCs w:val="22"/>
              </w:rPr>
              <w:t xml:space="preserve"> </w:t>
            </w:r>
            <w:r>
              <w:rPr>
                <w:sz w:val="22"/>
                <w:szCs w:val="22"/>
              </w:rPr>
              <w:br/>
              <w:t xml:space="preserve">(</w:t>
            </w:r>
            <w:r>
              <w:rPr>
                <w:sz w:val="22"/>
                <w:szCs w:val="22"/>
              </w:rPr>
              <w:t xml:space="preserve">Hồng Chuyên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0968260676</w:t>
            </w:r>
            <w:r>
              <w:rPr>
                <w:sz w:val="22"/>
                <w:szCs w:val="22"/>
              </w:rPr>
              <w:br/>
            </w:r>
            <w:r>
              <w:rPr>
                <w:sz w:val="22"/>
                <w:szCs w:val="22"/>
              </w:rPr>
              <w:t xml:space="preserve">(</w:t>
            </w:r>
            <w:r>
              <w:rPr>
                <w:sz w:val="22"/>
                <w:szCs w:val="22"/>
              </w:rPr>
              <w:t xml:space="preserve">Quang Lanh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0968260676 </w:t>
            </w:r>
            <w:r>
              <w:rPr>
                <w:sz w:val="22"/>
                <w:szCs w:val="22"/>
              </w:rPr>
              <w:br/>
            </w:r>
            <w:r>
              <w:rPr>
                <w:sz w:val="22"/>
                <w:szCs w:val="22"/>
              </w:rPr>
              <w:t xml:space="preserve">(</w:t>
            </w:r>
            <w:r>
              <w:rPr>
                <w:sz w:val="22"/>
                <w:szCs w:val="22"/>
              </w:rPr>
              <w:t xml:space="preserve">Quang Lanh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Đã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F0E761">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3AD2C6">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1338F3">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Nằm tiếp giáp đường  DT429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6ABD4A">
            <w:pPr>
              <w:pBdr/>
              <w:spacing/>
              <w:ind/>
              <w:jc w:val="center"/>
              <w:rPr/>
            </w:pPr>
            <w:r>
              <w:rPr>
                <w:color w:val="000000" w:themeColor="text1"/>
                <w:sz w:val="22"/>
                <w:szCs w:val="22"/>
              </w:rPr>
              <w:t xml:space="preserve">Nằm tiếp giáp đường  DT429</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107DF1">
            <w:pPr>
              <w:pBdr/>
              <w:spacing/>
              <w:ind/>
              <w:jc w:val="center"/>
              <w:rPr/>
            </w:pPr>
            <w:r>
              <w:rPr>
                <w:color w:val="000000" w:themeColor="text1"/>
                <w:sz w:val="22"/>
                <w:szCs w:val="22"/>
              </w:rPr>
              <w:t xml:space="preserve">Nằm tiếp giáp đường  DT429</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5F8F9D2">
            <w:pPr>
              <w:pBdr/>
              <w:spacing/>
              <w:ind/>
              <w:jc w:val="center"/>
              <w:rPr/>
            </w:pPr>
            <w:r>
              <w:rPr>
                <w:color w:val="000000" w:themeColor="text1"/>
                <w:sz w:val="22"/>
                <w:szCs w:val="22"/>
              </w:rPr>
              <w:t xml:space="preserve">Nằm tiếp giáp đường  DT429</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1E7F98CE">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BBBCBC0">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47BBE83">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6111A53">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8608734">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8600AEC">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8.500.000.000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5.580.000.000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7.650.000.000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7.650.000.000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87.187.500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98.076.923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5.580.000.000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5.400.000.000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7.650.000.000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87.187.500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98.076.923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7B9771">
            <w:pPr>
              <w:pBdr/>
              <w:spacing/>
              <w:ind/>
              <w:jc w:val="center"/>
              <w:rPr/>
            </w:pPr>
            <w:r>
              <w:rPr>
                <w:color w:val="000000" w:themeColor="text1"/>
                <w:sz w:val="22"/>
                <w:szCs w:val="22"/>
              </w:rPr>
              <w:t xml:space="preserve">Giấy chứng nhận quyền sử dụng đất</w:t>
            </w:r>
            <w:r>
              <w:rPr>
                <w:color w:val="000000"/>
                <w:sz w:val="22"/>
                <w:szCs w:val="22"/>
              </w:rPr>
            </w:r>
            <w:r/>
          </w:p>
        </w:tc>
        <w:tc>
          <w:tcPr>
            <w:shd w:val="clear" w:color="000000" w:fill="ffffff"/>
            <w:tcBorders/>
            <w:tcW w:w="1522" w:type="dxa"/>
            <w:vAlign w:val="center"/>
            <w:textDirection w:val="lrTb"/>
            <w:noWrap w:val="false"/>
          </w:tcPr>
          <w:p w14:paraId="7CB98B0C">
            <w:pPr>
              <w:pBdr/>
              <w:spacing/>
              <w:ind/>
              <w:jc w:val="center"/>
              <w:rPr/>
            </w:pPr>
            <w:r>
              <w:rPr>
                <w:color w:val="000000" w:themeColor="text1"/>
                <w:sz w:val="22"/>
                <w:szCs w:val="22"/>
              </w:rPr>
              <w:t xml:space="preserve">Giấy chứng nhận quyền sử dụng đất</w:t>
            </w:r>
            <w:r>
              <w:rPr>
                <w:color w:val="000000"/>
                <w:sz w:val="22"/>
                <w:szCs w:val="22"/>
              </w:rPr>
            </w:r>
            <w:r/>
          </w:p>
        </w:tc>
        <w:tc>
          <w:tcPr>
            <w:shd w:val="clear" w:color="000000" w:fill="ffffff"/>
            <w:tcBorders/>
            <w:tcW w:w="1522" w:type="dxa"/>
            <w:vAlign w:val="center"/>
            <w:textDirection w:val="lrTb"/>
            <w:noWrap w:val="false"/>
          </w:tcPr>
          <w:p w14:paraId="30110F9D">
            <w:pPr>
              <w:pBdr/>
              <w:spacing/>
              <w:ind/>
              <w:jc w:val="center"/>
              <w:rPr/>
            </w:pPr>
            <w:r>
              <w:rPr>
                <w:color w:val="000000" w:themeColor="text1"/>
                <w:sz w:val="22"/>
                <w:szCs w:val="22"/>
              </w:rPr>
              <w:t xml:space="preserve">Giấy chứng nhận quyền sử dụng đất</w:t>
            </w:r>
            <w:r>
              <w:rPr>
                <w:color w:val="000000"/>
                <w:sz w:val="22"/>
                <w:szCs w:val="22"/>
              </w:rPr>
            </w:r>
            <w:r/>
          </w:p>
        </w:tc>
        <w:tc>
          <w:tcPr>
            <w:shd w:val="clear" w:color="000000" w:fill="ffffff"/>
            <w:tcBorders/>
            <w:tcW w:w="1522" w:type="dxa"/>
            <w:vAlign w:val="center"/>
            <w:textDirection w:val="lrTb"/>
            <w:noWrap w:val="false"/>
          </w:tcPr>
          <w:p w14:paraId="080C5FE8">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86C081">
            <w:pPr>
              <w:pBdr/>
              <w:spacing/>
              <w:ind/>
              <w:jc w:val="center"/>
              <w:rPr>
                <w:color w:val="000000"/>
                <w:sz w:val="22"/>
                <w:szCs w:val="22"/>
              </w:rPr>
            </w:pPr>
            <w:r>
              <w:rPr>
                <w:color w:val="000000" w:themeColor="text1"/>
                <w:sz w:val="22"/>
                <w:szCs w:val="22"/>
              </w:rPr>
              <w:t xml:space="preserve">Nằm tiếp giáp đường  DT429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EA70F8">
            <w:pPr>
              <w:pBdr/>
              <w:spacing/>
              <w:ind/>
              <w:rPr/>
            </w:pPr>
            <w:r>
              <w:rPr>
                <w:color w:val="000000" w:themeColor="text1"/>
                <w:sz w:val="22"/>
                <w:szCs w:val="22"/>
              </w:rPr>
              <w:t xml:space="preserve">Nằm tiếp giáp đường  DT429</w:t>
            </w:r>
            <w:r/>
          </w:p>
        </w:tc>
        <w:tc>
          <w:tcPr>
            <w:shd w:val="clear" w:color="000000" w:fill="ffffff"/>
            <w:tcBorders/>
            <w:tcW w:w="1522" w:type="dxa"/>
            <w:vAlign w:val="center"/>
            <w:textDirection w:val="lrTb"/>
            <w:noWrap w:val="false"/>
          </w:tcPr>
          <w:p w14:paraId="6F84051B">
            <w:pPr>
              <w:pBdr/>
              <w:spacing/>
              <w:ind/>
              <w:rPr/>
            </w:pPr>
            <w:r>
              <w:rPr>
                <w:color w:val="000000" w:themeColor="text1"/>
                <w:sz w:val="22"/>
                <w:szCs w:val="22"/>
              </w:rPr>
              <w:t xml:space="preserve">Nằm tiếp giáp đường  DT429</w:t>
            </w:r>
            <w:r/>
          </w:p>
        </w:tc>
        <w:tc>
          <w:tcPr>
            <w:shd w:val="clear" w:color="000000" w:fill="ffffff"/>
            <w:tcBorders/>
            <w:tcW w:w="1522" w:type="dxa"/>
            <w:vAlign w:val="center"/>
            <w:textDirection w:val="lrTb"/>
            <w:noWrap w:val="false"/>
          </w:tcPr>
          <w:p w14:paraId="3A5E4D64">
            <w:pPr>
              <w:pBdr/>
              <w:spacing/>
              <w:ind/>
              <w:rPr/>
            </w:pPr>
            <w:r>
              <w:rPr>
                <w:color w:val="000000" w:themeColor="text1"/>
                <w:sz w:val="22"/>
                <w:szCs w:val="22"/>
              </w:rPr>
              <w:t xml:space="preserve">Nằm tiếp giáp đường  DT429</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-6.975.000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-6.865.385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80.212.500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82.800.000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91.211.538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80.212.500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82.800.000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91.211.538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16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15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15,6</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-4.500.000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-4.903.846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80.212.500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86.307.692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80.212.500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86.307.692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6.865.385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80.212.500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93.173.077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80.212.500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78.300.000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93.173.077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83.895.192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-6,67%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11,06%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6.975.000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11.700.000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18.634.616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6.975.000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11.700.000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4.903.846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-6,67</w:t>
      </w:r>
      <w:r>
        <w:t xml:space="preserve">% </w:t>
      </w:r>
      <w:r>
        <w:t xml:space="preserve">đến</w:t>
      </w:r>
      <w:r>
        <w:t xml:space="preserve"> </w:t>
      </w:r>
      <w:r>
        <w:t xml:space="preserve"> </w:t>
      </w:r>
      <w:r>
        <w:t xml:space="preserve">11,06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80.212.500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26.742.848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78.300.000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26.097.390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93.173.077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31.054.587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83.894.825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84.000.000</w:t>
            </w:r>
            <w:r>
              <w:rPr>
                <w:b/>
                <w:bCs/>
                <w:color w:val="000000"/>
              </w:rPr>
            </w:r>
            <w:r>
              <w:rPr>
                <w:b/>
                <w:bCs/>
                <w:color w:val="000000"/>
              </w:rPr>
            </w:r>
          </w:p>
        </w:tc>
      </w:tr>
    </w:tbl>
    <w:p w14:paraId="6A5CE52D" w14:textId="303DCC42">
      <w:pPr>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84.000.000</w:t>
      </w:r>
      <w:r>
        <w:rPr>
          <w:b/>
          <w:bCs/>
          <w:color w:val="000000" w:themeColor="text1"/>
        </w:rPr>
        <w:t xml:space="preserve"> </w:t>
      </w:r>
      <w:r>
        <w:rPr>
          <w:b/>
          <w:bCs/>
        </w:rPr>
        <w:t xml:space="preserve">đồng</w:t>
      </w:r>
      <w:r>
        <w:rPr>
          <w:b/>
          <w:bCs/>
        </w:rPr>
        <w:t xml:space="preserve">/m².</w:t>
      </w:r>
      <w:r>
        <w:rPr>
          <w:b/>
          <w:bCs/>
          <w:highlight w:val="none"/>
        </w:rPr>
      </w:r>
      <w:r>
        <w:rPr>
          <w:b/>
          <w:bCs/>
          <w:highlight w:val="none"/>
        </w:rPr>
      </w:r>
    </w:p>
    <w:p w14:paraId="0D4AF315">
      <w:pPr>
        <w:pBdr/>
        <w:spacing w:after="120" w:before="120" w:line="276" w:lineRule="auto"/>
        <w:ind/>
        <w:jc w:val="both"/>
        <w:rPr>
          <w:b/>
          <w:bCs/>
        </w:rPr>
      </w:pPr>
      <w:r>
        <w:rPr>
          <w:b/>
          <w:bCs/>
          <w:highlight w:val="none"/>
        </w:rPr>
      </w:r>
      <w:r>
        <w:rPr>
          <w:b/>
          <w:bCs/>
        </w:rPr>
      </w:r>
      <w:r>
        <w:rPr>
          <w:b/>
          <w:bCs/>
        </w:rPr>
      </w:r>
    </w:p>
    <w:p w14:paraId="4B506B03" w14:textId="49B8E0F8">
      <w:pPr>
        <w:pStyle w:val="103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7"/>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193"/>
        <w:gridCol w:w="2552"/>
      </w:tblGrid>
      <w:tr>
        <w:trPr>
          <w:trHeight w:val="20"/>
        </w:trPr>
        <w:tc>
          <w:tcPr>
            <w:shd w:val="clear" w:color="000000" w:fill="ffffff"/>
            <w:tcBorders/>
            <w:tcW w:w="952" w:type="dxa"/>
            <w:vAlign w:val="center"/>
            <w:textDirection w:val="lrTb"/>
            <w:noWrap w:val="false"/>
          </w:tcPr>
          <w:p w14:paraId="08BF790B">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293C446E">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565C90A6">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93" w:type="dxa"/>
            <w:vAlign w:val="center"/>
            <w:textDirection w:val="lrTb"/>
            <w:noWrap w:val="false"/>
          </w:tcPr>
          <w:p w14:paraId="34BF632D">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552" w:type="dxa"/>
            <w:vAlign w:val="center"/>
            <w:textDirection w:val="lrTb"/>
            <w:noWrap w:val="false"/>
          </w:tcPr>
          <w:p w14:paraId="49E4809B">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1B6710D0">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020" w:type="dxa"/>
            <w:vAlign w:val="center"/>
            <w:textDirection w:val="lrTb"/>
            <w:noWrap w:val="false"/>
          </w:tcPr>
          <w:p w14:paraId="789F73E8">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số:332, tờ bản đồ số: 5 có địa chỉ: Thôn Hòa Mỹ, xã Hồng Minh, huyện Phú Xuyên, Thành phố Hà Nội (</w:t>
            </w:r>
            <w:r>
              <w:rPr>
                <w:rFonts w:ascii="Times New Roman" w:hAnsi="Times New Roman" w:eastAsia="Times New Roman" w:cs="Times New Roman"/>
                <w:b/>
                <w:bCs/>
                <w:i/>
                <w:iCs/>
                <w:color w:val="000000"/>
                <w:spacing w:val="3"/>
                <w:sz w:val="24"/>
                <w:highlight w:val="white"/>
              </w:rPr>
              <w:t xml:space="preserve">nay là xã Phương Dực, Thành phố Hà Nội</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tài sản gắn liền với đất: BI 152571, số vào sổ cấp GCN: CH 00136 do UBND huyện Phú Xuyên </w:t>
            </w:r>
            <w:r>
              <w:rPr>
                <w:rFonts w:ascii="Times New Roman" w:hAnsi="Times New Roman" w:eastAsia="Times New Roman" w:cs="Times New Roman"/>
                <w:b/>
                <w:bCs/>
                <w:color w:val="000000"/>
                <w:spacing w:val="3"/>
                <w:sz w:val="24"/>
                <w:highlight w:val="white"/>
              </w:rPr>
              <w:t xml:space="preserve">cấp ngày 08/02/2012 cho </w:t>
            </w:r>
            <w:r>
              <w:rPr>
                <w:rFonts w:ascii="Times New Roman" w:hAnsi="Times New Roman" w:eastAsia="Times New Roman" w:cs="Times New Roman"/>
                <w:b/>
                <w:bCs/>
                <w:color w:val="000000"/>
                <w:spacing w:val="3"/>
                <w:sz w:val="24"/>
              </w:rPr>
              <w:t xml:space="preserve">hộ Ông Nguyễn Văn Vịnh.</w:t>
            </w:r>
            <w:r>
              <w:rPr>
                <w:b/>
                <w:bCs/>
              </w:rPr>
            </w:r>
            <w:r>
              <w:rPr>
                <w:b/>
                <w:bCs/>
              </w:rPr>
            </w:r>
          </w:p>
        </w:tc>
        <w:tc>
          <w:tcPr>
            <w:shd w:val="clear" w:color="000000" w:fill="ffffff"/>
            <w:tcBorders/>
            <w:tcW w:w="2552" w:type="dxa"/>
            <w:vAlign w:val="center"/>
            <w:textDirection w:val="lrTb"/>
            <w:noWrap w:val="false"/>
          </w:tcPr>
          <w:p w14:paraId="6922B154">
            <w:pPr>
              <w:pBdr/>
              <w:spacing w:after="40" w:before="40" w:line="288" w:lineRule="auto"/>
              <w:ind/>
              <w:jc w:val="right"/>
              <w:rPr>
                <w:b/>
                <w:bCs/>
              </w:rPr>
            </w:pPr>
            <w:r>
              <w:rPr>
                <w:b/>
                <w:bCs/>
              </w:rPr>
              <w:t xml:space="preserve"> </w:t>
            </w:r>
            <w:r>
              <w:rPr>
                <w:b/>
                <w:bCs/>
              </w:rPr>
            </w:r>
            <w:r>
              <w:rPr>
                <w:b/>
                <w:bCs/>
              </w:rPr>
            </w:r>
          </w:p>
        </w:tc>
      </w:tr>
      <w:tr>
        <w:trPr>
          <w:trHeight w:val="381"/>
        </w:trPr>
        <w:tc>
          <w:tcPr>
            <w:shd w:val="clear" w:color="000000" w:fill="ffffff"/>
            <w:tcBorders/>
            <w:tcW w:w="952" w:type="dxa"/>
            <w:vAlign w:val="center"/>
            <w:textDirection w:val="lrTb"/>
            <w:noWrap w:val="false"/>
          </w:tcPr>
          <w:p w14:paraId="44AE027E">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001DFBEF">
            <w:pPr>
              <w:pBdr/>
              <w:spacing w:after="40" w:before="40" w:line="288" w:lineRule="auto"/>
              <w:ind/>
              <w:rPr/>
            </w:pPr>
            <w:r>
              <w:rPr>
                <w:b/>
                <w:bCs/>
              </w:rPr>
              <w:t xml:space="preserve">Đất ở tại đô thị</w:t>
            </w:r>
            <w:r/>
          </w:p>
        </w:tc>
        <w:tc>
          <w:tcPr>
            <w:tcBorders/>
            <w:tcW w:w="1802" w:type="dxa"/>
            <w:vAlign w:val="center"/>
            <w:textDirection w:val="lrTb"/>
            <w:noWrap/>
          </w:tcPr>
          <w:p w14:paraId="2068F1BE">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2193" w:type="dxa"/>
            <w:vAlign w:val="center"/>
            <w:textDirection w:val="lrTb"/>
            <w:noWrap w:val="false"/>
          </w:tcPr>
          <w:p w14:paraId="73CB3BB7">
            <w:pPr>
              <w:pBdr/>
              <w:spacing w:after="40" w:before="40" w:line="288" w:lineRule="auto"/>
              <w:ind/>
              <w:jc w:val="center"/>
              <w:rPr/>
            </w:pPr>
            <w:r>
              <w:rPr>
                <w:color w:val="000000" w:themeColor="text1"/>
              </w:rPr>
              <w:t xml:space="preserve">84.000.000</w:t>
            </w:r>
            <w:r/>
          </w:p>
        </w:tc>
        <w:tc>
          <w:tcPr>
            <w:shd w:val="clear" w:color="000000" w:fill="ffffff"/>
            <w:tcBorders/>
            <w:tcW w:w="2552" w:type="dxa"/>
            <w:vAlign w:val="center"/>
            <w:textDirection w:val="lrTb"/>
            <w:noWrap w:val="false"/>
          </w:tcPr>
          <w:p w14:paraId="4085E883">
            <w:pPr>
              <w:pBdr/>
              <w:spacing w:after="40" w:before="40" w:line="288" w:lineRule="auto"/>
              <w:ind/>
              <w:jc w:val="center"/>
              <w:rPr/>
            </w:pPr>
            <w:r>
              <w:rPr>
                <w:color w:val="000000" w:themeColor="text1"/>
              </w:rPr>
              <w:t xml:space="preserve">10.080.000.000</w:t>
            </w:r>
            <w:r/>
          </w:p>
        </w:tc>
      </w:tr>
      <w:tr>
        <w:trPr>
          <w:trHeight w:val="20"/>
        </w:trPr>
        <w:tc>
          <w:tcPr>
            <w:gridSpan w:val="4"/>
            <w:tcBorders/>
            <w:tcW w:w="6973" w:type="dxa"/>
            <w:vAlign w:val="center"/>
            <w:textDirection w:val="lrTb"/>
            <w:noWrap/>
          </w:tcPr>
          <w:p w14:paraId="1FF83152">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552" w:type="dxa"/>
            <w:vAlign w:val="center"/>
            <w:textDirection w:val="lrTb"/>
            <w:noWrap/>
          </w:tcPr>
          <w:p w14:paraId="45ED7676">
            <w:pPr>
              <w:pBdr/>
              <w:spacing w:after="40" w:before="40" w:line="288" w:lineRule="auto"/>
              <w:ind/>
              <w:jc w:val="center"/>
              <w:rPr>
                <w:b/>
                <w:bCs/>
                <w:color w:val="000000"/>
              </w:rPr>
            </w:pPr>
            <w:r>
              <w:rPr>
                <w:b/>
                <w:bCs/>
                <w:color w:val="000000"/>
              </w:rPr>
              <w:t xml:space="preserve">10.080.000.000</w:t>
            </w:r>
            <w:r>
              <w:rPr>
                <w:b/>
                <w:bCs/>
                <w:color w:val="000000"/>
              </w:rPr>
            </w:r>
            <w:r>
              <w:rPr>
                <w:b/>
                <w:bCs/>
                <w:color w:val="000000"/>
              </w:rPr>
            </w:r>
          </w:p>
        </w:tc>
      </w:tr>
      <w:tr>
        <w:trPr>
          <w:trHeight w:val="20"/>
        </w:trPr>
        <w:tc>
          <w:tcPr>
            <w:gridSpan w:val="5"/>
            <w:tcBorders/>
            <w:tcW w:w="9525" w:type="dxa"/>
            <w:vAlign w:val="center"/>
            <w:textDirection w:val="lrTb"/>
            <w:noWrap w:val="false"/>
          </w:tcPr>
          <w:p w14:paraId="21F64D13">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tám mươi triệu đồng chẵn</w:t>
            </w:r>
            <w:r>
              <w:rPr>
                <w:b/>
                <w:bCs/>
                <w:i/>
                <w:iCs/>
                <w:color w:val="000000"/>
              </w:rPr>
              <w:t xml:space="preserve">./.)</w:t>
            </w:r>
            <w:r>
              <w:rPr>
                <w:b/>
                <w:bCs/>
                <w:i/>
                <w:iCs/>
                <w:color w:val="000000"/>
              </w:rPr>
            </w:r>
            <w:r>
              <w:rPr>
                <w:b/>
                <w:bCs/>
                <w:i/>
                <w:iCs/>
                <w:color w:val="000000"/>
              </w:rPr>
            </w:r>
          </w:p>
        </w:tc>
      </w:tr>
    </w:tbl>
    <w:p w14:paraId="187E2E91" w14:textId="56B58432">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7"/>
        <w:pBdr/>
        <w:tabs>
          <w:tab w:val="left" w:leader="none" w:pos="993"/>
        </w:tabs>
        <w:spacing w:after="120" w:before="120" w:line="288" w:lineRule="auto"/>
        <w:ind w:left="0"/>
        <w:jc w:val="both"/>
        <w:rPr>
          <w:rFonts w:ascii="Times New Roman" w:hAnsi="Times New Roman" w:cs="Times New Roman"/>
          <w:sz w:val="24"/>
          <w:szCs w:val="24"/>
        </w:rPr>
      </w:pPr>
      <w:r>
        <w:rPr>
          <w:rFonts w:ascii="Times New Roman" w:hAnsi="Times New Roman" w:eastAsia="Times New Roman" w:cs="Times New Roman"/>
          <w:sz w:val="24"/>
          <w:szCs w:val="24"/>
          <w:lang w:val="vi-VN"/>
        </w:rPr>
        <w:t xml:space="preserve">Báo cáo kết quả thẩm định giá được phát hành 03</w:t>
      </w:r>
      <w:r>
        <w:rPr>
          <w:rFonts w:ascii="Times New Roman" w:hAnsi="Times New Roman" w:eastAsia="Times New Roman" w:cs="Times New Roman"/>
          <w:sz w:val="24"/>
          <w:szCs w:val="24"/>
          <w:lang w:val="vi-VN"/>
        </w:rPr>
        <w:t xml:space="preserve"> (ba) bản chính bằng tiếng Việt</w:t>
      </w:r>
      <w:r>
        <w:rPr>
          <w:rFonts w:ascii="Times New Roman" w:hAnsi="Times New Roman" w:eastAsia="Times New Roman" w:cs="Times New Roman"/>
          <w:sz w:val="24"/>
          <w:szCs w:val="24"/>
          <w:lang w:val="vi-VN"/>
        </w:rPr>
        <w:t xml:space="preserve"> kèm theo Chứng thư thẩm định giá số</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81b3a"/>
          <w:spacing w:val="3"/>
          <w:sz w:val="24"/>
          <w:szCs w:val="24"/>
          <w:highlight w:val="none"/>
        </w:rPr>
        <w:t xml:space="preserve">275/2026/0022/VFI-CT.51.A</w:t>
      </w:r>
      <w:r>
        <w:rPr>
          <w:rFonts w:ascii="Times New Roman" w:hAnsi="Times New Roman" w:eastAsia="Times New Roman" w:cs="Times New Roman"/>
          <w:color w:val="ff0000"/>
          <w:sz w:val="24"/>
          <w:szCs w:val="24"/>
          <w:lang w:val="vi-VN"/>
        </w:rPr>
        <w:t xml:space="preserve"> </w:t>
      </w:r>
      <w:r>
        <w:rPr>
          <w:rFonts w:ascii="Times New Roman" w:hAnsi="Times New Roman" w:eastAsia="Times New Roman" w:cs="Times New Roman"/>
          <w:color w:val="000000" w:themeColor="text1"/>
          <w:sz w:val="24"/>
          <w:szCs w:val="24"/>
        </w:rPr>
        <w:t xml:space="preserve">ngày 08 tháng 1 năm 2026</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sz w:val="24"/>
          <w:szCs w:val="24"/>
          <w:lang w:val="vi-VN"/>
        </w:rPr>
        <w:t xml:space="preserve">tại</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00000" w:themeColor="text1"/>
          <w:sz w:val="24"/>
          <w:szCs w:val="24"/>
          <w:lang w:val="vi-VN"/>
        </w:rPr>
        <w:t xml:space="preserve">Công ty Cổ phần Thẩm định và Đầu tư Tài chính Hoa Sen</w:t>
      </w:r>
      <w:r>
        <w:rPr>
          <w:rFonts w:ascii="Times New Roman" w:hAnsi="Times New Roman" w:eastAsia="Times New Roman" w:cs="Times New Roman"/>
          <w:sz w:val="24"/>
          <w:szCs w:val="24"/>
          <w:lang w:val="vi-VN"/>
        </w:rPr>
        <w:t xml:space="preserve">.</w:t>
      </w:r>
      <w:r>
        <w:rPr>
          <w:rFonts w:ascii="Times New Roman" w:hAnsi="Times New Roman" w:cs="Times New Roman"/>
          <w:sz w:val="24"/>
          <w:szCs w:val="24"/>
        </w:rPr>
      </w:r>
      <w:r>
        <w:rPr>
          <w:rFonts w:ascii="Times New Roman" w:hAnsi="Times New Roman" w:cs="Times New Roman"/>
          <w:sz w:val="24"/>
          <w:szCs w:val="24"/>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w:t>
      </w:r>
      <w:r>
        <w:rPr>
          <w:rFonts w:ascii="Times New Roman" w:hAnsi="Times New Roman" w:eastAsia="Times New Roman" w:cs="Times New Roman"/>
          <w:i/>
          <w:iCs/>
          <w:sz w:val="24"/>
          <w:szCs w:val="24"/>
          <w:lang w:val="pt-BR"/>
        </w:rPr>
        <w:t xml:space="preserve">Kèm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theo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Báo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số</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color w:val="081b3a"/>
          <w:spacing w:val="3"/>
          <w:sz w:val="24"/>
          <w:szCs w:val="24"/>
          <w:highlight w:val="none"/>
        </w:rPr>
        <w:t xml:space="preserve">275/2026/0022/VFI-BC.51.A</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08 tháng 1 năm 2026</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w:t>
      </w:r>
      <w:r>
        <w:rPr>
          <w:rFonts w:ascii="Times New Roman" w:hAnsi="Times New Roman" w:eastAsia="Times New Roman" w:cs="Times New Roman"/>
          <w:i/>
          <w:iCs/>
          <w:sz w:val="24"/>
          <w:szCs w:val="24"/>
          <w:lang w:val="pt-BR"/>
        </w:rPr>
        <w:t xml:space="preserve"> </w:t>
      </w:r>
      <w:r>
        <w:rPr>
          <w:rFonts w:ascii="Times New Roman" w:hAnsi="Times New Roman" w:cs="Times New Roman"/>
          <w:bCs/>
          <w:i/>
          <w:sz w:val="24"/>
          <w:szCs w:val="24"/>
        </w:rPr>
      </w:r>
      <w:r>
        <w:rPr>
          <w:rFonts w:ascii="Times New Roman" w:hAnsi="Times New Roman" w:cs="Times New Roman"/>
          <w:bCs/>
          <w:i/>
          <w:sz w:val="24"/>
          <w:szCs w:val="24"/>
        </w:rPr>
      </w:r>
    </w:p>
    <w:p w14:paraId="57CE21DC" w14:textId="0EE17E14">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ty</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Cổ</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phần</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và</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Đầu</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tư</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Tài</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chính</w:t>
      </w:r>
      <w:r>
        <w:rPr>
          <w:rFonts w:ascii="Times New Roman" w:hAnsi="Times New Roman" w:eastAsia="Times New Roman" w:cs="Times New Roman"/>
          <w:i/>
          <w:iCs/>
          <w:sz w:val="24"/>
          <w:szCs w:val="24"/>
          <w:lang w:val="pt-BR"/>
        </w:rPr>
        <w:t xml:space="preserve"> Hoa </w:t>
      </w:r>
      <w:r>
        <w:rPr>
          <w:rFonts w:ascii="Times New Roman" w:hAnsi="Times New Roman" w:eastAsia="Times New Roman" w:cs="Times New Roman"/>
          <w:i/>
          <w:iCs/>
          <w:sz w:val="24"/>
          <w:szCs w:val="24"/>
          <w:lang w:val="pt-BR"/>
        </w:rPr>
        <w:t xml:space="preserve">Sen</w:t>
      </w:r>
      <w:r>
        <w:rPr>
          <w:rFonts w:ascii="Times New Roman" w:hAnsi="Times New Roman" w:eastAsia="Times New Roman" w:cs="Times New Roman"/>
          <w:i/>
          <w:iCs/>
          <w:sz w:val="24"/>
          <w:szCs w:val="24"/>
          <w:lang w:val="pt-BR"/>
        </w:rPr>
        <w:t xml:space="preserve">)</w:t>
      </w:r>
      <w:r>
        <w:rPr>
          <w:rFonts w:ascii="Times New Roman" w:hAnsi="Times New Roman" w:cs="Times New Roman"/>
          <w:bCs/>
          <w:i/>
          <w:sz w:val="24"/>
          <w:szCs w:val="24"/>
        </w:rPr>
      </w:r>
      <w:r>
        <w:rPr>
          <w:rFonts w:ascii="Times New Roman" w:hAnsi="Times New Roman" w:cs="Times New Roman"/>
          <w:bCs/>
          <w:i/>
          <w:sz w:val="24"/>
          <w:szCs w:val="24"/>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34823E70">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62786" name=""/>
                              <pic:cNvPicPr>
                                <a:picLocks noChangeAspect="1"/>
                              </pic:cNvPicPr>
                              <pic:nvPr/>
                            </pic:nvPicPr>
                            <pic:blipFill rotWithShape="1">
                              <a:blip r:embed="rId18"/>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6.00pt;height:162.0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61375" name=""/>
                              <pic:cNvPicPr>
                                <a:picLocks noChangeAspect="1"/>
                              </pic:cNvPicPr>
                              <pic:nvPr/>
                            </pic:nvPicPr>
                            <pic:blipFill rotWithShape="1">
                              <a:blip r:embed="rId19"/>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2.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b/>
                <w:bCs/>
                <w:i/>
              </w:rPr>
            </w:pPr>
            <w:r>
              <w:rPr>
                <w:b/>
                <w:bCs/>
                <w:i/>
                <w:lang w:val="pt-BR"/>
              </w:rPr>
              <w:t xml:space="preserve">Hiện trạng tài sản</w:t>
            </w:r>
            <w:r>
              <w:rPr>
                <w:b/>
                <w:bCs/>
                <w:i/>
              </w:rPr>
            </w:r>
            <w:r>
              <w:rPr>
                <w:b/>
                <w:bCs/>
                <w:i/>
              </w:rPr>
            </w:r>
          </w:p>
        </w:tc>
        <w:tc>
          <w:tcPr>
            <w:tcBorders/>
            <w:tcW w:w="4757" w:type="dxa"/>
            <w:vAlign w:val="center"/>
            <w:textDirection w:val="lrTb"/>
            <w:noWrap w:val="false"/>
          </w:tcPr>
          <w:p w14:paraId="170F5859">
            <w:pPr>
              <w:pBdr/>
              <w:spacing w:after="120"/>
              <w:ind/>
              <w:jc w:val="center"/>
              <w:rPr>
                <w:b/>
                <w:bCs/>
                <w:i/>
              </w:rPr>
            </w:pPr>
            <w:r>
              <w:rPr>
                <w:b/>
                <w:bCs/>
                <w:i/>
                <w:lang w:val="pt-BR"/>
              </w:rPr>
              <w:t xml:space="preserve">Hiện trạng tài sản</w:t>
            </w:r>
            <w:r>
              <w:rPr>
                <w:b/>
                <w:bCs/>
                <w:i/>
              </w:rPr>
            </w:r>
            <w:r>
              <w:rPr>
                <w:b/>
                <w:bCs/>
                <w:i/>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82782" name=""/>
                              <pic:cNvPicPr>
                                <a:picLocks noChangeAspect="1"/>
                              </pic:cNvPicPr>
                              <pic:nvPr/>
                            </pic:nvPicPr>
                            <pic:blipFill rotWithShape="1">
                              <a:blip r:embed="rId20"/>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2.00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828800" cy="244144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71239" name=""/>
                              <pic:cNvPicPr>
                                <a:picLocks noChangeAspect="1"/>
                              </pic:cNvPicPr>
                              <pic:nvPr/>
                            </pic:nvPicPr>
                            <pic:blipFill rotWithShape="1">
                              <a:blip r:embed="rId21"/>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92.24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vMerge w:val="restart"/>
            <w:textDirection w:val="lrTb"/>
            <w:noWrap w:val="false"/>
          </w:tcPr>
          <w:p w14:paraId="1FD367C7">
            <w:pPr>
              <w:pBdr/>
              <w:spacing w:after="120"/>
              <w:ind/>
              <w:jc w:val="center"/>
              <w:rPr>
                <w:b/>
                <w:bCs/>
                <w:i/>
              </w:rPr>
            </w:pPr>
            <w:r>
              <w:rPr>
                <w:b/>
                <w:bCs/>
                <w:i/>
                <w:iCs/>
                <w:lang w:val="pt-BR"/>
              </w:rPr>
              <w:t xml:space="preserve">Hướng của tài sản</w:t>
            </w:r>
            <w:r>
              <w:rPr>
                <w:b/>
                <w:bCs/>
                <w:i/>
              </w:rPr>
            </w:r>
            <w:r>
              <w:rPr>
                <w:b/>
                <w:bCs/>
                <w:i/>
              </w:rPr>
            </w:r>
          </w:p>
        </w:tc>
        <w:tc>
          <w:tcPr>
            <w:tcBorders/>
            <w:tcW w:w="4757" w:type="dxa"/>
            <w:vAlign w:val="center"/>
            <w:vMerge w:val="restart"/>
            <w:textDirection w:val="lrTb"/>
            <w:noWrap w:val="false"/>
          </w:tcPr>
          <w:p w14:paraId="20617BEC">
            <w:pPr>
              <w:pBdr/>
              <w:spacing w:after="120"/>
              <w:ind/>
              <w:jc w:val="center"/>
              <w:rPr>
                <w:b/>
                <w:bCs/>
                <w:i/>
              </w:rPr>
            </w:pPr>
            <w:r>
              <w:rPr>
                <w:b/>
                <w:bCs/>
                <w:i/>
                <w:lang w:val="pt-BR"/>
              </w:rPr>
              <w:t xml:space="preserve">Thành phần tham gia khảo sát</w:t>
            </w:r>
            <w:r>
              <w:rPr>
                <w:b/>
                <w:bCs/>
                <w:i/>
              </w:rPr>
            </w:r>
            <w:r>
              <w:rPr>
                <w:b/>
                <w:bCs/>
                <w:i/>
              </w:rPr>
            </w:r>
          </w:p>
        </w:tc>
      </w:tr>
      <w:tr>
        <w:trPr/>
        <w:tc>
          <w:tcPr>
            <w:tcBorders/>
            <w:tcW w:w="4758" w:type="dxa"/>
            <w:vAlign w:val="center"/>
            <w:vMerge w:val="restart"/>
            <w:textDirection w:val="lrTb"/>
            <w:noWrap w:val="false"/>
          </w:tcPr>
          <w:p w14:paraId="32B48A1B">
            <w:pPr>
              <w:pBdr/>
              <w:spacing w:after="120"/>
              <w:ind/>
              <w:jc w:val="center"/>
              <w:rPr>
                <w:b/>
                <w:bCs/>
                <w:i/>
                <w:iCs/>
                <w:lang w:val="pt-BR"/>
              </w:rPr>
            </w:pPr>
            <w:r>
              <w:rPr>
                <w:b/>
                <w:bCs/>
                <w:i/>
                <w:iCs/>
                <w:lang w:val="pt-BR"/>
              </w:rPr>
            </w:r>
            <w:r>
              <mc:AlternateContent>
                <mc:Choice Requires="wpg">
                  <w:drawing>
                    <wp:inline xmlns:wp="http://schemas.openxmlformats.org/drawingml/2006/wordprocessingDrawing" distT="0" distB="0" distL="0" distR="0">
                      <wp:extent cx="914400" cy="202996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71365" name=""/>
                              <pic:cNvPicPr>
                                <a:picLocks noChangeAspect="1"/>
                              </pic:cNvPicPr>
                              <pic:nvPr/>
                            </pic:nvPicPr>
                            <pic:blipFill rotWithShape="1">
                              <a:blip r:embed="rId22"/>
                              <a:stretch/>
                            </pic:blipFill>
                            <pic:spPr bwMode="auto">
                              <a:xfrm rot="0" flipH="0" flipV="0">
                                <a:off x="0" y="0"/>
                                <a:ext cx="914400" cy="2029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72.00pt;height:159.84pt;mso-wrap-distance-left:0.00pt;mso-wrap-distance-top:0.00pt;mso-wrap-distance-right:0.00pt;mso-wrap-distance-bottom:0.00pt;rotation:0;z-index:1;" stroked="false">
                      <v:imagedata r:id="rId22" o:title=""/>
                      <o:lock v:ext="edit" rotation="t"/>
                    </v:shape>
                  </w:pict>
                </mc:Fallback>
              </mc:AlternateContent>
            </w:r>
            <w:r>
              <w:rPr>
                <w:b/>
                <w:bCs/>
                <w:i/>
                <w:iCs/>
                <w:lang w:val="pt-BR"/>
              </w:rPr>
            </w:r>
            <w:r>
              <w:rPr>
                <w:b/>
                <w:bCs/>
                <w:i/>
                <w:iCs/>
                <w:lang w:val="pt-BR"/>
              </w:rPr>
            </w:r>
          </w:p>
        </w:tc>
        <w:tc>
          <w:tcPr>
            <w:tcBorders/>
            <w:tcW w:w="4757" w:type="dxa"/>
            <w:vAlign w:val="center"/>
            <w:vMerge w:val="restart"/>
            <w:textDirection w:val="lrTb"/>
            <w:noWrap w:val="false"/>
          </w:tcPr>
          <w:p w14:paraId="09987262">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2054" name=""/>
                              <pic:cNvPicPr>
                                <a:picLocks noChangeAspect="1"/>
                              </pic:cNvPicPr>
                              <pic:nvPr/>
                            </pic:nvPicPr>
                            <pic:blipFill rotWithShape="1">
                              <a:blip r:embed="rId23"/>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0pt;height:162.0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1B90E19C">
      <w:pPr>
        <w:pBdr/>
        <w:spacing w:after="200" w:line="276" w:lineRule="auto"/>
        <w:ind/>
        <w:jc w:val="center"/>
        <w:rPr>
          <w:b/>
          <w:bCs/>
          <w:i/>
          <w:highlight w:val="none"/>
        </w:rPr>
      </w:pPr>
      <w:r>
        <w:rPr>
          <w:b/>
          <w:bCs/>
          <w:i/>
          <w:iCs/>
          <w:highlight w:val="none"/>
        </w:rPr>
        <w:t xml:space="preserve">PHÁP LÝ CỦA TÀI SẢN</w:t>
      </w:r>
      <w:r>
        <w:rPr>
          <w:b/>
          <w:bCs/>
          <w:i/>
          <w:highlight w:val="none"/>
        </w:rPr>
      </w:r>
      <w:r>
        <w:rPr>
          <w:b/>
          <w:bCs/>
          <w:i/>
          <w:highlight w:val="none"/>
        </w:rPr>
      </w:r>
    </w:p>
    <w:p w14:paraId="55E6F973">
      <w:pPr>
        <w:pBdr/>
        <w:spacing w:after="200" w:line="276" w:lineRule="auto"/>
        <w:ind/>
        <w:jc w:val="center"/>
        <w:rPr>
          <w:b/>
          <w:bCs/>
          <w:i/>
          <w:highlight w:val="none"/>
        </w:rPr>
      </w:pPr>
      <w:r>
        <w:rPr>
          <w:b/>
          <w:bCs/>
          <w:i/>
          <w:iCs/>
          <w:highlight w:val="none"/>
        </w:rPr>
      </w:r>
      <w:r>
        <mc:AlternateContent>
          <mc:Choice Requires="wpg">
            <w:drawing>
              <wp:inline xmlns:wp="http://schemas.openxmlformats.org/drawingml/2006/wordprocessingDrawing" distT="0" distB="0" distL="0" distR="0">
                <wp:extent cx="4114800" cy="554937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97514" name=""/>
                        <pic:cNvPicPr>
                          <a:picLocks noChangeAspect="1"/>
                        </pic:cNvPicPr>
                        <pic:nvPr/>
                      </pic:nvPicPr>
                      <pic:blipFill rotWithShape="1">
                        <a:blip r:embed="rId24"/>
                        <a:stretch/>
                      </pic:blipFill>
                      <pic:spPr bwMode="auto">
                        <a:xfrm rot="0" flipH="0" flipV="0">
                          <a:off x="0" y="0"/>
                          <a:ext cx="4114800" cy="55493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24.00pt;height:436.96pt;mso-wrap-distance-left:0.00pt;mso-wrap-distance-top:0.00pt;mso-wrap-distance-right:0.00pt;mso-wrap-distance-bottom:0.00pt;rotation:0;z-index:1;" stroked="false">
                <v:imagedata r:id="rId24" o:title=""/>
                <o:lock v:ext="edit" rotation="t"/>
              </v:shape>
            </w:pict>
          </mc:Fallback>
        </mc:AlternateContent>
      </w:r>
      <w:r>
        <w:rPr>
          <w:b/>
          <w:bCs/>
          <w:i/>
          <w:highlight w:val="none"/>
        </w:rPr>
      </w:r>
      <w:r>
        <w:rPr>
          <w:b/>
          <w:bCs/>
          <w:i/>
          <w:highlight w:val="none"/>
        </w:rPr>
      </w:r>
    </w:p>
    <w:p w14:paraId="39667EAB">
      <w:pPr>
        <w:pBdr/>
        <w:spacing w:after="200" w:line="276" w:lineRule="auto"/>
        <w:ind/>
        <w:jc w:val="center"/>
        <w:rPr>
          <w:b/>
          <w:bCs/>
          <w:i/>
          <w:highlight w:val="none"/>
        </w:rPr>
      </w:pPr>
      <w:r>
        <w:rPr>
          <w:b/>
          <w:bCs/>
          <w:i/>
          <w:iCs/>
          <w:highlight w:val="none"/>
        </w:rPr>
        <w:t xml:space="preserve"> </w:t>
      </w:r>
      <w:r>
        <mc:AlternateContent>
          <mc:Choice Requires="wpg">
            <w:drawing>
              <wp:inline xmlns:wp="http://schemas.openxmlformats.org/drawingml/2006/wordprocessingDrawing" distT="0" distB="0" distL="0" distR="0">
                <wp:extent cx="4572000" cy="318211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54198" name=""/>
                        <pic:cNvPicPr>
                          <a:picLocks noChangeAspect="1"/>
                        </pic:cNvPicPr>
                        <pic:nvPr/>
                      </pic:nvPicPr>
                      <pic:blipFill rotWithShape="1">
                        <a:blip r:embed="rId25"/>
                        <a:stretch/>
                      </pic:blipFill>
                      <pic:spPr bwMode="auto">
                        <a:xfrm rot="0" flipH="0" flipV="0">
                          <a:off x="0" y="0"/>
                          <a:ext cx="4572000" cy="31821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60.00pt;height:250.56pt;mso-wrap-distance-left:0.00pt;mso-wrap-distance-top:0.00pt;mso-wrap-distance-right:0.00pt;mso-wrap-distance-bottom:0.00pt;rotation:0;z-index:1;" stroked="false">
                <v:imagedata r:id="rId25" o:title=""/>
                <o:lock v:ext="edit" rotation="t"/>
              </v:shape>
            </w:pict>
          </mc:Fallback>
        </mc:AlternateContent>
      </w:r>
      <w:r>
        <w:rPr>
          <w:b/>
          <w:bCs/>
          <w:i/>
          <w:highlight w:val="none"/>
        </w:rPr>
      </w:r>
      <w:r>
        <w:rPr>
          <w:b/>
          <w:bCs/>
          <w:i/>
          <w:highlight w:val="none"/>
        </w:rPr>
      </w:r>
    </w:p>
    <w:p w14:paraId="451AB24B">
      <w:pPr>
        <w:pBdr/>
        <w:spacing w:after="200" w:line="276" w:lineRule="auto"/>
        <w:ind/>
        <w:jc w:val="center"/>
        <w:rPr>
          <w:b/>
          <w:bCs/>
          <w:i/>
          <w:highlight w:val="none"/>
        </w:rPr>
      </w:pPr>
      <w:r>
        <w:rPr>
          <w:b/>
          <w:bCs/>
          <w:i/>
          <w:iCs/>
          <w:highlight w:val="none"/>
        </w:rPr>
      </w:r>
      <w:r>
        <w:rPr>
          <w:b/>
          <w:bCs/>
          <w:i/>
          <w:iCs/>
          <w:highlight w:val="none"/>
        </w:rPr>
        <w:t xml:space="preserve">BIÊN BẢN KHẢO SÁT</w:t>
      </w:r>
      <w:r>
        <w:rPr>
          <w:b/>
          <w:bCs/>
          <w:i/>
          <w:highlight w:val="none"/>
        </w:rPr>
      </w:r>
      <w:r>
        <w:rPr>
          <w:b/>
          <w:bCs/>
          <w:i/>
          <w:highlight w:val="none"/>
        </w:rPr>
      </w:r>
    </w:p>
    <w:p w14:paraId="29EE7969">
      <w:pPr>
        <w:pBdr/>
        <w:spacing w:after="200" w:line="276" w:lineRule="auto"/>
        <w:ind/>
        <w:jc w:val="center"/>
        <w:rPr>
          <w:b/>
          <w:bCs/>
          <w:i/>
        </w:rPr>
      </w:pPr>
      <w:r>
        <w:rPr>
          <w:b/>
          <w:bCs/>
          <w:i/>
          <w:iCs/>
          <w:highlight w:val="none"/>
        </w:rPr>
      </w:r>
      <w:r>
        <mc:AlternateContent>
          <mc:Choice Requires="wpg">
            <w:drawing>
              <wp:inline xmlns:wp="http://schemas.openxmlformats.org/drawingml/2006/wordprocessingDrawing" distT="0" distB="0" distL="0" distR="0">
                <wp:extent cx="6048375" cy="869878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28079" name=""/>
                        <pic:cNvPicPr>
                          <a:picLocks noChangeAspect="1"/>
                        </pic:cNvPicPr>
                        <pic:nvPr/>
                      </pic:nvPicPr>
                      <pic:blipFill rotWithShape="1">
                        <a:blip r:embed="rId26"/>
                        <a:stretch/>
                      </pic:blipFill>
                      <pic:spPr bwMode="auto">
                        <a:xfrm>
                          <a:off x="0" y="0"/>
                          <a:ext cx="6048374" cy="86987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84.94pt;mso-wrap-distance-left:0.00pt;mso-wrap-distance-top:0.00pt;mso-wrap-distance-right:0.00pt;mso-wrap-distance-bottom:0.00pt;z-index:1;" stroked="false">
                <v:imagedata r:id="rId26" o:title=""/>
                <o:lock v:ext="edit" rotation="t"/>
              </v:shape>
            </w:pict>
          </mc:Fallback>
        </mc:AlternateContent>
      </w:r>
      <w:r>
        <w:rPr>
          <w:b/>
          <w:bCs/>
          <w:i/>
        </w:rPr>
      </w:r>
      <w:r>
        <w:rPr>
          <w:b/>
          <w:bCs/>
          <w:i/>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w:t>
      </w:r>
      <w:r>
        <w:rPr>
          <w:rFonts w:ascii="Times New Roman" w:hAnsi="Times New Roman" w:eastAsia="Times New Roman" w:cs="Times New Roman"/>
          <w:i/>
          <w:iCs/>
          <w:sz w:val="24"/>
          <w:szCs w:val="24"/>
          <w:lang w:val="pt-BR"/>
        </w:rPr>
        <w:t xml:space="preserve">Kèm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theo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Báo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số</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color w:val="081b3a"/>
          <w:spacing w:val="3"/>
          <w:sz w:val="24"/>
          <w:szCs w:val="24"/>
          <w:highlight w:val="none"/>
        </w:rPr>
        <w:t xml:space="preserve">275/2026/0022/VFI-BC.51.A</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08 tháng 1 năm 2026</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w:t>
      </w:r>
      <w:r>
        <w:rPr>
          <w:rFonts w:ascii="Times New Roman" w:hAnsi="Times New Roman" w:eastAsia="Times New Roman" w:cs="Times New Roman"/>
          <w:i/>
          <w:iCs/>
          <w:sz w:val="24"/>
          <w:szCs w:val="24"/>
          <w:lang w:val="pt-BR"/>
        </w:rPr>
        <w:t xml:space="preserve"> </w:t>
      </w:r>
      <w:r>
        <w:rPr>
          <w:rFonts w:ascii="Times New Roman" w:hAnsi="Times New Roman" w:cs="Times New Roman"/>
          <w:bCs/>
          <w:i/>
          <w:sz w:val="24"/>
          <w:szCs w:val="24"/>
        </w:rPr>
      </w:r>
      <w:r>
        <w:rPr>
          <w:rFonts w:ascii="Times New Roman" w:hAnsi="Times New Roman" w:cs="Times New Roman"/>
          <w:bCs/>
          <w:i/>
          <w:sz w:val="24"/>
          <w:szCs w:val="24"/>
        </w:rPr>
      </w:r>
    </w:p>
    <w:p w14:paraId="3751A12B" w14:textId="3801AB2C">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ty</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Cổ</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phần</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và</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Đầu</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tư</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Tài</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chính</w:t>
      </w:r>
      <w:r>
        <w:rPr>
          <w:rFonts w:ascii="Times New Roman" w:hAnsi="Times New Roman" w:eastAsia="Times New Roman" w:cs="Times New Roman"/>
          <w:i/>
          <w:iCs/>
          <w:sz w:val="24"/>
          <w:szCs w:val="24"/>
          <w:lang w:val="pt-BR"/>
        </w:rPr>
        <w:t xml:space="preserve"> Hoa </w:t>
      </w:r>
      <w:r>
        <w:rPr>
          <w:rFonts w:ascii="Times New Roman" w:hAnsi="Times New Roman" w:eastAsia="Times New Roman" w:cs="Times New Roman"/>
          <w:i/>
          <w:iCs/>
          <w:sz w:val="24"/>
          <w:szCs w:val="24"/>
          <w:lang w:val="pt-BR"/>
        </w:rPr>
        <w:t xml:space="preserve">Sen</w:t>
      </w:r>
      <w:r>
        <w:rPr>
          <w:rFonts w:ascii="Times New Roman" w:hAnsi="Times New Roman" w:eastAsia="Times New Roman" w:cs="Times New Roman"/>
          <w:i/>
          <w:iCs/>
          <w:sz w:val="24"/>
          <w:szCs w:val="24"/>
          <w:lang w:val="pt-BR"/>
        </w:rPr>
        <w:t xml:space="preserve">)</w:t>
      </w:r>
      <w:r>
        <w:rPr>
          <w:rFonts w:ascii="Times New Roman" w:hAnsi="Times New Roman" w:cs="Times New Roman"/>
          <w:bCs/>
          <w:i/>
          <w:sz w:val="24"/>
          <w:szCs w:val="24"/>
        </w:rPr>
      </w:r>
      <w:r>
        <w:rPr>
          <w:rFonts w:ascii="Times New Roman" w:hAnsi="Times New Roman" w:cs="Times New Roman"/>
          <w:bCs/>
          <w:i/>
          <w:sz w:val="24"/>
          <w:szCs w:val="24"/>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https://www.facebook.com/share/p/15iND3uWnb/</w:t>
            </w:r>
            <w:r>
              <w:rPr>
                <w:color w:val="000000" w:themeColor="text1"/>
                <w:sz w:val="22"/>
                <w:szCs w:val="22"/>
              </w:rPr>
              <w:br/>
              <w:t xml:space="preserve">0973824625</w:t>
            </w:r>
            <w:r>
              <w:rPr>
                <w:sz w:val="22"/>
                <w:szCs w:val="22"/>
              </w:rPr>
              <w:t xml:space="preserve"> </w:t>
            </w:r>
            <w:r>
              <w:rPr>
                <w:sz w:val="22"/>
                <w:szCs w:val="22"/>
              </w:rPr>
              <w:br/>
              <w:t xml:space="preserve">(Hồng Chuyên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2C75CB">
            <w:pPr>
              <w:pBdr/>
              <w:spacing/>
              <w:ind/>
              <w:jc w:val="center"/>
              <w:rPr>
                <w:color w:val="000000"/>
                <w:sz w:val="22"/>
                <w:szCs w:val="22"/>
              </w:rPr>
            </w:pPr>
            <w:r>
              <w:rPr>
                <w:sz w:val="22"/>
                <w:szCs w:val="22"/>
              </w:rPr>
            </w:r>
            <w:r>
              <w:rPr>
                <w:color w:val="000000" w:themeColor="text1"/>
                <w:sz w:val="22"/>
                <w:szCs w:val="22"/>
              </w:rPr>
              <w:t xml:space="preserve">Nằm tiếp giáp đường  DT429</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6170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4617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2.5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552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1552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7.1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rPr>
            </w:r>
            <w:r>
              <w:rPr>
                <w:b/>
                <w:bCs/>
                <w:i/>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https://www.facebook.com/share/p/1G9YGEVf82/</w:t>
            </w:r>
            <w:r>
              <w:rPr>
                <w:color w:val="000000" w:themeColor="text1"/>
                <w:sz w:val="22"/>
                <w:szCs w:val="22"/>
              </w:rPr>
              <w:br/>
              <w:t xml:space="preserve">0968260676</w:t>
            </w:r>
            <w:r>
              <w:rPr>
                <w:sz w:val="22"/>
                <w:szCs w:val="22"/>
              </w:rPr>
              <w:t xml:space="preserve"> </w:t>
            </w:r>
            <w:r>
              <w:rPr>
                <w:sz w:val="22"/>
                <w:szCs w:val="22"/>
              </w:rPr>
              <w:br/>
              <w:t xml:space="preserve">(Quang Lanh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F8C744">
            <w:pPr>
              <w:pBdr/>
              <w:spacing/>
              <w:ind/>
              <w:jc w:val="center"/>
              <w:rPr>
                <w:color w:val="000000"/>
                <w:sz w:val="22"/>
                <w:szCs w:val="22"/>
              </w:rPr>
            </w:pPr>
            <w:r>
              <w:rPr>
                <w:color w:val="000000" w:themeColor="text1"/>
                <w:sz w:val="22"/>
                <w:szCs w:val="22"/>
              </w:rPr>
            </w:r>
            <w:r>
              <w:rPr>
                <w:color w:val="000000" w:themeColor="text1"/>
                <w:sz w:val="22"/>
                <w:szCs w:val="22"/>
              </w:rPr>
              <w:t xml:space="preserve">Nằm tiếp giáp đường  DT429</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7200" w:type="dxa"/>
            <w:vAlign w:val="center"/>
            <w:textDirection w:val="lrTb"/>
            <w:noWrap w:val="false"/>
          </w:tcPr>
          <w:p w14:paraId="7633C3A5" w14:textId="77777777">
            <w:pPr>
              <w:pBdr/>
              <w:spacing w:line="276" w:lineRule="auto"/>
              <w:ind/>
              <w:jc w:val="left"/>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743200" cy="209397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57455" name=""/>
                              <pic:cNvPicPr>
                                <a:picLocks noChangeAspect="1"/>
                              </pic:cNvPicPr>
                              <pic:nvPr/>
                            </pic:nvPicPr>
                            <pic:blipFill rotWithShape="1">
                              <a:blip r:embed="rId30"/>
                              <a:stretch/>
                            </pic:blipFill>
                            <pic:spPr bwMode="auto">
                              <a:xfrm rot="0" flipH="0" flipV="0">
                                <a:off x="0" y="0"/>
                                <a:ext cx="2743199" cy="2093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164.88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447800" cy="7715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12882" name=""/>
                              <pic:cNvPicPr>
                                <a:picLocks noChangeAspect="1"/>
                              </pic:cNvPicPr>
                              <pic:nvPr/>
                            </pic:nvPicPr>
                            <pic:blipFill rotWithShape="1">
                              <a:blip r:embed="rId31"/>
                              <a:stretch/>
                            </pic:blipFill>
                            <pic:spPr bwMode="auto">
                              <a:xfrm>
                                <a:off x="0" y="0"/>
                                <a:ext cx="1447799" cy="771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4.00pt;height:60.75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rPr>
            </w:r>
            <w:r>
              <w:rPr>
                <w:b/>
                <w:bCs/>
                <w:i/>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tiép</w:t>
            </w:r>
            <w:r>
              <w:rPr>
                <w:color w:val="000000" w:themeColor="text1"/>
                <w:sz w:val="22"/>
                <w:szCs w:val="22"/>
              </w:rPr>
              <w:br/>
            </w:r>
            <w:r>
              <w:rPr>
                <w:sz w:val="22"/>
                <w:szCs w:val="22"/>
              </w:rPr>
              <w:t xml:space="preserve">SĐT: </w:t>
            </w:r>
            <w:r>
              <w:rPr>
                <w:color w:val="000000" w:themeColor="text1"/>
                <w:sz w:val="22"/>
                <w:szCs w:val="22"/>
              </w:rPr>
              <w:t xml:space="preserve">0968260676 s</w:t>
            </w:r>
            <w:r>
              <w:rPr>
                <w:sz w:val="22"/>
                <w:szCs w:val="22"/>
              </w:rPr>
              <w:t xml:space="preserve"> </w:t>
            </w:r>
            <w:r>
              <w:rPr>
                <w:sz w:val="22"/>
                <w:szCs w:val="22"/>
              </w:rPr>
              <w:br/>
              <w:t xml:space="preserve">(Quang Lanh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(78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5CCEB6C">
            <w:pPr>
              <w:pBdr/>
              <w:spacing/>
              <w:ind/>
              <w:jc w:val="center"/>
              <w:rPr>
                <w:color w:val="000000"/>
                <w:sz w:val="22"/>
                <w:szCs w:val="22"/>
              </w:rPr>
            </w:pPr>
            <w:r>
              <w:rPr>
                <w:color w:val="000000" w:themeColor="text1"/>
                <w:sz w:val="22"/>
                <w:szCs w:val="22"/>
              </w:rPr>
            </w:r>
            <w:r>
              <w:rPr>
                <w:color w:val="000000" w:themeColor="text1"/>
                <w:sz w:val="22"/>
                <w:szCs w:val="22"/>
              </w:rPr>
              <w:t xml:space="preserve">Nằm tiếp giáp đường  DT429</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18304"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11830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45.5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9122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1912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0.0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1F9A05E1">
            <w:pPr>
              <w:pBdr/>
              <w:spacing/>
              <w:ind/>
              <w:jc w:val="center"/>
              <w:rPr>
                <w:b/>
                <w:bCs/>
                <w:i/>
              </w:rPr>
            </w:pPr>
            <w:r>
              <w:rPr>
                <w:b/>
                <w:bCs/>
                <w:i/>
                <w:iCs/>
              </w:rPr>
              <w:t xml:space="preserve">Nguyễn Đăng Hiếu</w:t>
            </w:r>
            <w:r>
              <w:rPr>
                <w:b/>
                <w:bCs/>
                <w:i/>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BDC0153"/>
    <w:lvl w:ilvl="0">
      <w:isLgl w:val="false"/>
      <w:lvlJc w:val="left"/>
      <w:lvlText w:val="-"/>
      <w:numFmt w:val="bullet"/>
      <w:pPr>
        <w:pBdr/>
        <w:spacing/>
        <w:ind w:hanging="360" w:left="360"/>
      </w:pPr>
      <w:rPr>
        <w:rFonts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76D2159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2">
    <w:nsid w:val="7B8361BE"/>
    <w:lvl w:ilvl="0">
      <w:isLgl w:val="false"/>
      <w:lvlJc w:val="left"/>
      <w:lvlText w:val="–"/>
      <w:numFmt w:val="bullet"/>
      <w:pPr>
        <w:pBdr/>
        <w:spacing/>
        <w:ind w:hanging="360" w:left="720"/>
      </w:pPr>
      <w:rPr>
        <w:rFonts w:ascii="Arial" w:hAnsi="Arial" w:eastAsia="Arial" w:cs="Aria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272</cp:revision>
  <dcterms:created xsi:type="dcterms:W3CDTF">2025-09-15T09:58:00Z</dcterms:created>
  <dcterms:modified xsi:type="dcterms:W3CDTF">2026-01-12T07:18:03Z</dcterms:modified>
</cp:coreProperties>
</file>