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33497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33497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275/2026/7777/VFI-CT.57.A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127(1), tờ bản đồ 32 có địa chỉ: Thôn Thanh Vị, Xã Thanh Mỹ, Thị Xã Sơn Tây, Thành phố Hà Nội (Nay là Phường Tùng Thiện, Thành Phố Hà Nội) theo Giấy chứng nhận quyền sử dụng đất, quyền sở hữu nhà ở và tài sản khác gắn liền</w:t>
                            </w:r>
                            <w:r>
                              <w:rPr>
                                <w:rFonts w:ascii="Times New Roman" w:hAnsi="Times New Roman" w:eastAsia="Times New Roman" w:cs="Times New Roman"/>
                                <w:color w:val="000000"/>
                                <w:sz w:val="24"/>
                              </w:rPr>
                              <w:t xml:space="preserve"> với đất số: </w:t>
                            </w:r>
                            <w:r>
                              <w:rPr>
                                <w:color w:val="000000"/>
                              </w:rPr>
                              <w:t xml:space="preserve"> BĐ 721604</w:t>
                            </w:r>
                            <w:r/>
                            <w:r>
                              <w:rPr>
                                <w:rFonts w:ascii="Times New Roman" w:hAnsi="Times New Roman" w:eastAsia="Times New Roman" w:cs="Times New Roman"/>
                                <w:color w:val="000000"/>
                                <w:sz w:val="24"/>
                              </w:rPr>
                              <w:t xml:space="preserve">, số vào sổ cấp GCN </w:t>
                            </w:r>
                            <w:r>
                              <w:rPr>
                                <w:color w:val="000000"/>
                              </w:rPr>
                              <w:t xml:space="preserve">CH 00169</w:t>
                            </w:r>
                            <w:r/>
                            <w:r>
                              <w:rPr>
                                <w:rFonts w:ascii="Times New Roman" w:hAnsi="Times New Roman" w:eastAsia="Times New Roman" w:cs="Times New Roman"/>
                                <w:color w:val="000000"/>
                                <w:sz w:val="24"/>
                              </w:rPr>
                              <w:t xml:space="preserve"> do </w:t>
                            </w:r>
                            <w:r>
                              <w:rPr>
                                <w:color w:val="000000"/>
                              </w:rPr>
                              <w:t xml:space="preserve">Ủy Ban Nhân Dân Thị Xã Sơn Tây</w:t>
                            </w:r>
                            <w:r>
                              <w:rPr>
                                <w:rFonts w:ascii="Times New Roman" w:hAnsi="Times New Roman" w:eastAsia="Times New Roman" w:cs="Times New Roman"/>
                                <w:color w:val="000000"/>
                                <w:sz w:val="24"/>
                              </w:rPr>
                              <w:t xml:space="preserve"> cấp ngày 24/7/2012; Chủ sử dụng đất là Bà Nguyễn Thị Mạch.</w:t>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62.6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275/2026/7777/VFI-CT.57.A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127(1), tờ bản đồ 32 có địa chỉ: Thôn Thanh Vị, Xã Thanh Mỹ, Thị Xã Sơn Tây, Thành phố Hà Nội (Nay là Phường Tùng Thiện, Thành Phố Hà Nội) theo Giấy chứng nhận quyền sử dụng đất, quyền sở hữu nhà ở và tài sản khác gắn liền</w:t>
                      </w:r>
                      <w:r>
                        <w:rPr>
                          <w:rFonts w:ascii="Times New Roman" w:hAnsi="Times New Roman" w:eastAsia="Times New Roman" w:cs="Times New Roman"/>
                          <w:color w:val="000000"/>
                          <w:sz w:val="24"/>
                        </w:rPr>
                        <w:t xml:space="preserve"> với đất số: </w:t>
                      </w:r>
                      <w:r>
                        <w:rPr>
                          <w:color w:val="000000"/>
                        </w:rPr>
                        <w:t xml:space="preserve"> BĐ 721604</w:t>
                      </w:r>
                      <w:r/>
                      <w:r>
                        <w:rPr>
                          <w:rFonts w:ascii="Times New Roman" w:hAnsi="Times New Roman" w:eastAsia="Times New Roman" w:cs="Times New Roman"/>
                          <w:color w:val="000000"/>
                          <w:sz w:val="24"/>
                        </w:rPr>
                        <w:t xml:space="preserve">, số vào sổ cấp GCN </w:t>
                      </w:r>
                      <w:r>
                        <w:rPr>
                          <w:color w:val="000000"/>
                        </w:rPr>
                        <w:t xml:space="preserve">CH 00169</w:t>
                      </w:r>
                      <w:r/>
                      <w:r>
                        <w:rPr>
                          <w:rFonts w:ascii="Times New Roman" w:hAnsi="Times New Roman" w:eastAsia="Times New Roman" w:cs="Times New Roman"/>
                          <w:color w:val="000000"/>
                          <w:sz w:val="24"/>
                        </w:rPr>
                        <w:t xml:space="preserve"> do </w:t>
                      </w:r>
                      <w:r>
                        <w:rPr>
                          <w:color w:val="000000"/>
                        </w:rPr>
                        <w:t xml:space="preserve">Ủy Ban Nhân Dân Thị Xã Sơn Tây</w:t>
                      </w:r>
                      <w:r>
                        <w:rPr>
                          <w:rFonts w:ascii="Times New Roman" w:hAnsi="Times New Roman" w:eastAsia="Times New Roman" w:cs="Times New Roman"/>
                          <w:color w:val="000000"/>
                          <w:sz w:val="24"/>
                        </w:rPr>
                        <w:t xml:space="preserve"> cấp ngày 24/7/2012; Chủ sử dụng đất là Bà Nguyễn Thị Mạch.</w:t>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275/2026/7777/VFI-CT.57.A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3 tháng 4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HÙNG MAI</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275/2026/7777/VFI-HĐTĐ.57.A</w:t>
      </w:r>
      <w:r>
        <w:rPr>
          <w:spacing w:val="-4"/>
          <w:lang w:val="vi-VN"/>
        </w:rPr>
        <w:t xml:space="preserve"> ký ngày </w:t>
      </w:r>
      <w:r>
        <w:rPr>
          <w:spacing w:val="-4"/>
          <w:lang w:val="vi-VN"/>
        </w:rPr>
        <w:t xml:space="preserve"> </w:t>
      </w:r>
      <w:r>
        <w:rPr>
          <w:spacing w:val="-4"/>
          <w:lang w:val="vi-VN"/>
        </w:rPr>
        <w:t xml:space="preserve">giữa </w:t>
      </w:r>
      <w:r>
        <w:rPr>
          <w:color w:val="000000" w:themeColor="text1"/>
          <w:spacing w:val="-4"/>
        </w:rPr>
        <w:t xml:space="preserve">Công Ty TNHH Hùng Mai</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275/2026/7777/VFI-BC.57.A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CÔNG TY TNHH HÙNG MAI</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color w:val="000000"/>
                <w:sz w:val="24"/>
              </w:rPr>
              <w:t xml:space="preserve">0104176791</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Đại diện</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b/>
                <w:color w:val="000000"/>
                <w:sz w:val="24"/>
              </w:rPr>
              <w:t xml:space="preserve">Vũ Mạnh Thắng</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Chức vụ</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b/>
                <w:color w:val="000000"/>
                <w:sz w:val="24"/>
              </w:rPr>
              <w:t xml:space="preserve">Giám Đốc</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Thanh Vị, Xã Thanh Mỹ, Thị Xã Sơn Tây, Thành phố Hà Nội, Việt Nam </w:t>
            </w:r>
            <w:r>
              <w:rPr>
                <w:rFonts w:ascii="Times New Roman" w:hAnsi="Times New Roman" w:eastAsia="Times New Roman" w:cs="Times New Roman"/>
                <w:i/>
                <w:iCs/>
                <w:color w:val="000000"/>
                <w:sz w:val="24"/>
              </w:rPr>
              <w:t xml:space="preserve"> (Nay là Phường Tùng Thiện, Thành Phố Hà Nội)</w:t>
            </w:r>
            <w:r/>
            <w:r>
              <w:rPr>
                <w:rFonts w:ascii="Times New Roman" w:hAnsi="Times New Roman" w:eastAsia="Times New Roman" w:cs="Times New Roman"/>
                <w:color w:val="000000"/>
                <w:sz w:val="24"/>
              </w:rPr>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sz w:val="22"/>
          <w:szCs w:val="22"/>
        </w:rPr>
      </w:pPr>
      <w:r>
        <w:rPr>
          <w:b/>
          <w:bCs/>
          <w:sz w:val="22"/>
          <w:szCs w:val="22"/>
        </w:rPr>
        <w:t xml:space="preserve">3</w:t>
      </w:r>
      <w:r>
        <w:rPr>
          <w:b/>
          <w:bCs/>
          <w:sz w:val="22"/>
          <w:szCs w:val="22"/>
          <w:lang w:val="vi-VN"/>
        </w:rPr>
        <w:t xml:space="preserve">. </w:t>
      </w:r>
      <w:r>
        <w:rPr>
          <w:b/>
          <w:bCs/>
          <w:sz w:val="22"/>
          <w:szCs w:val="22"/>
        </w:rPr>
        <w:t xml:space="preserve">Tài sản thẩm định</w:t>
      </w:r>
      <w:r>
        <w:rPr>
          <w:b/>
          <w:bCs/>
          <w:sz w:val="22"/>
          <w:szCs w:val="22"/>
          <w:lang w:val="vi-VN"/>
        </w:rPr>
        <w:t xml:space="preserve">:</w:t>
      </w:r>
      <w:r>
        <w:rPr>
          <w:color w:val="000000" w:themeColor="text1"/>
          <w:sz w:val="22"/>
          <w:szCs w:val="22"/>
        </w:rPr>
        <w:t xml:space="preserve"> </w:t>
      </w:r>
      <w:r>
        <w:rPr>
          <w:rFonts w:ascii="Times New Roman" w:hAnsi="Times New Roman" w:eastAsia="Times New Roman" w:cs="Times New Roman"/>
          <w:color w:val="000000"/>
          <w:sz w:val="22"/>
          <w:szCs w:val="22"/>
        </w:rPr>
        <w:t xml:space="preserve">Q</w:t>
      </w:r>
      <w:r>
        <w:rPr>
          <w:rFonts w:ascii="Times New Roman" w:hAnsi="Times New Roman" w:eastAsia="Times New Roman" w:cs="Times New Roman"/>
          <w:color w:val="000000"/>
          <w:sz w:val="22"/>
          <w:szCs w:val="22"/>
        </w:rPr>
        <w:t xml:space="preserve">uyền sử dụng đất tại thửa đất số: 127(1), tờ bản đồ 32 có địa chỉ: Thôn Thanh Vị, Xã Thanh Mỹ, Thị Xã Sơn Tây, Thành phố Hà Nội</w:t>
      </w:r>
      <w:r>
        <w:rPr>
          <w:rFonts w:ascii="Times New Roman" w:hAnsi="Times New Roman" w:eastAsia="Times New Roman" w:cs="Times New Roman"/>
          <w:i/>
          <w:iCs/>
          <w:color w:val="000000"/>
          <w:sz w:val="22"/>
          <w:szCs w:val="22"/>
        </w:rPr>
        <w:t xml:space="preserve"> (Nay là Phường Tùng Thiện, Thành </w:t>
      </w:r>
      <w:r>
        <w:rPr>
          <w:rFonts w:ascii="Times New Roman" w:hAnsi="Times New Roman" w:eastAsia="Times New Roman" w:cs="Times New Roman"/>
          <w:i/>
          <w:iCs/>
          <w:color w:val="000000"/>
          <w:sz w:val="22"/>
          <w:szCs w:val="22"/>
        </w:rPr>
        <w:t xml:space="preserve">Phố Hà Nội)</w:t>
      </w:r>
      <w:r>
        <w:rPr>
          <w:rFonts w:ascii="Times New Roman" w:hAnsi="Times New Roman" w:eastAsia="Times New Roman" w:cs="Times New Roman"/>
          <w:color w:val="000000"/>
          <w:sz w:val="22"/>
          <w:szCs w:val="22"/>
        </w:rPr>
        <w:t xml:space="preserve"> theo Giấy chứng nhận quyền sử dụng đất, quyền sở hữu nhà ở và tài sản khác gắn liền</w:t>
      </w:r>
      <w:r>
        <w:rPr>
          <w:rFonts w:ascii="Times New Roman" w:hAnsi="Times New Roman" w:eastAsia="Times New Roman" w:cs="Times New Roman"/>
          <w:color w:val="000000"/>
          <w:sz w:val="22"/>
          <w:szCs w:val="22"/>
        </w:rPr>
        <w:t xml:space="preserve"> với đất số: </w:t>
      </w:r>
      <w:r>
        <w:rPr>
          <w:color w:val="000000"/>
          <w:sz w:val="22"/>
          <w:szCs w:val="22"/>
        </w:rPr>
        <w:t xml:space="preserve"> BĐ 721604</w:t>
      </w:r>
      <w:r>
        <w:rPr>
          <w:rFonts w:ascii="Times New Roman" w:hAnsi="Times New Roman" w:eastAsia="Times New Roman" w:cs="Times New Roman"/>
          <w:color w:val="000000"/>
          <w:sz w:val="22"/>
          <w:szCs w:val="22"/>
        </w:rPr>
        <w:t xml:space="preserve">, số vào sổ cấp GCN </w:t>
      </w:r>
      <w:r>
        <w:rPr>
          <w:color w:val="000000"/>
          <w:sz w:val="22"/>
          <w:szCs w:val="22"/>
        </w:rPr>
        <w:t xml:space="preserve">CH 00169</w:t>
      </w:r>
      <w:r>
        <w:rPr>
          <w:rFonts w:ascii="Times New Roman" w:hAnsi="Times New Roman" w:eastAsia="Times New Roman" w:cs="Times New Roman"/>
          <w:color w:val="000000"/>
          <w:sz w:val="22"/>
          <w:szCs w:val="22"/>
        </w:rPr>
        <w:t xml:space="preserve"> do </w:t>
      </w:r>
      <w:r>
        <w:rPr>
          <w:color w:val="000000"/>
          <w:sz w:val="22"/>
          <w:szCs w:val="22"/>
        </w:rPr>
        <w:t xml:space="preserve">Ủy Ban Nhân Dân Thị Xã Sơn Tây</w:t>
      </w:r>
      <w:r>
        <w:rPr>
          <w:rFonts w:ascii="Times New Roman" w:hAnsi="Times New Roman" w:eastAsia="Times New Roman" w:cs="Times New Roman"/>
          <w:color w:val="000000"/>
          <w:sz w:val="22"/>
          <w:szCs w:val="22"/>
        </w:rPr>
        <w:t xml:space="preserve"> cấp ngày 24/7/2012; Chủ sử dụng đất là Bà Nguyễn Thị Mạch.</w:t>
      </w:r>
      <w:r>
        <w:rPr>
          <w:color w:val="000000" w:themeColor="text1"/>
          <w:sz w:val="22"/>
          <w:szCs w:val="22"/>
        </w:rPr>
      </w:r>
      <w:r>
        <w:rPr>
          <w:b/>
          <w:bCs/>
          <w:sz w:val="22"/>
          <w:szCs w:val="22"/>
        </w:rPr>
      </w:r>
    </w:p>
    <w:p>
      <w:pPr>
        <w:pBdr/>
        <w:spacing w:after="120" w:before="120" w:line="312" w:lineRule="auto"/>
        <w:ind/>
        <w:jc w:val="both"/>
        <w:rPr>
          <w:b/>
          <w:bCs/>
          <w:sz w:val="22"/>
          <w:szCs w:val="22"/>
        </w:rPr>
      </w:pPr>
      <w:r>
        <w:rPr>
          <w:b/>
          <w:bCs/>
          <w:sz w:val="22"/>
          <w:szCs w:val="22"/>
          <w:lang w:val="nl-NL"/>
        </w:rPr>
        <w:t xml:space="preserve">4</w:t>
      </w:r>
      <w:r>
        <w:rPr>
          <w:b/>
          <w:bCs/>
          <w:sz w:val="22"/>
          <w:szCs w:val="22"/>
          <w:lang w:val="nl-NL"/>
        </w:rPr>
        <w:t xml:space="preserve">. Thời điểm thẩm định giá:</w:t>
      </w:r>
      <w:r>
        <w:rPr>
          <w:bCs/>
          <w:color w:val="000000" w:themeColor="text1"/>
          <w:sz w:val="22"/>
          <w:szCs w:val="22"/>
          <w:lang w:val="nl-NL"/>
        </w:rPr>
        <w:t xml:space="preserve"> </w:t>
      </w:r>
      <w:r>
        <w:rPr>
          <w:bCs/>
          <w:color w:val="000000" w:themeColor="text1"/>
          <w:sz w:val="22"/>
          <w:szCs w:val="22"/>
          <w:lang w:val="nl-NL"/>
        </w:rPr>
        <w:t xml:space="preserve">Tháng 04/2026</w:t>
      </w:r>
      <w:r>
        <w:rPr>
          <w:bCs/>
          <w:sz w:val="22"/>
          <w:szCs w:val="22"/>
          <w:lang w:val="nl-NL"/>
        </w:rPr>
        <w:t xml:space="preserve">.</w:t>
      </w:r>
      <w:r>
        <w:rPr>
          <w:b/>
          <w:bCs/>
          <w:sz w:val="22"/>
          <w:szCs w:val="22"/>
        </w:rPr>
      </w:r>
    </w:p>
    <w:p>
      <w:pPr>
        <w:pBdr/>
        <w:tabs>
          <w:tab w:val="left" w:leader="none" w:pos="851"/>
        </w:tabs>
        <w:spacing w:after="120" w:before="120" w:line="312" w:lineRule="auto"/>
        <w:ind/>
        <w:jc w:val="both"/>
        <w:rPr>
          <w:bCs/>
          <w:sz w:val="22"/>
          <w:szCs w:val="22"/>
        </w:rPr>
      </w:pPr>
      <w:r>
        <w:rPr>
          <w:b/>
          <w:bCs/>
          <w:sz w:val="22"/>
          <w:szCs w:val="22"/>
        </w:rPr>
        <w:t xml:space="preserve">5</w:t>
      </w:r>
      <w:r>
        <w:rPr>
          <w:b/>
          <w:bCs/>
          <w:sz w:val="22"/>
          <w:szCs w:val="22"/>
          <w:lang w:val="pt-BR"/>
        </w:rPr>
        <w:t xml:space="preserve">. </w:t>
      </w:r>
      <w:r>
        <w:rPr>
          <w:b/>
          <w:bCs/>
          <w:sz w:val="22"/>
          <w:szCs w:val="22"/>
          <w:lang w:val="vi-VN"/>
        </w:rPr>
        <w:t xml:space="preserve">Mục đích thẩm định giá:</w:t>
      </w:r>
      <w:bookmarkStart w:id="0" w:name="_Toc150933756"/>
      <w:r>
        <w:rPr>
          <w:sz w:val="22"/>
          <w:szCs w:val="22"/>
        </w:rPr>
      </w:r>
      <w:bookmarkStart w:id="1" w:name="_Toc150933962"/>
      <w:r>
        <w:rPr>
          <w:sz w:val="22"/>
          <w:szCs w:val="22"/>
        </w:rPr>
      </w:r>
      <w:bookmarkStart w:id="2" w:name="_Toc150934860"/>
      <w:r>
        <w:rPr>
          <w:b/>
          <w:bCs/>
          <w:sz w:val="22"/>
          <w:szCs w:val="22"/>
          <w:lang w:val="vi-VN"/>
        </w:rPr>
        <w:t xml:space="preserve"> </w:t>
      </w:r>
      <w:r>
        <w:rPr>
          <w:bCs/>
          <w:color w:val="000000" w:themeColor="text1"/>
          <w:spacing w:val="-4"/>
          <w:sz w:val="22"/>
          <w:szCs w:val="22"/>
        </w:rPr>
        <w:t xml:space="preserve">Kết quả thẩm định giá để khách hàng tham khảo giá trị tài sản phục vụ công tác  vay vốn tại tổ chức tín dụng</w:t>
      </w:r>
      <w:r>
        <w:rPr>
          <w:bCs/>
          <w:sz w:val="22"/>
          <w:szCs w:val="22"/>
          <w:lang w:val="vi-VN"/>
        </w:rPr>
        <w:t xml:space="preserve">.</w:t>
      </w:r>
      <w:r>
        <w:rPr>
          <w:bCs/>
          <w:sz w:val="22"/>
          <w:szCs w:val="22"/>
        </w:rPr>
      </w:r>
    </w:p>
    <w:p>
      <w:pPr>
        <w:pBdr/>
        <w:tabs>
          <w:tab w:val="left" w:leader="none" w:pos="851"/>
        </w:tabs>
        <w:spacing w:after="120" w:before="120" w:line="312" w:lineRule="auto"/>
        <w:ind/>
        <w:jc w:val="both"/>
        <w:rPr>
          <w:b/>
          <w:sz w:val="22"/>
          <w:szCs w:val="22"/>
        </w:rPr>
      </w:pPr>
      <w:r>
        <w:rPr>
          <w:b/>
          <w:sz w:val="22"/>
          <w:szCs w:val="22"/>
        </w:rPr>
        <w:t xml:space="preserve">6</w:t>
      </w:r>
      <w:r>
        <w:rPr>
          <w:b/>
          <w:sz w:val="22"/>
          <w:szCs w:val="22"/>
          <w:lang w:val="pt-BR"/>
        </w:rPr>
        <w:t xml:space="preserve">. </w:t>
      </w:r>
      <w:r>
        <w:rPr>
          <w:b/>
          <w:sz w:val="22"/>
          <w:szCs w:val="22"/>
          <w:lang w:val="pt-BR"/>
        </w:rPr>
        <w:t xml:space="preserve">Cơ sở giá trị của tài sản thẩm định giá</w:t>
      </w:r>
      <w:r>
        <w:rPr>
          <w:b/>
          <w:sz w:val="22"/>
          <w:szCs w:val="22"/>
          <w:lang w:val="pt-BR"/>
        </w:rPr>
        <w:t xml:space="preserve">:</w:t>
      </w:r>
      <w:r>
        <w:rPr>
          <w:b/>
          <w:sz w:val="22"/>
          <w:szCs w:val="22"/>
          <w:lang w:val="vi-VN"/>
        </w:rPr>
      </w:r>
    </w:p>
    <w:p>
      <w:pPr>
        <w:pBdr/>
        <w:tabs>
          <w:tab w:val="left" w:leader="none" w:pos="5202"/>
        </w:tabs>
        <w:spacing w:after="120" w:before="120" w:line="312" w:lineRule="auto"/>
        <w:ind w:firstLine="432"/>
        <w:jc w:val="both"/>
        <w:rPr>
          <w:sz w:val="22"/>
          <w:szCs w:val="22"/>
        </w:rPr>
      </w:pPr>
      <w:r>
        <w:rPr>
          <w:bCs/>
          <w:i/>
          <w:sz w:val="22"/>
          <w:szCs w:val="22"/>
          <w:lang w:val="pt-BR"/>
        </w:rPr>
        <w:t xml:space="preserve">Chi tiết như Báo cáo kèm theo</w:t>
      </w:r>
      <w:r>
        <w:rPr>
          <w:bCs/>
          <w:i/>
          <w:sz w:val="22"/>
          <w:szCs w:val="22"/>
          <w:lang w:val="pt-BR"/>
        </w:rPr>
        <w:t xml:space="preserve"> </w:t>
      </w:r>
      <w:r>
        <w:rPr>
          <w:sz w:val="22"/>
          <w:szCs w:val="22"/>
          <w:lang w:val="pt-BR"/>
        </w:rPr>
      </w:r>
    </w:p>
    <w:p>
      <w:pPr>
        <w:pBdr/>
        <w:tabs>
          <w:tab w:val="left" w:leader="none" w:pos="2430"/>
          <w:tab w:val="left" w:leader="none" w:pos="5130"/>
        </w:tabs>
        <w:spacing w:after="120" w:before="120" w:line="312" w:lineRule="auto"/>
        <w:ind/>
        <w:jc w:val="both"/>
        <w:rPr>
          <w:b/>
          <w:bCs/>
          <w:sz w:val="22"/>
          <w:szCs w:val="22"/>
        </w:rPr>
      </w:pPr>
      <w:r>
        <w:rPr>
          <w:b/>
          <w:bCs/>
          <w:sz w:val="22"/>
          <w:szCs w:val="22"/>
        </w:rPr>
        <w:t xml:space="preserve">7</w:t>
      </w:r>
      <w:r>
        <w:rPr>
          <w:b/>
          <w:bCs/>
          <w:sz w:val="22"/>
          <w:szCs w:val="22"/>
          <w:lang w:val="pt-BR"/>
        </w:rPr>
        <w:t xml:space="preserve">. </w:t>
      </w:r>
      <w:r>
        <w:rPr>
          <w:b/>
          <w:bCs/>
          <w:sz w:val="22"/>
          <w:szCs w:val="22"/>
          <w:lang w:val="pt-BR"/>
        </w:rPr>
        <w:t xml:space="preserve">Giả thiết và giả thiết đặc biệt</w:t>
      </w:r>
      <w:r>
        <w:rPr>
          <w:b/>
          <w:bCs/>
          <w:sz w:val="22"/>
          <w:szCs w:val="22"/>
          <w:lang w:val="pt-BR"/>
        </w:rPr>
        <w:t xml:space="preserve">:</w:t>
      </w:r>
      <w:r>
        <w:rPr>
          <w:b/>
          <w:bCs/>
          <w:sz w:val="22"/>
          <w:szCs w:val="22"/>
          <w:lang w:val="pt-BR"/>
        </w:rPr>
      </w:r>
    </w:p>
    <w:p>
      <w:pPr>
        <w:pBdr/>
        <w:tabs>
          <w:tab w:val="left" w:leader="none" w:pos="5202"/>
        </w:tabs>
        <w:spacing w:after="120" w:before="120" w:line="312" w:lineRule="auto"/>
        <w:ind w:firstLine="432"/>
        <w:jc w:val="both"/>
        <w:rPr>
          <w:b/>
          <w:bCs/>
          <w:sz w:val="22"/>
          <w:szCs w:val="22"/>
        </w:rPr>
      </w:pPr>
      <w:r>
        <w:rPr>
          <w:bCs/>
          <w:i/>
          <w:sz w:val="22"/>
          <w:szCs w:val="22"/>
          <w:lang w:val="pt-BR"/>
        </w:rPr>
        <w:t xml:space="preserve">Chi tiết như Báo cáo kèm theo</w:t>
      </w:r>
      <w:r>
        <w:rPr>
          <w:b/>
          <w:bCs/>
          <w:sz w:val="22"/>
          <w:szCs w:val="22"/>
          <w:lang w:val="pt-BR"/>
        </w:rPr>
      </w:r>
    </w:p>
    <w:p>
      <w:pPr>
        <w:pBdr/>
        <w:tabs>
          <w:tab w:val="left" w:leader="none" w:pos="2430"/>
          <w:tab w:val="left" w:leader="none" w:pos="5130"/>
        </w:tabs>
        <w:spacing w:after="120" w:before="120" w:line="312" w:lineRule="auto"/>
        <w:ind/>
        <w:jc w:val="both"/>
        <w:rPr>
          <w:b/>
          <w:bCs/>
          <w:sz w:val="22"/>
          <w:szCs w:val="22"/>
        </w:rPr>
      </w:pPr>
      <w:r>
        <w:rPr>
          <w:b/>
          <w:sz w:val="22"/>
          <w:szCs w:val="22"/>
        </w:rPr>
        <w:t xml:space="preserve">8</w:t>
      </w:r>
      <w:r>
        <w:rPr>
          <w:b/>
          <w:sz w:val="22"/>
          <w:szCs w:val="22"/>
          <w:lang w:val="pt-BR"/>
        </w:rPr>
        <w:t xml:space="preserve">. </w:t>
      </w:r>
      <w:r>
        <w:rPr>
          <w:b/>
          <w:sz w:val="22"/>
          <w:szCs w:val="22"/>
          <w:lang w:val="pt-BR"/>
        </w:rPr>
        <w:t xml:space="preserve">Cách tiếp cận và phương pháp thẩm định giá</w:t>
      </w:r>
      <w:r>
        <w:rPr>
          <w:b/>
          <w:bCs/>
          <w:sz w:val="22"/>
          <w:szCs w:val="22"/>
          <w:lang w:val="pt-BR"/>
        </w:rPr>
        <w:t xml:space="preserve">:</w:t>
      </w:r>
      <w:r>
        <w:rPr>
          <w:b/>
          <w:bCs/>
          <w:sz w:val="22"/>
          <w:szCs w:val="22"/>
          <w:lang w:val="pt-BR"/>
        </w:rPr>
      </w:r>
    </w:p>
    <w:p>
      <w:pPr>
        <w:pBdr/>
        <w:tabs>
          <w:tab w:val="left" w:leader="none" w:pos="5202"/>
        </w:tabs>
        <w:spacing w:after="120" w:before="120" w:line="312" w:lineRule="auto"/>
        <w:ind w:firstLine="432"/>
        <w:jc w:val="both"/>
        <w:rPr>
          <w:b/>
          <w:bCs/>
          <w:sz w:val="22"/>
          <w:szCs w:val="22"/>
        </w:rPr>
      </w:pPr>
      <w:r>
        <w:rPr>
          <w:bCs/>
          <w:i/>
          <w:sz w:val="22"/>
          <w:szCs w:val="22"/>
          <w:lang w:val="pt-BR"/>
        </w:rPr>
        <w:t xml:space="preserve">Chi tiết như Báo cáo kèm theo</w:t>
      </w:r>
      <w:r>
        <w:rPr>
          <w:b/>
          <w:bCs/>
          <w:sz w:val="22"/>
          <w:szCs w:val="22"/>
          <w:lang w:val="pt-BR"/>
        </w:rPr>
      </w:r>
    </w:p>
    <w:p>
      <w:pPr>
        <w:pBdr/>
        <w:tabs>
          <w:tab w:val="left" w:leader="none" w:pos="2430"/>
          <w:tab w:val="left" w:leader="none" w:pos="5130"/>
        </w:tabs>
        <w:spacing w:after="120" w:before="120" w:line="312" w:lineRule="auto"/>
        <w:ind/>
        <w:jc w:val="both"/>
        <w:rPr>
          <w:b/>
          <w:bCs/>
          <w:sz w:val="22"/>
          <w:szCs w:val="22"/>
        </w:rPr>
      </w:pPr>
      <w:r>
        <w:rPr>
          <w:b/>
          <w:sz w:val="22"/>
          <w:szCs w:val="22"/>
          <w:lang w:val="pt-BR"/>
        </w:rPr>
        <w:t xml:space="preserve">9</w:t>
      </w:r>
      <w:r>
        <w:rPr>
          <w:b/>
          <w:sz w:val="22"/>
          <w:szCs w:val="22"/>
          <w:lang w:val="pt-BR"/>
        </w:rPr>
        <w:t xml:space="preserve">. </w:t>
      </w:r>
      <w:r>
        <w:rPr>
          <w:b/>
          <w:sz w:val="22"/>
          <w:szCs w:val="22"/>
        </w:rPr>
        <w:t xml:space="preserve">Giá trị tài sản thẩm định giá</w:t>
      </w:r>
      <w:r>
        <w:rPr>
          <w:b/>
          <w:bCs/>
          <w:sz w:val="22"/>
          <w:szCs w:val="22"/>
          <w:lang w:val="pt-BR"/>
        </w:rPr>
        <w:t xml:space="preserve">:</w:t>
      </w:r>
      <w:bookmarkEnd w:id="0"/>
      <w:r/>
      <w:bookmarkEnd w:id="1"/>
      <w:r/>
      <w:bookmarkEnd w:id="2"/>
      <w:r/>
      <w:r>
        <w:rPr>
          <w:b/>
          <w:bCs/>
          <w:sz w:val="22"/>
          <w:szCs w:val="22"/>
          <w:lang w:val="pt-BR"/>
        </w:rPr>
      </w:r>
    </w:p>
    <w:p>
      <w:pPr>
        <w:pBdr/>
        <w:spacing w:after="120" w:before="120" w:line="312" w:lineRule="auto"/>
        <w:ind/>
        <w:jc w:val="both"/>
        <w:rPr>
          <w:sz w:val="22"/>
          <w:szCs w:val="22"/>
        </w:rPr>
      </w:pPr>
      <w:r>
        <w:rPr>
          <w:sz w:val="22"/>
          <w:szCs w:val="22"/>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sz w:val="22"/>
          <w:szCs w:val="22"/>
          <w:lang w:val="vi-VN"/>
        </w:rPr>
        <w:t xml:space="preserve">Công ty Cổ phần Thẩm định và Đầu tư Tài chính Hoa Sen </w:t>
      </w:r>
      <w:r>
        <w:rPr>
          <w:sz w:val="22"/>
          <w:szCs w:val="22"/>
          <w:lang w:val="vi-VN"/>
        </w:rPr>
        <w:t xml:space="preserve">thông báo </w:t>
      </w:r>
      <w:r>
        <w:rPr>
          <w:sz w:val="22"/>
          <w:szCs w:val="22"/>
          <w:lang w:val="nl-NL"/>
        </w:rPr>
        <w:t xml:space="preserve">giá trị </w:t>
      </w:r>
      <w:r>
        <w:rPr>
          <w:sz w:val="22"/>
          <w:szCs w:val="22"/>
          <w:lang w:val="de-DE"/>
        </w:rPr>
        <w:t xml:space="preserve">tài sản chưa bao gồm các loại thuế, phí và lệ phí liên quan đến việc chuyển nhượng tài sản của </w:t>
      </w:r>
      <w:r>
        <w:rPr>
          <w:sz w:val="22"/>
          <w:szCs w:val="22"/>
          <w:lang w:val="vi-VN"/>
        </w:rPr>
        <w:t xml:space="preserve">Quý</w:t>
      </w:r>
      <w:r>
        <w:rPr>
          <w:sz w:val="22"/>
          <w:szCs w:val="22"/>
          <w:lang w:val="vi-VN"/>
        </w:rPr>
        <w:t xml:space="preserve"> khách hàng tại thời điểm </w:t>
      </w:r>
      <w:r>
        <w:rPr>
          <w:bCs/>
          <w:color w:val="000000" w:themeColor="text1"/>
          <w:sz w:val="22"/>
          <w:szCs w:val="22"/>
          <w:lang w:val="nl-NL"/>
        </w:rPr>
        <w:t xml:space="preserve">Tháng 04/2026</w:t>
      </w:r>
      <w:r>
        <w:rPr>
          <w:sz w:val="22"/>
          <w:szCs w:val="22"/>
          <w:lang w:val="vi-VN"/>
        </w:rPr>
        <w:t xml:space="preserve"> ước tính</w:t>
      </w:r>
      <w:r>
        <w:rPr>
          <w:sz w:val="22"/>
          <w:szCs w:val="22"/>
        </w:rPr>
        <w:t xml:space="preserve"> </w:t>
      </w:r>
      <w:r>
        <w:rPr>
          <w:sz w:val="22"/>
          <w:szCs w:val="22"/>
          <w:lang w:val="vi-VN"/>
        </w:rPr>
        <w:t xml:space="preserve">như sau:</w:t>
      </w:r>
      <w:r>
        <w:rPr>
          <w:sz w:val="22"/>
          <w:szCs w:val="22"/>
        </w:rP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52"/>
        <w:gridCol w:w="3044"/>
        <w:gridCol w:w="1701"/>
        <w:gridCol w:w="16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sz w:val="22"/>
                <w:szCs w:val="22"/>
              </w:rPr>
            </w:pPr>
            <w:r>
              <w:rPr>
                <w:b/>
                <w:bCs/>
                <w:sz w:val="22"/>
                <w:szCs w:val="22"/>
              </w:rPr>
              <w:t xml:space="preserve">TT</w:t>
            </w:r>
            <w:r>
              <w:rPr>
                <w:b/>
                <w:bCs/>
                <w:sz w:val="22"/>
                <w:szCs w:val="22"/>
              </w:rPr>
            </w:r>
          </w:p>
        </w:tc>
        <w:tc>
          <w:tcPr>
            <w:shd w:val="clear" w:color="000000" w:fill="ffffff"/>
            <w:tcBorders/>
            <w:tcW w:w="3044" w:type="dxa"/>
            <w:vAlign w:val="center"/>
            <w:textDirection w:val="lrTb"/>
            <w:noWrap w:val="false"/>
          </w:tcPr>
          <w:p>
            <w:pPr>
              <w:pBdr/>
              <w:spacing w:after="40" w:before="40" w:line="288" w:lineRule="auto"/>
              <w:ind/>
              <w:jc w:val="center"/>
              <w:rPr>
                <w:b/>
                <w:bCs/>
                <w:sz w:val="22"/>
                <w:szCs w:val="22"/>
              </w:rPr>
            </w:pPr>
            <w:r>
              <w:rPr>
                <w:b/>
                <w:bCs/>
                <w:sz w:val="22"/>
                <w:szCs w:val="22"/>
              </w:rPr>
              <w:t xml:space="preserve">Tài sản</w:t>
            </w:r>
            <w:r>
              <w:rPr>
                <w:b/>
                <w:bCs/>
                <w:sz w:val="22"/>
                <w:szCs w:val="22"/>
              </w:rPr>
            </w:r>
          </w:p>
        </w:tc>
        <w:tc>
          <w:tcPr>
            <w:shd w:val="clear" w:color="000000" w:fill="ffffff"/>
            <w:tcBorders/>
            <w:tcW w:w="1701" w:type="dxa"/>
            <w:vAlign w:val="center"/>
            <w:textDirection w:val="lrTb"/>
            <w:noWrap w:val="false"/>
          </w:tcPr>
          <w:p>
            <w:pPr>
              <w:pBdr/>
              <w:spacing w:after="40" w:before="40" w:line="288" w:lineRule="auto"/>
              <w:ind/>
              <w:jc w:val="center"/>
              <w:rPr>
                <w:b/>
                <w:bCs/>
                <w:sz w:val="22"/>
                <w:szCs w:val="22"/>
              </w:rPr>
            </w:pPr>
            <w:r>
              <w:rPr>
                <w:b/>
                <w:bCs/>
                <w:sz w:val="22"/>
                <w:szCs w:val="22"/>
              </w:rPr>
              <w:t xml:space="preserve">Diện tích (m²)</w:t>
            </w:r>
            <w:r>
              <w:rPr>
                <w:b/>
                <w:bCs/>
                <w:sz w:val="22"/>
                <w:szCs w:val="22"/>
              </w:rPr>
            </w:r>
          </w:p>
        </w:tc>
        <w:tc>
          <w:tcPr>
            <w:shd w:val="clear" w:color="000000" w:fill="ffffff"/>
            <w:tcBorders/>
            <w:tcW w:w="1664" w:type="dxa"/>
            <w:vAlign w:val="center"/>
            <w:textDirection w:val="lrTb"/>
            <w:noWrap w:val="false"/>
          </w:tcPr>
          <w:p>
            <w:pPr>
              <w:pBdr/>
              <w:spacing w:after="40" w:before="40" w:line="288" w:lineRule="auto"/>
              <w:ind/>
              <w:jc w:val="center"/>
              <w:rPr>
                <w:b/>
                <w:bCs/>
                <w:sz w:val="22"/>
                <w:szCs w:val="22"/>
              </w:rPr>
            </w:pPr>
            <w:r>
              <w:rPr>
                <w:b/>
                <w:bCs/>
                <w:sz w:val="22"/>
                <w:szCs w:val="22"/>
              </w:rPr>
              <w:t xml:space="preserve">Đơn giá (đồng/m²)</w:t>
            </w:r>
            <w:r>
              <w:rPr>
                <w:b/>
                <w:bCs/>
                <w:sz w:val="22"/>
                <w:szCs w:val="22"/>
              </w:rPr>
            </w:r>
          </w:p>
        </w:tc>
        <w:tc>
          <w:tcPr>
            <w:shd w:val="clear" w:color="000000" w:fill="ffffff"/>
            <w:tcBorders/>
            <w:tcW w:w="2164" w:type="dxa"/>
            <w:vAlign w:val="center"/>
            <w:textDirection w:val="lrTb"/>
            <w:noWrap w:val="false"/>
          </w:tcPr>
          <w:p>
            <w:pPr>
              <w:pBdr/>
              <w:spacing w:after="40" w:before="40" w:line="288" w:lineRule="auto"/>
              <w:ind/>
              <w:jc w:val="center"/>
              <w:rPr>
                <w:b/>
                <w:bCs/>
                <w:sz w:val="22"/>
                <w:szCs w:val="22"/>
              </w:rPr>
            </w:pPr>
            <w:r>
              <w:rPr>
                <w:b/>
                <w:bCs/>
                <w:sz w:val="22"/>
                <w:szCs w:val="22"/>
              </w:rPr>
              <w:t xml:space="preserve">Thành tiền (đồng)</w:t>
            </w:r>
            <w:r>
              <w:rPr>
                <w:b/>
                <w:bCs/>
                <w:sz w:val="22"/>
                <w:szCs w:val="22"/>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sz w:val="22"/>
                <w:szCs w:val="22"/>
              </w:rPr>
            </w:pPr>
            <w:r>
              <w:rPr>
                <w:b/>
                <w:bCs/>
                <w:sz w:val="22"/>
                <w:szCs w:val="22"/>
              </w:rPr>
              <w:t xml:space="preserve"> </w:t>
            </w:r>
            <w:r>
              <w:rPr>
                <w:b/>
                <w:bCs/>
                <w:sz w:val="22"/>
                <w:szCs w:val="22"/>
              </w:rPr>
            </w:r>
          </w:p>
        </w:tc>
        <w:tc>
          <w:tcPr>
            <w:gridSpan w:val="3"/>
            <w:shd w:val="clear" w:color="000000" w:fill="ffffff"/>
            <w:tcBorders/>
            <w:tcW w:w="6408" w:type="dxa"/>
            <w:vAlign w:val="center"/>
            <w:textDirection w:val="lrTb"/>
            <w:noWrap w:val="false"/>
          </w:tcPr>
          <w:p>
            <w:pPr>
              <w:pBdr/>
              <w:spacing w:after="40" w:before="40" w:line="288" w:lineRule="auto"/>
              <w:ind/>
              <w:jc w:val="both"/>
              <w:rPr>
                <w:b/>
                <w:bCs/>
                <w:sz w:val="22"/>
                <w:szCs w:val="22"/>
              </w:rPr>
            </w:pPr>
            <w:r>
              <w:rPr>
                <w:color w:val="000000"/>
                <w:sz w:val="22"/>
                <w:szCs w:val="22"/>
              </w:rPr>
            </w:r>
            <w:r>
              <w:rPr>
                <w:rFonts w:ascii="Times New Roman" w:hAnsi="Times New Roman" w:eastAsia="Times New Roman" w:cs="Times New Roman"/>
                <w:i/>
                <w:iCs/>
                <w:color w:val="000000"/>
                <w:sz w:val="22"/>
                <w:szCs w:val="22"/>
              </w:rPr>
            </w:r>
            <w:r>
              <w:rPr>
                <w:rFonts w:ascii="Times New Roman" w:hAnsi="Times New Roman" w:eastAsia="Times New Roman" w:cs="Times New Roman"/>
                <w:color w:val="000000"/>
                <w:sz w:val="22"/>
                <w:szCs w:val="22"/>
              </w:rPr>
              <w:t xml:space="preserve">Q</w:t>
            </w:r>
            <w:r>
              <w:rPr>
                <w:rFonts w:ascii="Times New Roman" w:hAnsi="Times New Roman" w:eastAsia="Times New Roman" w:cs="Times New Roman"/>
                <w:color w:val="000000"/>
                <w:sz w:val="22"/>
                <w:szCs w:val="22"/>
              </w:rPr>
              <w:t xml:space="preserve">uyền sử dụng đất tại thửa đất số: 127(1), tờ bản đồ 32 có địa chỉ: Thôn Thanh Vị, Xã Thanh Mỹ, Thị Xã Sơn Tây, Thành phố Hà Nội</w:t>
            </w:r>
            <w:r>
              <w:rPr>
                <w:rFonts w:ascii="Times New Roman" w:hAnsi="Times New Roman" w:eastAsia="Times New Roman" w:cs="Times New Roman"/>
                <w:i/>
                <w:iCs/>
                <w:color w:val="000000"/>
                <w:sz w:val="22"/>
                <w:szCs w:val="22"/>
              </w:rPr>
              <w:t xml:space="preserve"> (Nay là Phường Tùng Thiện, Thành Phố Hà Nội)</w:t>
            </w:r>
            <w:r>
              <w:rPr>
                <w:rFonts w:ascii="Times New Roman" w:hAnsi="Times New Roman" w:eastAsia="Times New Roman" w:cs="Times New Roman"/>
                <w:color w:val="000000"/>
                <w:sz w:val="22"/>
                <w:szCs w:val="22"/>
              </w:rPr>
              <w:t xml:space="preserve"> theo Giấy chứng nhận quyền sử dụng đất, quyền sở hữu nhà ở và tài sản khác gắn liền</w:t>
            </w:r>
            <w:r>
              <w:rPr>
                <w:rFonts w:ascii="Times New Roman" w:hAnsi="Times New Roman" w:eastAsia="Times New Roman" w:cs="Times New Roman"/>
                <w:color w:val="000000"/>
                <w:sz w:val="22"/>
                <w:szCs w:val="22"/>
              </w:rPr>
              <w:t xml:space="preserve"> với đất số: </w:t>
            </w:r>
            <w:r>
              <w:rPr>
                <w:color w:val="000000"/>
                <w:sz w:val="22"/>
                <w:szCs w:val="22"/>
              </w:rPr>
              <w:t xml:space="preserve"> BĐ 721604</w:t>
            </w:r>
            <w:r>
              <w:rPr>
                <w:rFonts w:ascii="Times New Roman" w:hAnsi="Times New Roman" w:eastAsia="Times New Roman" w:cs="Times New Roman"/>
                <w:color w:val="000000"/>
                <w:sz w:val="22"/>
                <w:szCs w:val="22"/>
              </w:rPr>
              <w:t xml:space="preserve">, số vào sổ cấp GCN </w:t>
            </w:r>
            <w:r>
              <w:rPr>
                <w:color w:val="000000"/>
                <w:sz w:val="22"/>
                <w:szCs w:val="22"/>
              </w:rPr>
              <w:t xml:space="preserve">CH 00169</w:t>
            </w:r>
            <w:r>
              <w:rPr>
                <w:rFonts w:ascii="Times New Roman" w:hAnsi="Times New Roman" w:eastAsia="Times New Roman" w:cs="Times New Roman"/>
                <w:color w:val="000000"/>
                <w:sz w:val="22"/>
                <w:szCs w:val="22"/>
              </w:rPr>
              <w:t xml:space="preserve"> do </w:t>
            </w:r>
            <w:r>
              <w:rPr>
                <w:color w:val="000000"/>
                <w:sz w:val="22"/>
                <w:szCs w:val="22"/>
              </w:rPr>
              <w:t xml:space="preserve">Ủy Ban Nhân Dân Thị Xã Sơn Tây</w:t>
            </w:r>
            <w:r>
              <w:rPr>
                <w:rFonts w:ascii="Times New Roman" w:hAnsi="Times New Roman" w:eastAsia="Times New Roman" w:cs="Times New Roman"/>
                <w:color w:val="000000"/>
                <w:sz w:val="22"/>
                <w:szCs w:val="22"/>
              </w:rPr>
              <w:t xml:space="preserve"> cấp ngày 24/7/2012; Chủ sử dụng đất là Bà Nguyễn Thị Mạch.</w:t>
            </w:r>
            <w:r>
              <w:rPr>
                <w:sz w:val="22"/>
                <w:szCs w:val="22"/>
              </w:rPr>
            </w:r>
            <w:r>
              <w:rPr>
                <w:rFonts w:ascii="Times New Roman" w:hAnsi="Times New Roman" w:eastAsia="Times New Roman" w:cs="Times New Roman"/>
                <w:i/>
                <w:iCs/>
                <w:color w:val="000000"/>
                <w:sz w:val="22"/>
                <w:szCs w:val="22"/>
              </w:rPr>
            </w:r>
            <w:r>
              <w:rPr>
                <w:b/>
                <w:bCs/>
                <w:sz w:val="22"/>
                <w:szCs w:val="22"/>
              </w:rPr>
            </w:r>
          </w:p>
        </w:tc>
        <w:tc>
          <w:tcPr>
            <w:shd w:val="clear" w:color="000000" w:fill="ffffff"/>
            <w:tcBorders/>
            <w:tcW w:w="2164" w:type="dxa"/>
            <w:vAlign w:val="center"/>
            <w:textDirection w:val="lrTb"/>
            <w:noWrap w:val="false"/>
          </w:tcPr>
          <w:p>
            <w:pPr>
              <w:pBdr/>
              <w:spacing w:after="40" w:before="40" w:line="288" w:lineRule="auto"/>
              <w:ind/>
              <w:jc w:val="right"/>
              <w:rPr>
                <w:b/>
                <w:bCs/>
                <w:sz w:val="22"/>
                <w:szCs w:val="22"/>
              </w:rPr>
            </w:pPr>
            <w:r>
              <w:rPr>
                <w:b/>
                <w:bCs/>
                <w:sz w:val="22"/>
                <w:szCs w:val="22"/>
              </w:rPr>
              <w:t xml:space="preserve"> </w:t>
            </w:r>
            <w:r>
              <w:rPr>
                <w:b/>
                <w:bCs/>
                <w:sz w:val="22"/>
                <w:szCs w:val="22"/>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sz w:val="22"/>
                <w:szCs w:val="22"/>
              </w:rPr>
            </w:pPr>
            <w:r>
              <w:rPr>
                <w:b/>
                <w:bCs/>
                <w:sz w:val="22"/>
                <w:szCs w:val="22"/>
              </w:rPr>
              <w:t xml:space="preserve">1</w:t>
            </w:r>
            <w:r>
              <w:rPr>
                <w:sz w:val="22"/>
                <w:szCs w:val="22"/>
              </w:rPr>
            </w:r>
          </w:p>
        </w:tc>
        <w:tc>
          <w:tcPr>
            <w:shd w:val="clear" w:color="000000" w:fill="ffffff"/>
            <w:tcBorders/>
            <w:tcW w:w="3044" w:type="dxa"/>
            <w:vAlign w:val="center"/>
            <w:textDirection w:val="lrTb"/>
            <w:noWrap w:val="false"/>
          </w:tcPr>
          <w:p>
            <w:pPr>
              <w:pBdr/>
              <w:spacing w:after="40" w:before="40" w:line="288" w:lineRule="auto"/>
              <w:ind/>
              <w:rPr>
                <w:sz w:val="22"/>
                <w:szCs w:val="22"/>
              </w:rPr>
            </w:pPr>
            <w:r>
              <w:rPr>
                <w:b/>
                <w:bCs/>
                <w:sz w:val="22"/>
                <w:szCs w:val="22"/>
              </w:rPr>
              <w:t xml:space="preserve">Đất ở nông thôn</w:t>
            </w:r>
            <w:r>
              <w:rPr>
                <w:sz w:val="22"/>
                <w:szCs w:val="22"/>
              </w:rPr>
            </w:r>
          </w:p>
        </w:tc>
        <w:tc>
          <w:tcPr>
            <w:tcBorders/>
            <w:tcW w:w="1701" w:type="dxa"/>
            <w:vAlign w:val="center"/>
            <w:textDirection w:val="lrTb"/>
            <w:noWrap/>
          </w:tcPr>
          <w:p>
            <w:pPr>
              <w:pBdr/>
              <w:spacing w:after="40" w:before="40" w:line="288" w:lineRule="auto"/>
              <w:ind/>
              <w:jc w:val="center"/>
              <w:rPr>
                <w:color w:val="000000"/>
                <w:sz w:val="22"/>
                <w:szCs w:val="22"/>
              </w:rPr>
            </w:pPr>
            <w:r>
              <w:rPr>
                <w:color w:val="000000" w:themeColor="text1"/>
                <w:sz w:val="22"/>
                <w:szCs w:val="22"/>
              </w:rPr>
              <w:t xml:space="preserve">116.1</w:t>
            </w:r>
            <w:r>
              <w:rPr>
                <w:color w:val="000000"/>
                <w:sz w:val="22"/>
                <w:szCs w:val="22"/>
              </w:rPr>
            </w:r>
          </w:p>
        </w:tc>
        <w:tc>
          <w:tcPr>
            <w:shd w:val="clear" w:color="000000" w:fill="ffffff"/>
            <w:tcBorders/>
            <w:tcW w:w="1664" w:type="dxa"/>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52.900.000</w:t>
            </w:r>
            <w:r>
              <w:rPr>
                <w:sz w:val="22"/>
                <w:szCs w:val="22"/>
              </w:rPr>
            </w:r>
          </w:p>
        </w:tc>
        <w:tc>
          <w:tcPr>
            <w:shd w:val="clear" w:color="000000" w:fill="ffffff"/>
            <w:tcBorders/>
            <w:tcW w:w="2164" w:type="dxa"/>
            <w:vAlign w:val="center"/>
            <w:textDirection w:val="lrTb"/>
            <w:noWrap w:val="false"/>
          </w:tcPr>
          <w:p>
            <w:pPr>
              <w:pBdr/>
              <w:spacing w:after="40" w:before="40" w:line="288" w:lineRule="auto"/>
              <w:ind/>
              <w:jc w:val="center"/>
              <w:rPr>
                <w:sz w:val="22"/>
                <w:szCs w:val="22"/>
              </w:rPr>
            </w:pPr>
            <w:r>
              <w:rPr>
                <w:color w:val="000000" w:themeColor="text1"/>
                <w:sz w:val="22"/>
                <w:szCs w:val="22"/>
              </w:rPr>
            </w:r>
            <w:r>
              <w:rPr>
                <w:color w:val="000000" w:themeColor="text1"/>
                <w:sz w:val="22"/>
                <w:szCs w:val="22"/>
              </w:rPr>
              <w:t xml:space="preserve">6.141.690.000</w:t>
            </w:r>
            <w:r>
              <w:rPr>
                <w:color w:val="000000" w:themeColor="text1"/>
                <w:sz w:val="22"/>
                <w:szCs w:val="22"/>
              </w:rPr>
            </w:r>
            <w:r>
              <w:rPr>
                <w:sz w:val="22"/>
                <w:szCs w:val="22"/>
              </w:rPr>
            </w:r>
          </w:p>
        </w:tc>
      </w:tr>
      <w:tr>
        <w:trPr>
          <w:trHeight w:val="593"/>
        </w:trPr>
        <w:tc>
          <w:tcPr>
            <w:shd w:val="clear" w:color="000000" w:fill="ffffff"/>
            <w:tcBorders/>
            <w:tcW w:w="952" w:type="dxa"/>
            <w:vAlign w:val="center"/>
            <w:vMerge w:val="restart"/>
            <w:textDirection w:val="lrTb"/>
            <w:noWrap w:val="false"/>
          </w:tcPr>
          <w:p>
            <w:pPr>
              <w:pBdr/>
              <w:spacing w:after="40" w:before="40" w:line="288" w:lineRule="auto"/>
              <w:ind/>
              <w:jc w:val="center"/>
              <w:rPr>
                <w:b/>
                <w:bCs/>
                <w:sz w:val="22"/>
                <w:szCs w:val="22"/>
              </w:rPr>
            </w:pPr>
            <w:r>
              <w:rPr>
                <w:b/>
                <w:bCs/>
                <w:sz w:val="22"/>
                <w:szCs w:val="22"/>
              </w:rPr>
              <w:t xml:space="preserve">2</w:t>
            </w:r>
            <w:r>
              <w:rPr>
                <w:b/>
                <w:bCs/>
                <w:sz w:val="22"/>
                <w:szCs w:val="22"/>
              </w:rPr>
            </w:r>
          </w:p>
        </w:tc>
        <w:tc>
          <w:tcPr>
            <w:shd w:val="clear" w:color="000000" w:fill="ffffff"/>
            <w:tcBorders/>
            <w:tcW w:w="3044" w:type="dxa"/>
            <w:vAlign w:val="center"/>
            <w:vMerge w:val="restart"/>
            <w:textDirection w:val="lrTb"/>
            <w:noWrap w:val="false"/>
          </w:tcPr>
          <w:p>
            <w:pPr>
              <w:pBdr/>
              <w:spacing w:after="40" w:before="40" w:line="288" w:lineRule="auto"/>
              <w:ind/>
              <w:rPr>
                <w:b/>
                <w:bCs/>
                <w:sz w:val="22"/>
                <w:szCs w:val="22"/>
              </w:rPr>
            </w:pPr>
            <w:r>
              <w:rPr>
                <w:b/>
                <w:bCs/>
                <w:sz w:val="22"/>
                <w:szCs w:val="22"/>
              </w:rPr>
              <w:t xml:space="preserve">Đất ở nằm trong hành lang giao thông</w:t>
            </w:r>
            <w:r>
              <w:rPr>
                <w:b/>
                <w:bCs/>
                <w:sz w:val="22"/>
                <w:szCs w:val="22"/>
              </w:rPr>
            </w:r>
          </w:p>
        </w:tc>
        <w:tc>
          <w:tcPr>
            <w:tcBorders/>
            <w:tcW w:w="1701" w:type="dxa"/>
            <w:vAlign w:val="center"/>
            <w:vMerge w:val="restart"/>
            <w:textDirection w:val="lrTb"/>
            <w:noWrap/>
          </w:tcPr>
          <w:p>
            <w:pPr>
              <w:pBdr/>
              <w:spacing w:after="40" w:before="40" w:line="288" w:lineRule="auto"/>
              <w:ind/>
              <w:jc w:val="center"/>
              <w:rPr>
                <w:color w:val="000000" w:themeColor="text1"/>
                <w:sz w:val="22"/>
                <w:szCs w:val="22"/>
              </w:rPr>
            </w:pPr>
            <w:r>
              <w:rPr>
                <w:color w:val="000000" w:themeColor="text1"/>
                <w:sz w:val="22"/>
                <w:szCs w:val="22"/>
              </w:rPr>
              <w:t xml:space="preserve">7.1</w:t>
            </w:r>
            <w:r>
              <w:rPr>
                <w:color w:val="000000" w:themeColor="text1"/>
                <w:sz w:val="22"/>
                <w:szCs w:val="22"/>
              </w:rPr>
            </w:r>
          </w:p>
        </w:tc>
        <w:tc>
          <w:tcPr>
            <w:shd w:val="clear" w:color="000000" w:fill="ffffff"/>
            <w:tcBorders/>
            <w:tcW w:w="1664" w:type="dxa"/>
            <w:vAlign w:val="center"/>
            <w:vMerge w:val="restart"/>
            <w:textDirection w:val="lrTb"/>
            <w:noWrap w:val="false"/>
          </w:tcPr>
          <w:p>
            <w:pPr>
              <w:pBdr/>
              <w:spacing w:after="40" w:before="40" w:line="288" w:lineRule="auto"/>
              <w:ind/>
              <w:jc w:val="center"/>
              <w:rPr>
                <w:color w:val="000000" w:themeColor="text1"/>
                <w:sz w:val="22"/>
                <w:szCs w:val="22"/>
              </w:rPr>
            </w:pPr>
            <w:r>
              <w:rPr>
                <w:color w:val="000000" w:themeColor="text1"/>
                <w:sz w:val="22"/>
                <w:szCs w:val="22"/>
              </w:rPr>
            </w:r>
            <w:r>
              <w:rPr>
                <w:color w:val="000000" w:themeColor="text1"/>
                <w:sz w:val="22"/>
                <w:szCs w:val="22"/>
              </w:rPr>
              <w:t xml:space="preserve">20.987.000</w:t>
            </w:r>
            <w:r>
              <w:rPr>
                <w:color w:val="000000" w:themeColor="text1"/>
                <w:sz w:val="22"/>
                <w:szCs w:val="22"/>
              </w:rPr>
            </w:r>
            <w:r>
              <w:rPr>
                <w:color w:val="000000" w:themeColor="text1"/>
                <w:sz w:val="22"/>
                <w:szCs w:val="22"/>
              </w:rPr>
            </w:r>
          </w:p>
        </w:tc>
        <w:tc>
          <w:tcPr>
            <w:shd w:val="clear" w:color="000000" w:fill="ffffff"/>
            <w:tcBorders/>
            <w:tcW w:w="2164" w:type="dxa"/>
            <w:vAlign w:val="center"/>
            <w:vMerge w:val="restart"/>
            <w:textDirection w:val="lrTb"/>
            <w:noWrap w:val="false"/>
          </w:tcPr>
          <w:p>
            <w:pPr>
              <w:pBdr/>
              <w:spacing w:after="40" w:before="40" w:line="288" w:lineRule="auto"/>
              <w:ind/>
              <w:jc w:val="center"/>
              <w:rPr>
                <w:color w:val="000000" w:themeColor="text1"/>
                <w:sz w:val="22"/>
                <w:szCs w:val="22"/>
              </w:rPr>
            </w:pPr>
            <w:r>
              <w:rPr>
                <w:color w:val="000000" w:themeColor="text1"/>
                <w:sz w:val="22"/>
                <w:szCs w:val="22"/>
              </w:rPr>
            </w:r>
            <w:r>
              <w:rPr>
                <w:color w:val="000000" w:themeColor="text1"/>
                <w:sz w:val="22"/>
                <w:szCs w:val="22"/>
              </w:rPr>
              <w:t xml:space="preserve">149.007.700</w:t>
            </w:r>
            <w:r>
              <w:rPr>
                <w:color w:val="000000" w:themeColor="text1"/>
                <w:sz w:val="22"/>
                <w:szCs w:val="22"/>
              </w:rPr>
            </w:r>
            <w:r>
              <w:rPr>
                <w:color w:val="000000" w:themeColor="text1"/>
                <w:sz w:val="22"/>
                <w:szCs w:val="22"/>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TỔNG CỘNG</w:t>
            </w:r>
            <w:r>
              <w:rPr>
                <w:b/>
                <w:bCs/>
                <w:color w:val="000000"/>
                <w:sz w:val="22"/>
                <w:szCs w:val="22"/>
              </w:rPr>
            </w:r>
          </w:p>
        </w:tc>
        <w:tc>
          <w:tcPr>
            <w:tcBorders/>
            <w:tcW w:w="2164" w:type="dxa"/>
            <w:vAlign w:val="center"/>
            <w:textDirection w:val="lrTb"/>
            <w:noWrap/>
          </w:tcPr>
          <w:p>
            <w:pPr>
              <w:pBdr/>
              <w:spacing w:after="40" w:before="40" w:line="288" w:lineRule="auto"/>
              <w:ind/>
              <w:jc w:val="center"/>
              <w:rPr>
                <w:b/>
                <w:bCs/>
                <w:color w:val="000000"/>
                <w:sz w:val="22"/>
                <w:szCs w:val="22"/>
              </w:rPr>
            </w:pPr>
            <w:r>
              <w:rPr>
                <w:sz w:val="22"/>
                <w:szCs w:val="22"/>
              </w:rPr>
            </w:r>
            <w:r>
              <w:rPr>
                <w:sz w:val="22"/>
                <w:szCs w:val="22"/>
              </w:rPr>
              <w:t xml:space="preserve">6.290.697.700</w:t>
            </w:r>
            <w:r>
              <w:rPr>
                <w:sz w:val="22"/>
                <w:szCs w:val="22"/>
              </w:rPr>
            </w:r>
            <w:r>
              <w:rPr>
                <w:b/>
                <w:bCs/>
                <w:color w:val="000000"/>
                <w:sz w:val="22"/>
                <w:szCs w:val="22"/>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LÀM TRÒN</w:t>
            </w:r>
            <w:r>
              <w:rPr>
                <w:b/>
                <w:bCs/>
                <w:color w:val="000000"/>
                <w:sz w:val="22"/>
                <w:szCs w:val="22"/>
              </w:rPr>
            </w:r>
          </w:p>
        </w:tc>
        <w:tc>
          <w:tcPr>
            <w:tcBorders/>
            <w:tcW w:w="2164"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r>
            <w:r>
              <w:rPr>
                <w:b/>
                <w:bCs/>
                <w:color w:val="000000"/>
                <w:sz w:val="22"/>
                <w:szCs w:val="22"/>
              </w:rPr>
              <w:t xml:space="preserve">6.290.000.000</w:t>
            </w:r>
            <w:r>
              <w:rPr>
                <w:b/>
                <w:bCs/>
                <w:color w:val="000000"/>
                <w:sz w:val="22"/>
                <w:szCs w:val="22"/>
              </w:rPr>
            </w:r>
            <w:r>
              <w:rPr>
                <w:b/>
                <w:bCs/>
                <w:color w:val="000000"/>
                <w:sz w:val="22"/>
                <w:szCs w:val="22"/>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sz w:val="22"/>
                <w:szCs w:val="22"/>
              </w:rPr>
            </w:pPr>
            <w:r>
              <w:rPr>
                <w:b/>
                <w:bCs/>
                <w:i/>
                <w:iCs/>
                <w:color w:val="000000"/>
                <w:sz w:val="22"/>
                <w:szCs w:val="22"/>
              </w:rPr>
              <w:t xml:space="preserve">(Bằng chữ: </w:t>
            </w:r>
            <w:r>
              <w:rPr>
                <w:b/>
                <w:bCs/>
                <w:i/>
                <w:iCs/>
                <w:color w:val="000000"/>
                <w:sz w:val="22"/>
                <w:szCs w:val="22"/>
              </w:rPr>
              <w:t xml:space="preserve">Sáu tỷ hai trăm chín mươi triệu</w:t>
            </w:r>
            <w:r>
              <w:rPr>
                <w:b/>
                <w:bCs/>
                <w:i/>
                <w:iCs/>
                <w:color w:val="000000"/>
                <w:sz w:val="22"/>
                <w:szCs w:val="22"/>
              </w:rPr>
              <w:t xml:space="preserve">./.)</w:t>
            </w:r>
            <w:r>
              <w:rPr>
                <w:b/>
                <w:bCs/>
                <w:i/>
                <w:iCs/>
                <w:color w:val="000000"/>
                <w:sz w:val="22"/>
                <w:szCs w:val="22"/>
              </w:rPr>
            </w:r>
          </w:p>
        </w:tc>
      </w:tr>
    </w:tbl>
    <w:p>
      <w:pPr>
        <w:pBdr/>
        <w:spacing w:after="120" w:before="120" w:line="312" w:lineRule="auto"/>
        <w:ind/>
        <w:jc w:val="both"/>
        <w:rPr>
          <w:b/>
          <w:bCs/>
          <w:sz w:val="22"/>
          <w:szCs w:val="22"/>
        </w:rPr>
      </w:pPr>
      <w:r>
        <w:rPr>
          <w:b/>
          <w:bCs/>
          <w:sz w:val="22"/>
          <w:szCs w:val="22"/>
          <w:lang w:val="vi-VN"/>
        </w:rPr>
        <w:t xml:space="preserve">10. Thời hạn hiệu lực của kết quả thẩm định giá:</w:t>
      </w:r>
      <w:r>
        <w:rPr>
          <w:b/>
          <w:bCs/>
          <w:sz w:val="22"/>
          <w:szCs w:val="22"/>
        </w:rPr>
      </w:r>
    </w:p>
    <w:p>
      <w:pPr>
        <w:pBdr/>
        <w:spacing w:after="120" w:before="120" w:line="312" w:lineRule="auto"/>
        <w:ind w:firstLine="360"/>
        <w:jc w:val="both"/>
        <w:rPr>
          <w:sz w:val="22"/>
          <w:szCs w:val="22"/>
        </w:rPr>
      </w:pPr>
      <w:r>
        <w:rPr>
          <w:sz w:val="22"/>
          <w:szCs w:val="22"/>
          <w:lang w:val="pt-BR"/>
        </w:rPr>
        <w:t xml:space="preserve">- Tối đa 06 (sáu) tháng tính từ ngày ký đối với tài sản là Bất động sản.</w:t>
      </w:r>
      <w:r>
        <w:rPr>
          <w:sz w:val="22"/>
          <w:szCs w:val="22"/>
          <w:lang w:val="pt-BR"/>
        </w:rPr>
      </w:r>
    </w:p>
    <w:p>
      <w:pPr>
        <w:pBdr/>
        <w:spacing w:after="120" w:before="120" w:line="312" w:lineRule="auto"/>
        <w:ind/>
        <w:rPr>
          <w:sz w:val="22"/>
          <w:szCs w:val="22"/>
        </w:rPr>
      </w:pPr>
      <w:r>
        <w:rPr>
          <w:b/>
          <w:bCs/>
          <w:sz w:val="22"/>
          <w:szCs w:val="22"/>
          <w:lang w:val="vi-VN"/>
        </w:rPr>
        <w:t xml:space="preserve">11. Những điều khoản loại trừ và hạn chế của kết quả thẩm định giá:</w:t>
      </w:r>
      <w:r>
        <w:rPr>
          <w:sz w:val="22"/>
          <w:szCs w:val="22"/>
        </w:rPr>
      </w:r>
    </w:p>
    <w:p>
      <w:pPr>
        <w:pBdr/>
        <w:spacing w:after="120" w:before="120" w:line="312" w:lineRule="auto"/>
        <w:ind w:firstLine="360"/>
        <w:rPr>
          <w:sz w:val="22"/>
          <w:szCs w:val="22"/>
        </w:rPr>
      </w:pPr>
      <w:r>
        <w:rPr>
          <w:sz w:val="22"/>
          <w:szCs w:val="22"/>
          <w:lang w:val="pt-BR"/>
        </w:rPr>
        <w:t xml:space="preserve">- </w:t>
      </w:r>
      <w:r>
        <w:rPr>
          <w:sz w:val="22"/>
          <w:szCs w:val="22"/>
          <w:lang w:val="pt-BR"/>
        </w:rPr>
        <w:t xml:space="preserve">Chi tiết như Báo cáo kèm theo.</w:t>
      </w:r>
      <w:r>
        <w:rPr>
          <w:rFonts w:eastAsia="Calibri"/>
          <w:b/>
          <w:spacing w:val="-4"/>
          <w:sz w:val="22"/>
          <w:szCs w:val="22"/>
          <w:lang w:val="pt-BR"/>
        </w:rPr>
        <w:br w:type="page" w:clear="all"/>
      </w:r>
      <w:r>
        <w:rPr>
          <w:rFonts w:eastAsia="Calibri"/>
          <w:b/>
          <w:spacing w:val="-4"/>
          <w:sz w:val="22"/>
          <w:szCs w:val="22"/>
          <w:lang w:val="pt-BR"/>
        </w:rPr>
        <w:t xml:space="preserve">12</w:t>
      </w:r>
      <w:r>
        <w:rPr>
          <w:rFonts w:eastAsia="Calibri"/>
          <w:b/>
          <w:spacing w:val="-4"/>
          <w:sz w:val="22"/>
          <w:szCs w:val="22"/>
          <w:lang w:val="vi-VN"/>
        </w:rPr>
        <w:t xml:space="preserve">. Các tài liệu kèm theo:</w:t>
      </w:r>
      <w:r>
        <w:rPr>
          <w:sz w:val="22"/>
          <w:szCs w:val="22"/>
          <w:lang w:val="pt-BR"/>
        </w:rPr>
      </w:r>
    </w:p>
    <w:p>
      <w:pPr>
        <w:pBdr/>
        <w:tabs>
          <w:tab w:val="left" w:leader="none" w:pos="5202"/>
        </w:tabs>
        <w:spacing w:after="120" w:before="120" w:line="276" w:lineRule="auto"/>
        <w:ind w:firstLine="431"/>
        <w:jc w:val="both"/>
        <w:rPr>
          <w:spacing w:val="-6"/>
          <w:sz w:val="22"/>
          <w:szCs w:val="22"/>
        </w:rPr>
      </w:pPr>
      <w:r>
        <w:rPr>
          <w:spacing w:val="-6"/>
          <w:sz w:val="22"/>
          <w:szCs w:val="22"/>
          <w:lang w:val="vi-VN"/>
        </w:rPr>
        <w:t xml:space="preserve">- Báo cáo kết quả thẩm định giá.</w:t>
      </w:r>
      <w:r>
        <w:rPr>
          <w:spacing w:val="-6"/>
          <w:sz w:val="22"/>
          <w:szCs w:val="22"/>
          <w:lang w:val="vi-VN"/>
        </w:rPr>
      </w:r>
    </w:p>
    <w:p>
      <w:pPr>
        <w:pBdr/>
        <w:tabs>
          <w:tab w:val="left" w:leader="none" w:pos="5202"/>
        </w:tabs>
        <w:spacing w:after="120" w:before="120" w:line="276" w:lineRule="auto"/>
        <w:ind w:firstLine="431"/>
        <w:jc w:val="both"/>
        <w:rPr>
          <w:spacing w:val="-6"/>
          <w:sz w:val="22"/>
          <w:szCs w:val="22"/>
        </w:rPr>
      </w:pPr>
      <w:r>
        <w:rPr>
          <w:spacing w:val="-6"/>
          <w:sz w:val="22"/>
          <w:szCs w:val="22"/>
          <w:lang w:val="vi-VN"/>
        </w:rPr>
        <w:t xml:space="preserve">- Các phụ lục chi tiết kèm theo.</w:t>
      </w:r>
      <w:r>
        <w:rPr>
          <w:spacing w:val="-6"/>
          <w:sz w:val="22"/>
          <w:szCs w:val="22"/>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275/2026/7777/VFI-CT.57.A</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3 tháng 4 năm 2026</w:t>
            </w:r>
            <w:r>
              <w:rPr>
                <w:color w:val="000000" w:themeColor="text1"/>
                <w:sz w:val="24"/>
                <w:szCs w:val="24"/>
                <w:lang w:val="vi-VN"/>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275/2026/7777/VFI-CT.57.A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4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CÔNG TY TNHH HÙNG MAI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Mã số thuế</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0104176791</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Đại diện</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Vũ Mạnh Thắng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Chức vụ</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Giám Đốc</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 trụ sở</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Thanh Vị, Xã Thanh Mỹ, Thị Xã Sơn Tây, Thành phố Hà Nội, Việt Nam </w:t>
            </w:r>
            <w:r>
              <w:rPr>
                <w:rFonts w:ascii="Times New Roman" w:hAnsi="Times New Roman" w:eastAsia="Times New Roman" w:cs="Times New Roman"/>
                <w:i/>
                <w:iCs/>
                <w:color w:val="000000"/>
                <w:sz w:val="24"/>
              </w:rPr>
              <w:t xml:space="preserve"> (Nay là Phường Tùng Thiện,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40" w:before="40" w:line="288" w:lineRule="auto"/>
              <w:ind/>
              <w:jc w:val="both"/>
              <w:rPr>
                <w:b/>
                <w:bCs/>
                <w:sz w:val="22"/>
                <w:szCs w:val="22"/>
              </w:rPr>
            </w:pPr>
            <w:r>
              <w:rPr>
                <w:color w:val="000000"/>
                <w:sz w:val="22"/>
                <w:szCs w:val="22"/>
              </w:rPr>
            </w:r>
            <w:r>
              <w:rPr>
                <w:rFonts w:ascii="Times New Roman" w:hAnsi="Times New Roman" w:eastAsia="Times New Roman" w:cs="Times New Roman"/>
                <w:color w:val="000000"/>
                <w:sz w:val="22"/>
                <w:szCs w:val="22"/>
              </w:rPr>
              <w:t xml:space="preserve">Q</w:t>
            </w:r>
            <w:r>
              <w:rPr>
                <w:rFonts w:ascii="Times New Roman" w:hAnsi="Times New Roman" w:eastAsia="Times New Roman" w:cs="Times New Roman"/>
                <w:color w:val="000000"/>
                <w:sz w:val="22"/>
                <w:szCs w:val="22"/>
              </w:rPr>
              <w:t xml:space="preserve">uyền sử dụng đất tại thửa đất số: 127(1), tờ bản đồ 32 có địa chỉ: Thôn Thanh Vị, Xã Thanh Mỹ, Thị Xã Sơn Tây, Thành phố Hà Nội</w:t>
            </w:r>
            <w:r>
              <w:rPr>
                <w:rFonts w:ascii="Times New Roman" w:hAnsi="Times New Roman" w:eastAsia="Times New Roman" w:cs="Times New Roman"/>
                <w:i/>
                <w:iCs/>
                <w:color w:val="000000"/>
                <w:sz w:val="22"/>
                <w:szCs w:val="22"/>
              </w:rPr>
              <w:t xml:space="preserve"> (Nay là Phường Tùng Thiện, Thành Phố Hà Nội)</w:t>
            </w:r>
            <w:r>
              <w:rPr>
                <w:rFonts w:ascii="Times New Roman" w:hAnsi="Times New Roman" w:eastAsia="Times New Roman" w:cs="Times New Roman"/>
                <w:color w:val="000000"/>
                <w:sz w:val="22"/>
                <w:szCs w:val="22"/>
              </w:rPr>
              <w:t xml:space="preserve"> theo Giấy chứng nhận quyền sử dụng đất, quyền sở hữu nhà ở và tài sản khác gắn liền</w:t>
            </w:r>
            <w:r>
              <w:rPr>
                <w:rFonts w:ascii="Times New Roman" w:hAnsi="Times New Roman" w:eastAsia="Times New Roman" w:cs="Times New Roman"/>
                <w:color w:val="000000"/>
                <w:sz w:val="22"/>
                <w:szCs w:val="22"/>
              </w:rPr>
              <w:t xml:space="preserve"> với đất số: </w:t>
            </w:r>
            <w:r>
              <w:rPr>
                <w:color w:val="000000"/>
                <w:sz w:val="22"/>
                <w:szCs w:val="22"/>
              </w:rPr>
              <w:t xml:space="preserve"> BĐ 721604</w:t>
            </w:r>
            <w:r>
              <w:rPr>
                <w:rFonts w:ascii="Times New Roman" w:hAnsi="Times New Roman" w:eastAsia="Times New Roman" w:cs="Times New Roman"/>
                <w:color w:val="000000"/>
                <w:sz w:val="22"/>
                <w:szCs w:val="22"/>
              </w:rPr>
              <w:t xml:space="preserve">, số vào sổ cấp GCN </w:t>
            </w:r>
            <w:r>
              <w:rPr>
                <w:color w:val="000000"/>
                <w:sz w:val="22"/>
                <w:szCs w:val="22"/>
              </w:rPr>
              <w:t xml:space="preserve">CH 00169</w:t>
            </w:r>
            <w:r>
              <w:rPr>
                <w:rFonts w:ascii="Times New Roman" w:hAnsi="Times New Roman" w:eastAsia="Times New Roman" w:cs="Times New Roman"/>
                <w:color w:val="000000"/>
                <w:sz w:val="22"/>
                <w:szCs w:val="22"/>
              </w:rPr>
              <w:t xml:space="preserve"> do </w:t>
            </w:r>
            <w:r>
              <w:rPr>
                <w:color w:val="000000"/>
                <w:sz w:val="22"/>
                <w:szCs w:val="22"/>
              </w:rPr>
              <w:t xml:space="preserve">Ủy Ban Nhân Dân Thị Xã Sơn Tây</w:t>
            </w:r>
            <w:r>
              <w:rPr>
                <w:rFonts w:ascii="Times New Roman" w:hAnsi="Times New Roman" w:eastAsia="Times New Roman" w:cs="Times New Roman"/>
                <w:color w:val="000000"/>
                <w:sz w:val="22"/>
                <w:szCs w:val="22"/>
              </w:rPr>
              <w:t xml:space="preserve"> cấp ngày 24/7/2012; Chủ sử dụng đất là Bà Nguyễn Thị Mạch.</w:t>
            </w:r>
            <w:r>
              <w:rPr>
                <w:b/>
                <w:bCs/>
                <w:sz w:val="22"/>
                <w:szCs w:val="22"/>
              </w:rPr>
            </w:r>
            <w:r>
              <w:rPr>
                <w:bCs/>
                <w:color w:val="000000" w:themeColor="text1"/>
                <w:lang w:val="pt-BR"/>
              </w:rPr>
            </w:r>
            <w:r>
              <w:rPr>
                <w:b/>
                <w:bCs/>
                <w:spacing w:val="2"/>
                <w:lang w:val="vi-VN"/>
              </w:rPr>
            </w:r>
            <w:r>
              <w:rPr>
                <w:b/>
                <w:bCs/>
                <w:sz w:val="22"/>
                <w:szCs w:val="22"/>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Thôn Thanh Vỵ, Xã Thanh Mỹ, Thị xã Sơn Tây, Thành phố Hà Nội </w:t>
            </w:r>
            <w:r>
              <w:rPr>
                <w:rFonts w:ascii="Times New Roman" w:hAnsi="Times New Roman" w:eastAsia="Times New Roman" w:cs="Times New Roman"/>
                <w:i/>
                <w:iCs/>
                <w:color w:val="000000"/>
                <w:sz w:val="22"/>
                <w:szCs w:val="22"/>
              </w:rPr>
              <w:t xml:space="preserve">(Nay là Phường Tùng Thiện, Thành Phố Hà Nội)</w:t>
            </w:r>
            <w:r/>
            <w:r>
              <w:rPr>
                <w:color w:val="000000" w:themeColor="text1"/>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21.113277777778, 105.47683333333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rFonts w:ascii="Times New Roman" w:hAnsi="Times New Roman" w:eastAsia="Times New Roman" w:cs="Times New Roman"/>
          <w:color w:val="000000"/>
          <w:sz w:val="22"/>
          <w:szCs w:val="22"/>
        </w:rPr>
        <w:t xml:space="preserve">Giấy chứng nhận quyền sử dụng đất, quyền sở hữu nhà ở và tài sản khác gắn liền</w:t>
      </w:r>
      <w:r>
        <w:rPr>
          <w:rFonts w:ascii="Times New Roman" w:hAnsi="Times New Roman" w:eastAsia="Times New Roman" w:cs="Times New Roman"/>
          <w:color w:val="000000"/>
          <w:sz w:val="22"/>
          <w:szCs w:val="22"/>
        </w:rPr>
        <w:t xml:space="preserve"> với đất số: </w:t>
      </w:r>
      <w:r>
        <w:rPr>
          <w:color w:val="000000"/>
          <w:sz w:val="22"/>
          <w:szCs w:val="22"/>
        </w:rPr>
        <w:t xml:space="preserve"> BĐ 721604</w:t>
      </w:r>
      <w:r>
        <w:rPr>
          <w:rFonts w:ascii="Times New Roman" w:hAnsi="Times New Roman" w:eastAsia="Times New Roman" w:cs="Times New Roman"/>
          <w:color w:val="000000"/>
          <w:sz w:val="22"/>
          <w:szCs w:val="22"/>
        </w:rPr>
        <w:t xml:space="preserve">, số vào sổ cấp GCN </w:t>
      </w:r>
      <w:r>
        <w:rPr>
          <w:color w:val="000000"/>
          <w:sz w:val="22"/>
          <w:szCs w:val="22"/>
        </w:rPr>
        <w:t xml:space="preserve">CH 00169</w:t>
      </w:r>
      <w:r>
        <w:rPr>
          <w:rFonts w:ascii="Times New Roman" w:hAnsi="Times New Roman" w:eastAsia="Times New Roman" w:cs="Times New Roman"/>
          <w:color w:val="000000"/>
          <w:sz w:val="22"/>
          <w:szCs w:val="22"/>
        </w:rPr>
        <w:t xml:space="preserve"> do </w:t>
      </w:r>
      <w:r>
        <w:rPr>
          <w:color w:val="000000"/>
          <w:sz w:val="22"/>
          <w:szCs w:val="22"/>
        </w:rPr>
        <w:t xml:space="preserve">Ủy Ban Nhân Dân Thị Xã Sơn Tây</w:t>
      </w:r>
      <w:r>
        <w:rPr>
          <w:rFonts w:ascii="Times New Roman" w:hAnsi="Times New Roman" w:eastAsia="Times New Roman" w:cs="Times New Roman"/>
          <w:color w:val="000000"/>
          <w:sz w:val="22"/>
          <w:szCs w:val="22"/>
        </w:rPr>
        <w:t xml:space="preserve"> cấp ngày 24/7/2012; Chủ sử dụng đất là Bà Nguyễn Thị Mạch.</w:t>
      </w:r>
      <w:r/>
      <w:r>
        <w:rPr>
          <w:bCs/>
          <w:color w:val="000000" w:themeColor="text1"/>
          <w:lang w:val="pt-BR"/>
        </w:rPr>
      </w:r>
      <w:r>
        <w:rPr>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bCs w:val="0"/>
          <w:i w:val="0"/>
        </w:rPr>
      </w:pPr>
      <w:r>
        <w:rPr>
          <w:i w:val="0"/>
          <w:iCs w:val="0"/>
          <w:color w:val="000000" w:themeColor="text1"/>
          <w:lang w:val="pt-BR"/>
        </w:rPr>
        <w:t xml:space="preserve">Hợp đồng số </w:t>
      </w:r>
      <w:r>
        <w:rPr>
          <w:b w:val="0"/>
          <w:i w:val="0"/>
          <w:iCs w:val="0"/>
          <w:color w:val="000000" w:themeColor="text1"/>
          <w:spacing w:val="-6"/>
          <w:sz w:val="24"/>
          <w:szCs w:val="24"/>
          <w:lang w:val="pt-BR"/>
        </w:rPr>
        <w:t xml:space="preserve">275/2026/7777/VFI-HĐTĐ.57.A</w:t>
      </w:r>
      <w:r>
        <w:rPr>
          <w:i w:val="0"/>
          <w:iCs w:val="0"/>
          <w:color w:val="000000" w:themeColor="text1"/>
          <w:lang w:val="pt-BR"/>
        </w:rPr>
        <w:t xml:space="preserve"> ngày 23/03/2026 giữa Công Ty Hùng Mai với Công ty Cổ phần Thẩm định và Đầu tư Tài chính Hoa Sen.</w:t>
      </w:r>
      <w:r>
        <w:rPr>
          <w:b/>
          <w:i w:val="0"/>
          <w:iCs w:val="0"/>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rPr>
          <w:i/>
          <w:iCs/>
          <w:lang w:val="pt-BR"/>
        </w:rPr>
      </w:pPr>
      <w:r>
        <w:rPr>
          <w:lang w:val="pt-BR"/>
        </w:rPr>
        <w:tab/>
      </w:r>
      <w:r>
        <w:rPr>
          <w:shd w:val="clear" w:color="auto" w:fill="ffffff"/>
        </w:rPr>
        <w:t xml:space="preserve">Thị xã Sơn Tây là trung tâ</w:t>
      </w:r>
      <w:r>
        <w:rPr>
          <w:shd w:val="clear" w:color="auto" w:fill="ffffff"/>
        </w:rPr>
        <w:t xml:space="preserve">m kinh tế, văn hóa, chính trị, quốc phòng, an ninh khu vực phía Tây của Thủ đô Hà Nội, là nơi có nhiều di tích lịch sử, văn hóa như thành cổ Sơn Tây, làng cổ Đường Lâm, đền Phùng Hưng, lăng Ngô Quyền, nhà thờ Giang Văn Minh, đền Và, chùa Mía, di tích V</w:t>
      </w:r>
      <w:r>
        <w:rPr>
          <w:shd w:val="clear" w:color="auto" w:fill="ffffff"/>
        </w:rPr>
        <w:t xml:space="preserve">ăn Miếu…, nơi có nhiều khu du lịch nghỉ dưỡng nổi tiếng như khu du lịch hồ Đồng Mô, hồ Xuân Khanh, khu nghỉ dưỡng ASEAN, sân gôn Thung Lũng Vua, làng văn hóa du lịch các dân tộc Việt Nam…</w:t>
        <w:br/>
        <w:t xml:space="preserve">Đây cũng là nơi có nhiều tuyến giao thông quan trọng đi qua, như cá</w:t>
      </w:r>
      <w:r>
        <w:rPr>
          <w:shd w:val="clear" w:color="auto" w:fill="ffffff"/>
        </w:rPr>
        <w:t xml:space="preserve">c tuyến quốc lộ 32, 21A, 2C, cầu Vĩnh Thịnh, đường cao tốc Láng – Hòa Lạc; các tuyến đường tỉnh lộ như 413, 414, 414B, 416, 417, 418; có tuyến đường thủy sông Hồng; có hệ thống kết cấu hạ tầng khá phát triển…;</w:t>
        <w:br/>
        <w:t xml:space="preserve">Trong thời gian tới, đường trục phát triển Sơn</w:t>
      </w:r>
      <w:r>
        <w:rPr>
          <w:shd w:val="clear" w:color="auto" w:fill="ffffff"/>
        </w:rPr>
        <w:t xml:space="preserve"> Tây – Phúc Thọ – Đan Phượng, đường Hồ Chí Minh đoạn giáp Thị xã, các tuyến đường và nhiều công trình quan trọng trên địa bàn Thị xã sẽ được xây dựng, nâng cấp. Bên cạnh đó, theo định hướng chung xây dựng Thủ đô Hà Nội đến năm 2030, tầm nhìn đến năm 2050, </w:t>
      </w:r>
      <w:r>
        <w:rPr>
          <w:shd w:val="clear" w:color="auto" w:fill="ffffff"/>
        </w:rPr>
        <w:t xml:space="preserve">Thị xã Sơn Tây trong tương lai là một trong chuỗi 5 đô thị vệ tinh của Thủ đô Hà Nội, với chức năng chính là đô thị văn hóa lịch sử và du lịch nghỉ dưỡng… Đây là các yếu tố quan trọng, đã, đang thúc đẩy Thị xã Sơn Tây phát triển nhanh và bền vững. Thị trườ</w:t>
      </w:r>
      <w:r>
        <w:rPr>
          <w:shd w:val="clear" w:color="auto" w:fill="ffffff"/>
        </w:rPr>
        <w:t xml:space="preserve">ng bất động sản Sơn Tây cũng vì thế mà có những dấu hiệu tăng trưởng tích cực với lượt người quan tâm tìm mua, lượng giao dịch và giá đều tăng nhẹ so với trước.</w:t>
        <w:br/>
        <w:t xml:space="preserve">Được xác định là vùng đất – đô thị có thế mạnh về cảnh sắc thiên nhiên, di sản văn hóa lịch sử </w:t>
      </w:r>
      <w:r>
        <w:rPr>
          <w:shd w:val="clear" w:color="auto" w:fill="ffffff"/>
        </w:rPr>
        <w:t xml:space="preserve">nên bất động sản Sơn Tây được dự đoán sẽ phát triển theo mô hình các trung tâm du lịch đô thị dịch vụ, nghỉ dưỡng. Khi bất động sản nghỉ dưỡng phát triển sẽ kéo theo các phân khúc khác được hưởng lợi, đặc biệt là đất thổ cư, đất nền dự án, nhà phố biệt thự</w:t>
      </w:r>
      <w:r>
        <w:rPr>
          <w:i/>
          <w:iCs/>
          <w:lang w:val="pt-BR"/>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81" w:type="dxa"/>
            <w:vAlign w:val="center"/>
            <w:textDirection w:val="lrTb"/>
            <w:noWrap w:val="false"/>
          </w:tcPr>
          <w:p>
            <w:pPr>
              <w:pBdr/>
              <w:spacing w:after="40" w:before="40" w:line="288" w:lineRule="auto"/>
              <w:ind/>
              <w:jc w:val="both"/>
              <w:rPr>
                <w:b/>
                <w:bCs/>
                <w:sz w:val="22"/>
                <w:szCs w:val="22"/>
              </w:rPr>
            </w:pPr>
            <w:r>
              <w:rPr>
                <w:color w:val="000000"/>
                <w:sz w:val="22"/>
                <w:szCs w:val="22"/>
              </w:rPr>
            </w:r>
            <w:r>
              <w:rPr>
                <w:rFonts w:ascii="Times New Roman" w:hAnsi="Times New Roman" w:eastAsia="Times New Roman" w:cs="Times New Roman"/>
                <w:b/>
                <w:bCs/>
                <w:color w:val="000000"/>
                <w:sz w:val="22"/>
                <w:szCs w:val="22"/>
              </w:rPr>
              <w:t xml:space="preserve">Q</w:t>
            </w:r>
            <w:r>
              <w:rPr>
                <w:rFonts w:ascii="Times New Roman" w:hAnsi="Times New Roman" w:eastAsia="Times New Roman" w:cs="Times New Roman"/>
                <w:b/>
                <w:bCs/>
                <w:color w:val="000000"/>
                <w:sz w:val="22"/>
                <w:szCs w:val="22"/>
              </w:rPr>
              <w:t xml:space="preserve">uyền sử dụng đất tại thửa đất số: 127(1), tờ bản đồ 32 có địa chỉ: Thôn Thanh Vị, Xã Thanh Mỹ, Thị Xã Sơn Tây, Thành phố Hà Nội</w:t>
            </w:r>
            <w:r>
              <w:rPr>
                <w:rFonts w:ascii="Times New Roman" w:hAnsi="Times New Roman" w:eastAsia="Times New Roman" w:cs="Times New Roman"/>
                <w:b/>
                <w:bCs/>
                <w:i/>
                <w:iCs/>
                <w:color w:val="000000"/>
                <w:sz w:val="22"/>
                <w:szCs w:val="22"/>
              </w:rPr>
              <w:t xml:space="preserve"> (Nay là Phường Tùng Thiện, Thành Phố Hà Nội)</w:t>
            </w:r>
            <w:r>
              <w:rPr>
                <w:rFonts w:ascii="Times New Roman" w:hAnsi="Times New Roman" w:eastAsia="Times New Roman" w:cs="Times New Roman"/>
                <w:b/>
                <w:bCs/>
                <w:color w:val="000000"/>
                <w:sz w:val="22"/>
                <w:szCs w:val="22"/>
              </w:rPr>
              <w:t xml:space="preserve"> theo Giấy chứng nhận quyền sử dụng đất, quyền sở hữu nhà ở và tài sản khác gắn liền</w:t>
            </w:r>
            <w:r>
              <w:rPr>
                <w:rFonts w:ascii="Times New Roman" w:hAnsi="Times New Roman" w:eastAsia="Times New Roman" w:cs="Times New Roman"/>
                <w:b/>
                <w:bCs/>
                <w:color w:val="000000"/>
                <w:sz w:val="22"/>
                <w:szCs w:val="22"/>
              </w:rPr>
              <w:t xml:space="preserve"> với đất số: </w:t>
            </w:r>
            <w:r>
              <w:rPr>
                <w:b/>
                <w:bCs/>
                <w:color w:val="000000"/>
                <w:sz w:val="22"/>
                <w:szCs w:val="22"/>
              </w:rPr>
              <w:t xml:space="preserve"> BĐ 721604</w:t>
            </w:r>
            <w:r>
              <w:rPr>
                <w:rFonts w:ascii="Times New Roman" w:hAnsi="Times New Roman" w:eastAsia="Times New Roman" w:cs="Times New Roman"/>
                <w:b/>
                <w:bCs/>
                <w:color w:val="000000"/>
                <w:sz w:val="22"/>
                <w:szCs w:val="22"/>
              </w:rPr>
              <w:t xml:space="preserve">, số vào sổ cấp GCN </w:t>
            </w:r>
            <w:r>
              <w:rPr>
                <w:b/>
                <w:bCs/>
                <w:color w:val="000000"/>
                <w:sz w:val="22"/>
                <w:szCs w:val="22"/>
              </w:rPr>
              <w:t xml:space="preserve">CH 00169</w:t>
            </w:r>
            <w:r>
              <w:rPr>
                <w:rFonts w:ascii="Times New Roman" w:hAnsi="Times New Roman" w:eastAsia="Times New Roman" w:cs="Times New Roman"/>
                <w:b/>
                <w:bCs/>
                <w:color w:val="000000"/>
                <w:sz w:val="22"/>
                <w:szCs w:val="22"/>
              </w:rPr>
              <w:t xml:space="preserve"> do </w:t>
            </w:r>
            <w:r>
              <w:rPr>
                <w:b/>
                <w:bCs/>
                <w:color w:val="000000"/>
                <w:sz w:val="22"/>
                <w:szCs w:val="22"/>
              </w:rPr>
              <w:t xml:space="preserve">Ủy Ban Nhân Dân Thị Xã Sơn Tây</w:t>
            </w:r>
            <w:r>
              <w:rPr>
                <w:rFonts w:ascii="Times New Roman" w:hAnsi="Times New Roman" w:eastAsia="Times New Roman" w:cs="Times New Roman"/>
                <w:b/>
                <w:bCs/>
                <w:color w:val="000000"/>
                <w:sz w:val="22"/>
                <w:szCs w:val="22"/>
              </w:rPr>
              <w:t xml:space="preserve"> cấp ngày 24/7/2012; Chủ sử dụng đất là Bà Nguyễn Thị Mạch.</w:t>
            </w:r>
            <w:r>
              <w:rPr>
                <w:b/>
                <w:bCs/>
                <w:color w:val="000000"/>
              </w:rPr>
            </w:r>
            <w:r>
              <w:rPr>
                <w:b/>
                <w:bCs/>
                <w:sz w:val="22"/>
                <w:szCs w:val="22"/>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127(1)</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32</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59" w:type="dxa"/>
            <w:vAlign w:val="center"/>
            <w:textDirection w:val="lrTb"/>
            <w:noWrap w:val="false"/>
          </w:tcPr>
          <w:p>
            <w:pPr>
              <w:pBdr/>
              <w:spacing/>
              <w:ind/>
              <w:jc w:val="both"/>
              <w:rPr>
                <w:b w:val="0"/>
                <w:bCs w:val="0"/>
                <w:i w:val="0"/>
                <w:color w:val="000000"/>
              </w:rPr>
            </w:pPr>
            <w:r>
              <w:rPr>
                <w:b w:val="0"/>
                <w:bCs w:val="0"/>
                <w:i w:val="0"/>
                <w:iCs w:val="0"/>
                <w:color w:val="000000"/>
              </w:rPr>
              <w:t xml:space="preserve">Thôn Thanh Vỵ, Xã Thanh Mỹ, Thị xã Sơn Tây, Thành phố Hà Nội </w:t>
            </w:r>
            <w:r>
              <w:rPr>
                <w:rFonts w:ascii="Times New Roman" w:hAnsi="Times New Roman" w:eastAsia="Times New Roman" w:cs="Times New Roman"/>
                <w:b w:val="0"/>
                <w:bCs w:val="0"/>
                <w:i/>
                <w:iCs/>
                <w:color w:val="000000"/>
                <w:sz w:val="22"/>
                <w:szCs w:val="22"/>
              </w:rPr>
              <w:t xml:space="preserve">(Nay là Phường Tùng Thiện, Thành Phố Hà Nội)</w:t>
            </w:r>
            <w:r>
              <w:rPr>
                <w:b w:val="0"/>
                <w:bCs w:val="0"/>
                <w:i/>
                <w:iCs/>
                <w:color w:val="000000"/>
              </w:rPr>
            </w:r>
            <w:r>
              <w:rPr>
                <w:b w:val="0"/>
                <w:bCs w:val="0"/>
                <w:i w:val="0"/>
                <w:i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123.2</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nông thôn</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nước công nhận quyền sử dụng đất như Nhà nước giao đất có thu tiền sử dụng đất</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Tại thời điểm thẩm định giá, theo như phần ghi chú trong </w:t>
            </w:r>
            <w:r>
              <w:rPr>
                <w:rFonts w:ascii="Times New Roman" w:hAnsi="Times New Roman" w:eastAsia="Times New Roman" w:cs="Times New Roman"/>
                <w:color w:val="000000"/>
                <w:sz w:val="22"/>
              </w:rPr>
              <w:t xml:space="preserve">Giấy chứng nhận quyền sử dụng đất số: BĐ 721604</w:t>
            </w:r>
            <w:r>
              <w:rPr>
                <w:rFonts w:ascii="Times New Roman" w:hAnsi="Times New Roman" w:eastAsia="Times New Roman" w:cs="Times New Roman"/>
                <w:color w:val="000000"/>
                <w:sz w:val="24"/>
              </w:rPr>
              <w:t xml:space="preserve"> có 7.1m2 thuộc hành lang giao thông. Mặt khác, khách hàng/Chủ sử dụng đất không cung cấp được bất cứ hồ sơ pháp lý nào liên quan tới thông tin quy hoạch của thửa đất. Theo đề nghị của khách hàng, tổ thẩm định sử dụng để xác định giá trị của thửa đất. Kính </w:t>
            </w:r>
            <w:r>
              <w:rPr>
                <w:rFonts w:ascii="Times New Roman" w:hAnsi="Times New Roman" w:eastAsia="Times New Roman" w:cs="Times New Roman"/>
                <w:color w:val="000000"/>
                <w:sz w:val="24"/>
              </w:rPr>
              <w:t xml:space="preserve">đề nghị các đơn vị sử dụng kết quả lưu ý.</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nhựa</w:t>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đường, phố + 1 mặt ngõ</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20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nằm tại mặt </w:t>
            </w:r>
            <w:r>
              <w:rPr>
                <w:color w:val="000000"/>
              </w:rPr>
              <w:t xml:space="preserve">Đường 87A </w:t>
            </w:r>
            <w: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p>
        </w:tc>
        <w:tc>
          <w:tcPr>
            <w:gridSpan w:val="3"/>
            <w:tcBorders/>
            <w:tcW w:w="6259" w:type="dxa"/>
            <w:vAlign w:val="center"/>
            <w:textDirection w:val="lrTb"/>
            <w:noWrap w:val="false"/>
          </w:tcPr>
          <w:p>
            <w:pPr>
              <w:pBdr/>
              <w:spacing/>
              <w:ind/>
              <w:rPr>
                <w:highlight w:val="none"/>
              </w:rPr>
            </w:pPr>
            <w:r/>
            <w:bookmarkStart w:id="3" w:name="OLE_LINK1"/>
            <w:r>
              <w:rPr>
                <w:color w:val="000000" w:themeColor="text1"/>
              </w:rPr>
            </w:r>
            <w:bookmarkEnd w:id="3"/>
            <w:r>
              <w:t xml:space="preserve">Hướng Nam tiếp giáp với đường giao thông</w:t>
            </w:r>
            <w:r>
              <w:rPr>
                <w:highlight w:val="none"/>
              </w:rPr>
            </w:r>
          </w:p>
          <w:p>
            <w:pPr>
              <w:pBdr/>
              <w:spacing/>
              <w:ind/>
              <w:rPr>
                <w:highlight w:val="none"/>
              </w:rPr>
            </w:pPr>
            <w:r/>
            <w:r>
              <w:t xml:space="preserve">Hướng Bắc tiếp giáp với đường giao thông</w:t>
            </w:r>
            <w:r>
              <w:rPr>
                <w:highlight w:val="none"/>
              </w:rPr>
            </w:r>
            <w:r>
              <w:rPr>
                <w:highlight w:val="none"/>
              </w:rPr>
            </w:r>
          </w:p>
          <w:p>
            <w:pPr>
              <w:pBdr/>
              <w:spacing/>
              <w:ind/>
              <w:rPr>
                <w:color w:val="000000" w:themeColor="text1"/>
              </w:rPr>
            </w:pPr>
            <w:r>
              <w:rPr>
                <w:highlight w:val="none"/>
              </w:rPr>
              <w:t xml:space="preserve">Các hướng còn lại tiếp giáp với các thửa đất khác</w:t>
            </w:r>
            <w:r>
              <w:rPr>
                <w:highlight w:val="none"/>
              </w:rPr>
            </w:r>
            <w:r>
              <w:rPr>
                <w:highlight w:val="none"/>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21.113277777778</w:t>
            </w:r>
            <w:r>
              <w:rPr>
                <w:color w:val="000000"/>
              </w:rPr>
              <w:t xml:space="preserve">, </w:t>
            </w:r>
            <w:r>
              <w:rPr>
                <w:color w:val="000000"/>
              </w:rPr>
              <w:t xml:space="preserve">105.47683333333</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90353"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90353"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94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123.2</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3.6</w:t>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29.19</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Nam</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Tốt</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Đất trống</w:t>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r>
              <w:t xml:space="preserve">Thôn Thanh Vỵ, Xã Thanh Mỹ, Thị xã Sơn Tây, Thành phố Hà Nội </w:t>
            </w:r>
            <w:r/>
            <w:r/>
            <w:r/>
          </w:p>
        </w:tc>
        <w:tc>
          <w:tcPr>
            <w:tcBorders/>
            <w:tcW w:w="1605" w:type="dxa"/>
            <w:vAlign w:val="center"/>
            <w:textDirection w:val="lrTb"/>
            <w:noWrap w:val="false"/>
          </w:tcPr>
          <w:p>
            <w:pPr>
              <w:pBdr/>
              <w:spacing/>
              <w:ind/>
              <w:jc w:val="center"/>
              <w:rPr/>
            </w:pPr>
            <w:r>
              <w:t xml:space="preserve">Thôn Thanh Vỵ, Xã Thanh Mỹ, Thị xã Sơn Tây, Thành phố Hà Nội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Thôn Thanh Vỵ, Xã Thanh Mỹ, Thị xã Sơn Tây, Thành phố Hà Nội </w:t>
            </w:r>
            <w:r>
              <w:rPr>
                <w:b w:val="0"/>
                <w:bCs w:val="0"/>
                <w:i w:val="0"/>
                <w:iCs w:val="0"/>
                <w:color w:val="000000"/>
              </w:rPr>
            </w:r>
            <w:r>
              <w:rPr>
                <w:rFonts w:ascii="Times New Roman" w:hAnsi="Times New Roman" w:eastAsia="Times New Roman" w:cs="Times New Roman"/>
                <w:b w:val="0"/>
                <w:bCs w:val="0"/>
                <w:i/>
                <w:iCs/>
                <w:color w:val="000000"/>
                <w:sz w:val="22"/>
                <w:szCs w:val="22"/>
              </w:rPr>
              <w:t xml:space="preserve">(Nay là Phường Tùng Thiện, Thành Phố Hà Nội)</w:t>
            </w:r>
            <w:r/>
            <w:r/>
            <w:r/>
          </w:p>
        </w:tc>
        <w:tc>
          <w:tcPr>
            <w:tcBorders/>
            <w:tcW w:w="1605" w:type="dxa"/>
            <w:vAlign w:val="center"/>
            <w:textDirection w:val="lrTb"/>
            <w:noWrap w:val="false"/>
          </w:tcPr>
          <w:p>
            <w:pPr>
              <w:pBdr/>
              <w:spacing/>
              <w:ind/>
              <w:jc w:val="center"/>
              <w:rPr/>
            </w:pPr>
            <w:r>
              <w:t xml:space="preserve">Thôn Thanh Vỵ, Xã Thanh Mỹ, Thị xã Sơn Tây, Thành phố Hà Nội </w:t>
            </w:r>
            <w:r>
              <w:rPr>
                <w:b w:val="0"/>
                <w:bCs w:val="0"/>
                <w:i w:val="0"/>
                <w:iCs w:val="0"/>
                <w:color w:val="000000"/>
              </w:rPr>
            </w:r>
            <w:r>
              <w:rPr>
                <w:rFonts w:ascii="Times New Roman" w:hAnsi="Times New Roman" w:eastAsia="Times New Roman" w:cs="Times New Roman"/>
                <w:b w:val="0"/>
                <w:bCs w:val="0"/>
                <w:i/>
                <w:iCs/>
                <w:color w:val="000000"/>
                <w:sz w:val="22"/>
                <w:szCs w:val="22"/>
              </w:rPr>
              <w:t xml:space="preserve">(Nay là Phường Tùng Thiện, Thành Phố Hà Nội)</w:t>
            </w:r>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nông thôn</w:t>
            </w:r>
            <w:r/>
          </w:p>
        </w:tc>
        <w:tc>
          <w:tcPr>
            <w:tcBorders/>
            <w:tcW w:w="1605" w:type="dxa"/>
            <w:vAlign w:val="center"/>
            <w:textDirection w:val="lrTb"/>
            <w:noWrap w:val="false"/>
          </w:tcPr>
          <w:p>
            <w:pPr>
              <w:pBdr/>
              <w:spacing/>
              <w:ind/>
              <w:jc w:val="center"/>
              <w:rPr/>
            </w:pPr>
            <w:r>
              <w:t xml:space="preserve">Đất ở nông thôn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r/>
            <w:r/>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VT1 ✔</w:t>
            </w:r>
            <w:r/>
          </w:p>
        </w:tc>
        <w:tc>
          <w:tcPr>
            <w:tcBorders/>
            <w:tcW w:w="1605" w:type="dxa"/>
            <w:vAlign w:val="center"/>
            <w:textDirection w:val="lrTb"/>
            <w:noWrap w:val="false"/>
          </w:tcPr>
          <w:p>
            <w:pPr>
              <w:pBdr/>
              <w:spacing/>
              <w:ind/>
              <w:jc w:val="center"/>
              <w:rPr/>
            </w:pPr>
            <w:r>
              <w:t xml:space="preserve">VT1 ✔</w:t>
            </w:r>
            <w:r/>
            <w:r/>
            <w:r/>
            <w:r/>
            <w:r/>
          </w:p>
        </w:tc>
        <w:tc>
          <w:tcPr>
            <w:tcBorders/>
            <w:tcW w:w="1371" w:type="dxa"/>
            <w:vAlign w:val="center"/>
            <w:textDirection w:val="lrTb"/>
            <w:noWrap w:val="false"/>
          </w:tcPr>
          <w:p>
            <w:pPr>
              <w:pBdr/>
              <w:spacing/>
              <w:ind/>
              <w:jc w:val="center"/>
              <w:rPr/>
            </w:pPr>
            <w:r>
              <w:t xml:space="preserve">Không</w:t>
            </w:r>
            <w:r/>
            <w:r/>
            <w:r/>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20</w:t>
            </w:r>
            <w:r/>
          </w:p>
        </w:tc>
        <w:tc>
          <w:tcPr>
            <w:tcBorders/>
            <w:tcW w:w="1605" w:type="dxa"/>
            <w:vAlign w:val="center"/>
            <w:textDirection w:val="lrTb"/>
            <w:noWrap w:val="false"/>
          </w:tcPr>
          <w:p>
            <w:pPr>
              <w:pBdr/>
              <w:spacing/>
              <w:ind/>
              <w:jc w:val="center"/>
              <w:rPr/>
            </w:pPr>
            <w:r>
              <w:t xml:space="preserve">20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123.2</w:t>
            </w:r>
            <w:r/>
          </w:p>
        </w:tc>
        <w:tc>
          <w:tcPr>
            <w:tcBorders/>
            <w:tcW w:w="1605" w:type="dxa"/>
            <w:vAlign w:val="center"/>
            <w:textDirection w:val="lrTb"/>
            <w:noWrap w:val="false"/>
          </w:tcPr>
          <w:p>
            <w:pPr>
              <w:pBdr/>
              <w:spacing/>
              <w:ind/>
              <w:jc w:val="center"/>
              <w:rPr/>
            </w:pPr>
            <w:r>
              <w:t xml:space="preserve">123.2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3.6</w:t>
            </w:r>
            <w:r/>
          </w:p>
        </w:tc>
        <w:tc>
          <w:tcPr>
            <w:tcBorders/>
            <w:tcW w:w="1605" w:type="dxa"/>
            <w:vAlign w:val="center"/>
            <w:textDirection w:val="lrTb"/>
            <w:noWrap w:val="false"/>
          </w:tcPr>
          <w:p>
            <w:pPr>
              <w:pBdr/>
              <w:spacing/>
              <w:ind/>
              <w:jc w:val="center"/>
              <w:rPr/>
            </w:pPr>
            <w:r>
              <w:t xml:space="preserve">3.6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29.19 </w:t>
            </w:r>
            <w:r/>
          </w:p>
        </w:tc>
        <w:tc>
          <w:tcPr>
            <w:tcBorders/>
            <w:tcW w:w="1605" w:type="dxa"/>
            <w:vAlign w:val="center"/>
            <w:textDirection w:val="lrTb"/>
            <w:noWrap w:val="false"/>
          </w:tcPr>
          <w:p>
            <w:pPr>
              <w:pBdr/>
              <w:spacing/>
              <w:ind/>
              <w:jc w:val="center"/>
              <w:rPr/>
            </w:pPr>
            <w:r>
              <w:t xml:space="preserve">29.19</w:t>
            </w:r>
            <w:r>
              <w:t xml:space="preserve">✔</w:t>
            </w:r>
            <w:r/>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2 mặt đường, phố + 1 mặt ngõ</w:t>
            </w:r>
            <w:r/>
          </w:p>
        </w:tc>
        <w:tc>
          <w:tcPr>
            <w:tcBorders/>
            <w:tcW w:w="1605" w:type="dxa"/>
            <w:vAlign w:val="center"/>
            <w:textDirection w:val="lrTb"/>
            <w:noWrap w:val="false"/>
          </w:tcPr>
          <w:p>
            <w:pPr>
              <w:pBdr/>
              <w:spacing/>
              <w:ind/>
              <w:jc w:val="center"/>
              <w:rPr/>
            </w:pPr>
            <w:r>
              <w:t xml:space="preserve">Tiếp giáp 2 mặt đường, phố + 1 mặt ngõ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Nam</w:t>
            </w:r>
            <w:r/>
          </w:p>
        </w:tc>
        <w:tc>
          <w:tcPr>
            <w:tcBorders/>
            <w:tcW w:w="1605" w:type="dxa"/>
            <w:vAlign w:val="center"/>
            <w:textDirection w:val="lrTb"/>
            <w:noWrap w:val="false"/>
          </w:tcPr>
          <w:p>
            <w:pPr>
              <w:pBdr/>
              <w:spacing/>
              <w:ind/>
              <w:jc w:val="center"/>
              <w:rPr/>
            </w:pPr>
            <w:r>
              <w:t xml:space="preserve">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t xml:space="preserve">View khu dân cư</w:t>
            </w:r>
            <w: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r>
              <w:t xml:space="preserve">Không</w:t>
            </w:r>
            <w:r/>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Tốt</w:t>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Thôn Thanh Vỵ, Xã Thanh Mỹ, Thị xã Sơn Tây, Thành phố Hà Nội </w:t>
            </w:r>
            <w:r>
              <w:rPr>
                <w:rFonts w:ascii="Times New Roman" w:hAnsi="Times New Roman" w:eastAsia="Times New Roman" w:cs="Times New Roman"/>
                <w:b w:val="0"/>
                <w:bCs w:val="0"/>
                <w:i/>
                <w:iCs/>
                <w:color w:val="000000"/>
                <w:sz w:val="22"/>
                <w:szCs w:val="22"/>
              </w:rPr>
              <w:t xml:space="preserve">(Nay là Phường Tùng Thiện, Thành Phố Hà Nội</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 </w:t>
            </w:r>
            <w:r>
              <w:rPr>
                <w:rFonts w:ascii="Times New Roman" w:hAnsi="Times New Roman" w:eastAsia="Times New Roman" w:cs="Times New Roman"/>
                <w:b w:val="0"/>
                <w:bCs w:val="0"/>
                <w:i/>
                <w:iCs/>
                <w:color w:val="000000"/>
                <w:sz w:val="22"/>
                <w:szCs w:val="22"/>
              </w:rPr>
              <w:t xml:space="preserve">(Nay là Phường Tùng Thiện, Thành Phố Hà Nội</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 </w:t>
            </w:r>
            <w:r>
              <w:rPr>
                <w:rFonts w:ascii="Times New Roman" w:hAnsi="Times New Roman" w:eastAsia="Times New Roman" w:cs="Times New Roman"/>
                <w:b w:val="0"/>
                <w:bCs w:val="0"/>
                <w:i/>
                <w:iCs/>
                <w:color w:val="000000"/>
                <w:sz w:val="22"/>
                <w:szCs w:val="22"/>
              </w:rPr>
              <w:t xml:space="preserve">(Nay là Phường Tùng Thiện, Thành Phố Hà Nội</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Thanh Mỹ, Thị xã Sơn Tây, Thành phố Hà Nội </w:t>
            </w:r>
            <w:r>
              <w:rPr>
                <w:rFonts w:ascii="Times New Roman" w:hAnsi="Times New Roman" w:eastAsia="Times New Roman" w:cs="Times New Roman"/>
                <w:b w:val="0"/>
                <w:bCs w:val="0"/>
                <w:i/>
                <w:iCs/>
                <w:color w:val="000000"/>
                <w:sz w:val="22"/>
                <w:szCs w:val="22"/>
              </w:rPr>
              <w:t xml:space="preserve">(Nay là Phường Tùng Thiện, Thành Phố Hà Nội</w:t>
            </w:r>
            <w:r/>
            <w:r>
              <w:rPr>
                <w:color w:val="000000" w:themeColor="text1"/>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https://www.facebook.com/share/p/1DDDVmvkKV/</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https://www.facebook.com/groups/batdongsansontay/permalink/2433296713765465/</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https://www.facebook.com/groups/batdongsansontay/permalink/2411299065965230/?rdid=enEwuJZidUIMZMYv#</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rPr/>
            </w:pPr>
            <w:r>
              <w:rPr>
                <w:rFonts w:ascii="Times New Roman" w:hAnsi="Times New Roman" w:eastAsia="Times New Roman" w:cs="Times New Roman"/>
                <w:color w:val="000000"/>
                <w:sz w:val="22"/>
              </w:rPr>
              <w:t xml:space="preserve">       (Huyền)</w:t>
            </w:r>
            <w:r/>
          </w:p>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80809"/>
                <w:sz w:val="22"/>
                <w:highlight w:val="white"/>
              </w:rPr>
              <w:t xml:space="preserve">0968994891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00000"/>
                <w:sz w:val="22"/>
              </w:rPr>
              <w:t xml:space="preserve">(trung)</w:t>
            </w:r>
            <w:r/>
          </w:p>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80809"/>
                <w:sz w:val="22"/>
                <w:highlight w:val="white"/>
              </w:rPr>
              <w:t xml:space="preserve">0981511686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00000"/>
                <w:sz w:val="22"/>
              </w:rPr>
              <w:t xml:space="preserve">(Huyền)</w:t>
            </w:r>
            <w:r/>
          </w:p>
          <w:p>
            <w:pPr>
              <w:pBdr>
                <w:top w:val="none" w:color="000000" w:sz="4" w:space="0"/>
                <w:left w:val="none" w:color="000000" w:sz="4" w:space="0"/>
                <w:bottom w:val="none" w:color="000000" w:sz="4" w:space="0"/>
                <w:right w:val="none" w:color="000000" w:sz="4" w:space="0"/>
              </w:pBdr>
              <w:spacing w:after="0" w:before="0"/>
              <w:ind w:right="0" w:firstLine="0" w:left="0"/>
              <w:jc w:val="center"/>
              <w:rPr/>
            </w:pPr>
            <w:r>
              <w:rPr>
                <w:rFonts w:ascii="Times New Roman" w:hAnsi="Times New Roman" w:eastAsia="Times New Roman" w:cs="Times New Roman"/>
                <w:color w:val="080809"/>
                <w:sz w:val="22"/>
                <w:highlight w:val="white"/>
              </w:rPr>
              <w:t xml:space="preserve">0968994891 </w:t>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03/2026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03/2026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03/2026</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Thôn Thanh Vị, Xã Thanh Mỹ, Thị xã Sơn Tây, Thành phố Hà Nội, đường Đường 87A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116.1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139.9</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18.53</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phố + 1 mặt ngõ</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7.834.000.000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7.050.600.000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7.834.000.000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7.050.600.000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4.590.000.000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7.050.600.000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44.800.000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5.600.000.000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4.590.000.000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7.050.600.000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44.800.000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nông thôn – 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tại: Thôn Thanh Vị, Xã Thanh Mỹ, Thị xã Sơn Tây, Thành phố Hà Nội, đường Đường 87A </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17.5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44.800.000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57.375.000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116.1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139.9</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-1.721.250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44.800.000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55.653.750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50.397.427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7.55</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-1.792.000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-1.147.500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-2.519.871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43.008.000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54.506.250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47.877.556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27.4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18.53</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-896.000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-1.721.250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-2.519.871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42.112.000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52.785.000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45.357.685</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phố + 1 mặt ngõ</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5.376.000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6.885.000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6.047.691</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47.488.000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59.670.000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51.405.376</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47.488.000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59.670.000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51.405.376</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47.488.000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59.670.000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51.405.376</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52.854.459</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12.89%</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-2.74%</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8.064.000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11.475.000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11.087.433</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2.688.000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2.295.000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1.007.949</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-10.15</w:t>
      </w:r>
      <w:r>
        <w:t xml:space="preserve">% đến</w:t>
      </w:r>
      <w:r>
        <w:t xml:space="preserve"> </w:t>
      </w:r>
      <w:r>
        <w:t xml:space="preserve"> </w:t>
      </w:r>
      <w:r>
        <w:t xml:space="preserve">12.89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47.488.000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15.832.499</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59.670.000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19.888.011</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51.405.376</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17.133.412</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52.853.922</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52.900.000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52.900.000</w:t>
      </w:r>
      <w:r>
        <w:rPr>
          <w:b/>
          <w:bCs/>
          <w:color w:val="000000" w:themeColor="text1"/>
        </w:rPr>
        <w:t xml:space="preserve"> </w:t>
      </w:r>
      <w:r>
        <w:rPr>
          <w:b/>
          <w:bCs/>
        </w:rPr>
        <w:t xml:space="preserve">đồng/m².</w:t>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Xác định đơn giá quyền sử dụng đất ở nằm trong hành lang giao thông</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Tổ thẩm định xác định đơn giá quyền sử dụng đất nằm trong hành lang giao thông theo khung giá UBND.</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color w:val="000000"/>
          <w:sz w:val="24"/>
        </w:rPr>
        <w:t xml:space="preserve">Theo Quyết định số: 52/2025/NQ-HĐND ngày 26/11/2025 của Hội Đồng nhân dân thành phố Hà về việc Quy định về Bảng giá đất lần đầu để công bố và áp dụng trên địa bàn Thành phố Hà Nội áp dụng từ ngày 01/01/2026 trên địa bàn Thành phố Hà Nội đơn giá đất ở (nằm </w:t>
      </w:r>
      <w:r>
        <w:rPr>
          <w:rFonts w:ascii="Times New Roman" w:hAnsi="Times New Roman" w:eastAsia="Times New Roman" w:cs="Times New Roman"/>
          <w:color w:val="000000"/>
          <w:sz w:val="24"/>
        </w:rPr>
        <w:t xml:space="preserve">trong hành lang giao thông) tại Tỉnh lộ 414 (87A cũ): Đoạn từ Học Viện Ngân hàng đến Ngã ba Vị Thủy tại VT1 là 20.987.000 đồng/m².</w:t>
      </w:r>
      <w:r>
        <w:rPr>
          <w:b/>
          <w:bCs/>
        </w:rPr>
      </w:r>
      <w:r>
        <w:rPr>
          <w:rFonts w:ascii="Times New Roman" w:hAnsi="Times New Roman" w:eastAsia="Times New Roman" w:cs="Times New Roman"/>
          <w:sz w:val="24"/>
        </w:rPr>
      </w:r>
    </w:p>
    <w:p>
      <w:pPr>
        <w:pStyle w:val="856"/>
        <w:pBdr/>
        <w:spacing w:after="120" w:before="120" w:line="276" w:lineRule="auto"/>
        <w:ind w:left="357"/>
        <w:jc w:val="both"/>
        <w:rPr>
          <w:b/>
          <w:lang w:val="pt-BR"/>
        </w:rPr>
      </w:pPr>
      <w:r>
        <w:rPr>
          <w:b/>
          <w:lang w:val="pt-BR"/>
        </w:rPr>
      </w:r>
      <w:r>
        <w:rPr>
          <w:b/>
          <w:lang w:val="pt-BR"/>
        </w:rPr>
      </w:r>
    </w:p>
    <w:p>
      <w:pPr>
        <w:pBdr/>
        <w:spacing w:after="120" w:before="120" w:line="276" w:lineRule="auto"/>
        <w:ind w:firstLine="0" w:left="0"/>
        <w:jc w:val="both"/>
        <w:rPr>
          <w:b/>
          <w:lang w:val="pt-BR"/>
        </w:rPr>
      </w:pPr>
      <w:r>
        <w:rPr>
          <w:b/>
          <w:lang w:val="pt-BR"/>
        </w:rPr>
        <w:t xml:space="preserve">3. 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r/>
      <w:r/>
      <w:r/>
    </w:p>
    <w:tbl>
      <w:tblPr>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952"/>
        <w:gridCol w:w="3044"/>
        <w:gridCol w:w="1701"/>
        <w:gridCol w:w="1664"/>
        <w:gridCol w:w="2164"/>
      </w:tblGrid>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sz w:val="22"/>
                <w:szCs w:val="22"/>
              </w:rPr>
            </w:pPr>
            <w:r>
              <w:rPr>
                <w:b/>
                <w:bCs/>
                <w:sz w:val="22"/>
                <w:szCs w:val="22"/>
              </w:rPr>
              <w:t xml:space="preserve">TT</w:t>
            </w:r>
            <w:r>
              <w:rPr>
                <w:b/>
                <w:bCs/>
                <w:sz w:val="22"/>
                <w:szCs w:val="22"/>
              </w:rPr>
            </w:r>
            <w:r>
              <w:rPr>
                <w:b/>
                <w:bCs/>
                <w:sz w:val="22"/>
                <w:szCs w:val="22"/>
              </w:rPr>
            </w:r>
          </w:p>
        </w:tc>
        <w:tc>
          <w:tcPr>
            <w:shd w:val="clear" w:color="000000" w:fill="ffffff"/>
            <w:tcBorders/>
            <w:tcW w:w="3044" w:type="dxa"/>
            <w:vAlign w:val="center"/>
            <w:textDirection w:val="lrTb"/>
            <w:noWrap w:val="false"/>
          </w:tcPr>
          <w:p>
            <w:pPr>
              <w:pBdr/>
              <w:spacing w:after="40" w:before="40" w:line="288" w:lineRule="auto"/>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40" w:before="40" w:line="288" w:lineRule="auto"/>
              <w:ind/>
              <w:jc w:val="center"/>
              <w:rPr>
                <w:b/>
                <w:bCs/>
                <w:sz w:val="22"/>
                <w:szCs w:val="22"/>
              </w:rPr>
            </w:pPr>
            <w:r>
              <w:rPr>
                <w:b/>
                <w:bCs/>
                <w:sz w:val="22"/>
                <w:szCs w:val="22"/>
              </w:rPr>
              <w:t xml:space="preserve">Diện tích (m²)</w:t>
            </w:r>
            <w:r>
              <w:rPr>
                <w:b/>
                <w:bCs/>
                <w:sz w:val="22"/>
                <w:szCs w:val="22"/>
              </w:rPr>
            </w:r>
            <w:r>
              <w:rPr>
                <w:b/>
                <w:bCs/>
                <w:sz w:val="22"/>
                <w:szCs w:val="22"/>
              </w:rPr>
            </w:r>
          </w:p>
        </w:tc>
        <w:tc>
          <w:tcPr>
            <w:shd w:val="clear" w:color="000000" w:fill="ffffff"/>
            <w:tcBorders/>
            <w:tcW w:w="1664" w:type="dxa"/>
            <w:vAlign w:val="center"/>
            <w:textDirection w:val="lrTb"/>
            <w:noWrap w:val="false"/>
          </w:tcPr>
          <w:p>
            <w:pPr>
              <w:pBdr/>
              <w:spacing w:after="40" w:before="40" w:line="288" w:lineRule="auto"/>
              <w:ind/>
              <w:jc w:val="center"/>
              <w:rPr>
                <w:b/>
                <w:bCs/>
                <w:sz w:val="22"/>
                <w:szCs w:val="22"/>
              </w:rPr>
            </w:pPr>
            <w:r>
              <w:rPr>
                <w:b/>
                <w:bCs/>
                <w:sz w:val="22"/>
                <w:szCs w:val="22"/>
              </w:rPr>
              <w:t xml:space="preserve">Đơn giá (đồng/m²)</w:t>
            </w:r>
            <w:r>
              <w:rPr>
                <w:b/>
                <w:bCs/>
                <w:sz w:val="22"/>
                <w:szCs w:val="22"/>
              </w:rPr>
            </w:r>
            <w:r>
              <w:rPr>
                <w:b/>
                <w:bCs/>
                <w:sz w:val="22"/>
                <w:szCs w:val="22"/>
              </w:rPr>
            </w:r>
          </w:p>
        </w:tc>
        <w:tc>
          <w:tcPr>
            <w:shd w:val="clear" w:color="000000" w:fill="ffffff"/>
            <w:tcBorders/>
            <w:tcW w:w="2164" w:type="dxa"/>
            <w:vAlign w:val="center"/>
            <w:textDirection w:val="lrTb"/>
            <w:noWrap w:val="false"/>
          </w:tcPr>
          <w:p>
            <w:pPr>
              <w:pBdr/>
              <w:spacing w:after="40" w:before="40" w:line="288" w:lineRule="auto"/>
              <w:ind/>
              <w:jc w:val="center"/>
              <w:rPr>
                <w:b/>
                <w:bCs/>
                <w:sz w:val="22"/>
                <w:szCs w:val="22"/>
              </w:rPr>
            </w:pPr>
            <w:r>
              <w:rPr>
                <w:b/>
                <w:bCs/>
                <w:sz w:val="22"/>
                <w:szCs w:val="22"/>
              </w:rPr>
              <w:t xml:space="preserve">Thành tiền (đồng)</w:t>
            </w:r>
            <w:r>
              <w:rPr>
                <w:b/>
                <w:bCs/>
                <w:sz w:val="22"/>
                <w:szCs w:val="22"/>
              </w:rPr>
            </w:r>
            <w:r>
              <w:rPr>
                <w:b/>
                <w:bCs/>
                <w:sz w:val="22"/>
                <w:szCs w:val="22"/>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b/>
                <w:bCs/>
                <w:sz w:val="22"/>
                <w:szCs w:val="22"/>
              </w:rPr>
            </w:pPr>
            <w:r>
              <w:rPr>
                <w:b/>
                <w:bCs/>
                <w:sz w:val="22"/>
                <w:szCs w:val="22"/>
              </w:rPr>
              <w:t xml:space="preserve"> </w:t>
            </w:r>
            <w:r>
              <w:rPr>
                <w:b/>
                <w:bCs/>
                <w:sz w:val="22"/>
                <w:szCs w:val="22"/>
              </w:rPr>
            </w:r>
            <w:r>
              <w:rPr>
                <w:b/>
                <w:bCs/>
                <w:sz w:val="22"/>
                <w:szCs w:val="22"/>
              </w:rPr>
            </w:r>
          </w:p>
        </w:tc>
        <w:tc>
          <w:tcPr>
            <w:gridSpan w:val="3"/>
            <w:shd w:val="clear" w:color="000000" w:fill="ffffff"/>
            <w:tcBorders/>
            <w:tcW w:w="6408" w:type="dxa"/>
            <w:vAlign w:val="center"/>
            <w:textDirection w:val="lrTb"/>
            <w:noWrap w:val="false"/>
          </w:tcPr>
          <w:p>
            <w:pPr>
              <w:pBdr/>
              <w:spacing w:after="40" w:before="40" w:line="288" w:lineRule="auto"/>
              <w:ind/>
              <w:jc w:val="both"/>
              <w:rPr>
                <w:b/>
                <w:bCs/>
                <w:sz w:val="22"/>
                <w:szCs w:val="22"/>
              </w:rPr>
            </w:pPr>
            <w:r>
              <w:rPr>
                <w:color w:val="000000"/>
                <w:sz w:val="22"/>
                <w:szCs w:val="22"/>
              </w:rPr>
            </w:r>
            <w:r>
              <w:rPr>
                <w:rFonts w:ascii="Times New Roman" w:hAnsi="Times New Roman" w:eastAsia="Times New Roman" w:cs="Times New Roman"/>
                <w:color w:val="000000"/>
                <w:sz w:val="22"/>
                <w:szCs w:val="22"/>
              </w:rPr>
              <w:t xml:space="preserve">Q</w:t>
            </w:r>
            <w:r>
              <w:rPr>
                <w:rFonts w:ascii="Times New Roman" w:hAnsi="Times New Roman" w:eastAsia="Times New Roman" w:cs="Times New Roman"/>
                <w:color w:val="000000"/>
                <w:sz w:val="22"/>
                <w:szCs w:val="22"/>
              </w:rPr>
              <w:t xml:space="preserve">uyền sử dụng đất tại thửa đất số: 127(1), tờ bản đồ 32 có địa chỉ: Thôn Thanh Vị, Xã Thanh Mỹ, Thị Xã Sơn Tây, Thành phố Hà Nội</w:t>
            </w:r>
            <w:r>
              <w:rPr>
                <w:rFonts w:ascii="Times New Roman" w:hAnsi="Times New Roman" w:eastAsia="Times New Roman" w:cs="Times New Roman"/>
                <w:i/>
                <w:iCs/>
                <w:color w:val="000000"/>
                <w:sz w:val="22"/>
                <w:szCs w:val="22"/>
              </w:rPr>
              <w:t xml:space="preserve"> (Nay là Phường Tùng Thiện, Thành Phố Hà Nội)</w:t>
            </w:r>
            <w:r>
              <w:rPr>
                <w:rFonts w:ascii="Times New Roman" w:hAnsi="Times New Roman" w:eastAsia="Times New Roman" w:cs="Times New Roman"/>
                <w:color w:val="000000"/>
                <w:sz w:val="22"/>
                <w:szCs w:val="22"/>
              </w:rPr>
              <w:t xml:space="preserve"> theo Giấy chứng nhận quyền sử dụng đất, quyền sở hữu nhà ở và tài sản khác gắn liền</w:t>
            </w:r>
            <w:r>
              <w:rPr>
                <w:rFonts w:ascii="Times New Roman" w:hAnsi="Times New Roman" w:eastAsia="Times New Roman" w:cs="Times New Roman"/>
                <w:color w:val="000000"/>
                <w:sz w:val="22"/>
                <w:szCs w:val="22"/>
              </w:rPr>
              <w:t xml:space="preserve"> với đất số: </w:t>
            </w:r>
            <w:r>
              <w:rPr>
                <w:color w:val="000000"/>
                <w:sz w:val="22"/>
                <w:szCs w:val="22"/>
              </w:rPr>
              <w:t xml:space="preserve"> BĐ 721604</w:t>
            </w:r>
            <w:r>
              <w:rPr>
                <w:rFonts w:ascii="Times New Roman" w:hAnsi="Times New Roman" w:eastAsia="Times New Roman" w:cs="Times New Roman"/>
                <w:color w:val="000000"/>
                <w:sz w:val="22"/>
                <w:szCs w:val="22"/>
              </w:rPr>
              <w:t xml:space="preserve">, số vào sổ cấp GCN </w:t>
            </w:r>
            <w:r>
              <w:rPr>
                <w:color w:val="000000"/>
                <w:sz w:val="22"/>
                <w:szCs w:val="22"/>
              </w:rPr>
              <w:t xml:space="preserve">CH 00169</w:t>
            </w:r>
            <w:r>
              <w:rPr>
                <w:rFonts w:ascii="Times New Roman" w:hAnsi="Times New Roman" w:eastAsia="Times New Roman" w:cs="Times New Roman"/>
                <w:color w:val="000000"/>
                <w:sz w:val="22"/>
                <w:szCs w:val="22"/>
              </w:rPr>
              <w:t xml:space="preserve"> do </w:t>
            </w:r>
            <w:r>
              <w:rPr>
                <w:color w:val="000000"/>
                <w:sz w:val="22"/>
                <w:szCs w:val="22"/>
              </w:rPr>
              <w:t xml:space="preserve">Ủy Ban Nhân Dân Thị Xã Sơn Tây</w:t>
            </w:r>
            <w:r>
              <w:rPr>
                <w:rFonts w:ascii="Times New Roman" w:hAnsi="Times New Roman" w:eastAsia="Times New Roman" w:cs="Times New Roman"/>
                <w:color w:val="000000"/>
                <w:sz w:val="22"/>
                <w:szCs w:val="22"/>
              </w:rPr>
              <w:t xml:space="preserve"> cấp ngày 24/7/2012; Chủ sử dụng đất là Bà Nguyễn Thị Mạch.</w:t>
            </w:r>
            <w:r>
              <w:rPr>
                <w:b/>
                <w:bCs/>
                <w:sz w:val="22"/>
                <w:szCs w:val="22"/>
              </w:rPr>
            </w:r>
            <w:r>
              <w:rPr>
                <w:b/>
                <w:bCs/>
                <w:sz w:val="22"/>
                <w:szCs w:val="22"/>
              </w:rPr>
            </w:r>
          </w:p>
        </w:tc>
        <w:tc>
          <w:tcPr>
            <w:shd w:val="clear" w:color="000000" w:fill="ffffff"/>
            <w:tcBorders/>
            <w:tcW w:w="2164" w:type="dxa"/>
            <w:vAlign w:val="center"/>
            <w:textDirection w:val="lrTb"/>
            <w:noWrap w:val="false"/>
          </w:tcPr>
          <w:p>
            <w:pPr>
              <w:pBdr/>
              <w:spacing w:after="40" w:before="40" w:line="288" w:lineRule="auto"/>
              <w:ind/>
              <w:jc w:val="right"/>
              <w:rPr>
                <w:b/>
                <w:bCs/>
                <w:sz w:val="22"/>
                <w:szCs w:val="22"/>
              </w:rPr>
            </w:pPr>
            <w:r>
              <w:rPr>
                <w:b/>
                <w:bCs/>
                <w:sz w:val="22"/>
                <w:szCs w:val="22"/>
              </w:rPr>
              <w:t xml:space="preserve"> </w:t>
            </w:r>
            <w:r>
              <w:rPr>
                <w:b/>
                <w:bCs/>
                <w:sz w:val="22"/>
                <w:szCs w:val="22"/>
              </w:rPr>
            </w:r>
            <w:r>
              <w:rPr>
                <w:b/>
                <w:bCs/>
                <w:sz w:val="22"/>
                <w:szCs w:val="22"/>
              </w:rPr>
            </w:r>
          </w:p>
        </w:tc>
      </w:tr>
      <w:tr>
        <w:trPr>
          <w:trHeight w:val="20"/>
        </w:trPr>
        <w:tc>
          <w:tcPr>
            <w:shd w:val="clear" w:color="000000" w:fill="ffffff"/>
            <w:tcBorders/>
            <w:tcW w:w="952" w:type="dxa"/>
            <w:vAlign w:val="center"/>
            <w:textDirection w:val="lrTb"/>
            <w:noWrap w:val="false"/>
          </w:tcPr>
          <w:p>
            <w:pPr>
              <w:pBdr/>
              <w:spacing w:after="40" w:before="40" w:line="288" w:lineRule="auto"/>
              <w:ind/>
              <w:jc w:val="center"/>
              <w:rPr>
                <w:sz w:val="22"/>
                <w:szCs w:val="22"/>
              </w:rPr>
            </w:pPr>
            <w:r>
              <w:rPr>
                <w:b/>
                <w:bCs/>
                <w:sz w:val="22"/>
                <w:szCs w:val="22"/>
              </w:rPr>
              <w:t xml:space="preserve">1</w:t>
            </w:r>
            <w:r>
              <w:rPr>
                <w:sz w:val="22"/>
                <w:szCs w:val="22"/>
              </w:rPr>
            </w:r>
            <w:r>
              <w:rPr>
                <w:sz w:val="22"/>
                <w:szCs w:val="22"/>
              </w:rPr>
            </w:r>
          </w:p>
        </w:tc>
        <w:tc>
          <w:tcPr>
            <w:shd w:val="clear" w:color="000000" w:fill="ffffff"/>
            <w:tcBorders/>
            <w:tcW w:w="3044" w:type="dxa"/>
            <w:vAlign w:val="center"/>
            <w:textDirection w:val="lrTb"/>
            <w:noWrap w:val="false"/>
          </w:tcPr>
          <w:p>
            <w:pPr>
              <w:pBdr/>
              <w:spacing w:after="40" w:before="40" w:line="288" w:lineRule="auto"/>
              <w:ind/>
              <w:rPr>
                <w:sz w:val="22"/>
                <w:szCs w:val="22"/>
              </w:rPr>
            </w:pPr>
            <w:r>
              <w:rPr>
                <w:b/>
                <w:bCs/>
                <w:sz w:val="22"/>
                <w:szCs w:val="22"/>
              </w:rPr>
              <w:t xml:space="preserve">Đất ở nông thôn</w:t>
            </w:r>
            <w:r>
              <w:rPr>
                <w:sz w:val="22"/>
                <w:szCs w:val="22"/>
              </w:rPr>
            </w:r>
            <w:r>
              <w:rPr>
                <w:sz w:val="22"/>
                <w:szCs w:val="22"/>
              </w:rPr>
            </w:r>
          </w:p>
        </w:tc>
        <w:tc>
          <w:tcPr>
            <w:tcBorders/>
            <w:tcW w:w="1701" w:type="dxa"/>
            <w:vAlign w:val="center"/>
            <w:textDirection w:val="lrTb"/>
            <w:noWrap/>
          </w:tcPr>
          <w:p>
            <w:pPr>
              <w:pBdr/>
              <w:spacing w:after="40" w:before="40" w:line="288" w:lineRule="auto"/>
              <w:ind/>
              <w:jc w:val="center"/>
              <w:rPr>
                <w:color w:val="000000"/>
                <w:sz w:val="22"/>
                <w:szCs w:val="22"/>
              </w:rPr>
            </w:pPr>
            <w:r>
              <w:rPr>
                <w:color w:val="000000" w:themeColor="text1"/>
                <w:sz w:val="22"/>
                <w:szCs w:val="22"/>
              </w:rPr>
              <w:t xml:space="preserve">116.1</w:t>
            </w:r>
            <w:r>
              <w:rPr>
                <w:color w:val="000000"/>
                <w:sz w:val="22"/>
                <w:szCs w:val="22"/>
              </w:rPr>
            </w:r>
            <w:r>
              <w:rPr>
                <w:color w:val="000000"/>
                <w:sz w:val="22"/>
                <w:szCs w:val="22"/>
              </w:rPr>
            </w:r>
          </w:p>
        </w:tc>
        <w:tc>
          <w:tcPr>
            <w:shd w:val="clear" w:color="000000" w:fill="ffffff"/>
            <w:tcBorders/>
            <w:tcW w:w="1664" w:type="dxa"/>
            <w:vAlign w:val="center"/>
            <w:textDirection w:val="lrTb"/>
            <w:noWrap w:val="false"/>
          </w:tcPr>
          <w:p>
            <w:pPr>
              <w:pBdr/>
              <w:spacing w:after="40" w:before="40" w:line="288" w:lineRule="auto"/>
              <w:ind/>
              <w:jc w:val="center"/>
              <w:rPr>
                <w:sz w:val="22"/>
                <w:szCs w:val="22"/>
              </w:rPr>
            </w:pPr>
            <w:r>
              <w:rPr>
                <w:color w:val="000000" w:themeColor="text1"/>
                <w:sz w:val="22"/>
                <w:szCs w:val="22"/>
              </w:rPr>
              <w:t xml:space="preserve">52.900.000</w:t>
            </w:r>
            <w:r>
              <w:rPr>
                <w:sz w:val="22"/>
                <w:szCs w:val="22"/>
              </w:rPr>
            </w:r>
            <w:r>
              <w:rPr>
                <w:sz w:val="22"/>
                <w:szCs w:val="22"/>
              </w:rPr>
            </w:r>
          </w:p>
        </w:tc>
        <w:tc>
          <w:tcPr>
            <w:shd w:val="clear" w:color="000000" w:fill="ffffff"/>
            <w:tcBorders/>
            <w:tcW w:w="2164" w:type="dxa"/>
            <w:vAlign w:val="center"/>
            <w:textDirection w:val="lrTb"/>
            <w:noWrap w:val="false"/>
          </w:tcPr>
          <w:p>
            <w:pPr>
              <w:pBdr/>
              <w:spacing w:after="40" w:before="40" w:line="288" w:lineRule="auto"/>
              <w:ind/>
              <w:jc w:val="center"/>
              <w:rPr>
                <w:sz w:val="22"/>
                <w:szCs w:val="22"/>
              </w:rPr>
            </w:pPr>
            <w:r>
              <w:rPr>
                <w:color w:val="000000" w:themeColor="text1"/>
                <w:sz w:val="22"/>
                <w:szCs w:val="22"/>
              </w:rPr>
            </w:r>
            <w:r>
              <w:rPr>
                <w:color w:val="000000" w:themeColor="text1"/>
                <w:sz w:val="22"/>
                <w:szCs w:val="22"/>
              </w:rPr>
              <w:t xml:space="preserve">6.141.690.000</w:t>
            </w:r>
            <w:r>
              <w:rPr>
                <w:sz w:val="22"/>
                <w:szCs w:val="22"/>
              </w:rPr>
            </w:r>
            <w:r>
              <w:rPr>
                <w:sz w:val="22"/>
                <w:szCs w:val="22"/>
              </w:rPr>
            </w:r>
          </w:p>
        </w:tc>
      </w:tr>
      <w:tr>
        <w:trPr>
          <w:trHeight w:val="593"/>
        </w:trPr>
        <w:tc>
          <w:tcPr>
            <w:shd w:val="clear" w:color="000000" w:fill="ffffff"/>
            <w:tcBorders/>
            <w:tcW w:w="952" w:type="dxa"/>
            <w:vAlign w:val="center"/>
            <w:vMerge w:val="restart"/>
            <w:textDirection w:val="lrTb"/>
            <w:noWrap w:val="false"/>
          </w:tcPr>
          <w:p>
            <w:pPr>
              <w:pBdr/>
              <w:spacing w:after="40" w:before="40" w:line="288" w:lineRule="auto"/>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3044" w:type="dxa"/>
            <w:vAlign w:val="center"/>
            <w:vMerge w:val="restart"/>
            <w:textDirection w:val="lrTb"/>
            <w:noWrap w:val="false"/>
          </w:tcPr>
          <w:p>
            <w:pPr>
              <w:pBdr/>
              <w:spacing w:after="40" w:before="40" w:line="288" w:lineRule="auto"/>
              <w:ind/>
              <w:rPr>
                <w:b/>
                <w:bCs/>
                <w:sz w:val="22"/>
                <w:szCs w:val="22"/>
              </w:rPr>
            </w:pPr>
            <w:r>
              <w:rPr>
                <w:b/>
                <w:bCs/>
                <w:sz w:val="22"/>
                <w:szCs w:val="22"/>
              </w:rPr>
              <w:t xml:space="preserve">Đất ở nằm trong hành lang giao thông</w:t>
            </w:r>
            <w:r>
              <w:rPr>
                <w:b/>
                <w:bCs/>
                <w:sz w:val="22"/>
                <w:szCs w:val="22"/>
              </w:rPr>
            </w:r>
            <w:r>
              <w:rPr>
                <w:b/>
                <w:bCs/>
                <w:sz w:val="22"/>
                <w:szCs w:val="22"/>
              </w:rPr>
            </w:r>
          </w:p>
        </w:tc>
        <w:tc>
          <w:tcPr>
            <w:tcBorders/>
            <w:tcW w:w="1701" w:type="dxa"/>
            <w:vAlign w:val="center"/>
            <w:vMerge w:val="restart"/>
            <w:textDirection w:val="lrTb"/>
            <w:noWrap/>
          </w:tcPr>
          <w:p>
            <w:pPr>
              <w:pBdr/>
              <w:spacing w:after="40" w:before="40" w:line="288" w:lineRule="auto"/>
              <w:ind/>
              <w:jc w:val="center"/>
              <w:rPr>
                <w:color w:val="000000" w:themeColor="text1"/>
                <w:sz w:val="22"/>
                <w:szCs w:val="22"/>
              </w:rPr>
            </w:pPr>
            <w:r>
              <w:rPr>
                <w:color w:val="000000" w:themeColor="text1"/>
                <w:sz w:val="22"/>
                <w:szCs w:val="22"/>
              </w:rPr>
              <w:t xml:space="preserve">7.1</w:t>
            </w:r>
            <w:r>
              <w:rPr>
                <w:color w:val="000000" w:themeColor="text1"/>
                <w:sz w:val="22"/>
                <w:szCs w:val="22"/>
              </w:rPr>
            </w:r>
            <w:r>
              <w:rPr>
                <w:color w:val="000000" w:themeColor="text1"/>
                <w:sz w:val="22"/>
                <w:szCs w:val="22"/>
              </w:rPr>
            </w:r>
          </w:p>
        </w:tc>
        <w:tc>
          <w:tcPr>
            <w:shd w:val="clear" w:color="000000" w:fill="ffffff"/>
            <w:tcBorders/>
            <w:tcW w:w="1664" w:type="dxa"/>
            <w:vAlign w:val="center"/>
            <w:vMerge w:val="restart"/>
            <w:textDirection w:val="lrTb"/>
            <w:noWrap w:val="false"/>
          </w:tcPr>
          <w:p>
            <w:pPr>
              <w:pBdr/>
              <w:spacing w:after="40" w:before="40" w:line="288" w:lineRule="auto"/>
              <w:ind/>
              <w:jc w:val="center"/>
              <w:rPr>
                <w:color w:val="000000" w:themeColor="text1"/>
                <w:sz w:val="22"/>
                <w:szCs w:val="22"/>
              </w:rPr>
            </w:pPr>
            <w:r>
              <w:rPr>
                <w:color w:val="000000" w:themeColor="text1"/>
                <w:sz w:val="22"/>
                <w:szCs w:val="22"/>
              </w:rPr>
            </w:r>
            <w:r>
              <w:rPr>
                <w:color w:val="000000" w:themeColor="text1"/>
                <w:sz w:val="22"/>
                <w:szCs w:val="22"/>
              </w:rPr>
              <w:t xml:space="preserve">20.987.000</w:t>
            </w:r>
            <w:r>
              <w:rPr>
                <w:color w:val="000000" w:themeColor="text1"/>
                <w:sz w:val="22"/>
                <w:szCs w:val="22"/>
              </w:rPr>
            </w:r>
            <w:r>
              <w:rPr>
                <w:color w:val="000000" w:themeColor="text1"/>
                <w:sz w:val="22"/>
                <w:szCs w:val="22"/>
              </w:rPr>
            </w:r>
          </w:p>
        </w:tc>
        <w:tc>
          <w:tcPr>
            <w:shd w:val="clear" w:color="000000" w:fill="ffffff"/>
            <w:tcBorders/>
            <w:tcW w:w="2164" w:type="dxa"/>
            <w:vAlign w:val="center"/>
            <w:vMerge w:val="restart"/>
            <w:textDirection w:val="lrTb"/>
            <w:noWrap w:val="false"/>
          </w:tcPr>
          <w:p>
            <w:pPr>
              <w:pBdr/>
              <w:spacing w:after="40" w:before="40" w:line="288" w:lineRule="auto"/>
              <w:ind/>
              <w:jc w:val="center"/>
              <w:rPr>
                <w:color w:val="000000" w:themeColor="text1"/>
                <w:sz w:val="22"/>
                <w:szCs w:val="22"/>
              </w:rPr>
            </w:pPr>
            <w:r>
              <w:rPr>
                <w:color w:val="000000" w:themeColor="text1"/>
                <w:sz w:val="22"/>
                <w:szCs w:val="22"/>
              </w:rPr>
            </w:r>
            <w:r>
              <w:rPr>
                <w:color w:val="000000" w:themeColor="text1"/>
                <w:sz w:val="22"/>
                <w:szCs w:val="22"/>
              </w:rPr>
              <w:t xml:space="preserve">149.007.700</w:t>
            </w:r>
            <w:r>
              <w:rPr>
                <w:color w:val="000000" w:themeColor="text1"/>
                <w:sz w:val="22"/>
                <w:szCs w:val="22"/>
              </w:rPr>
            </w:r>
            <w:r>
              <w:rPr>
                <w:color w:val="000000" w:themeColor="text1"/>
                <w:sz w:val="22"/>
                <w:szCs w:val="22"/>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TỔNG CỘNG</w:t>
            </w:r>
            <w:r>
              <w:rPr>
                <w:b/>
                <w:bCs/>
                <w:color w:val="000000"/>
                <w:sz w:val="22"/>
                <w:szCs w:val="22"/>
              </w:rPr>
            </w:r>
            <w:r>
              <w:rPr>
                <w:b/>
                <w:bCs/>
                <w:color w:val="000000"/>
                <w:sz w:val="22"/>
                <w:szCs w:val="22"/>
              </w:rPr>
            </w:r>
          </w:p>
        </w:tc>
        <w:tc>
          <w:tcPr>
            <w:tcBorders/>
            <w:tcW w:w="2164" w:type="dxa"/>
            <w:vAlign w:val="center"/>
            <w:textDirection w:val="lrTb"/>
            <w:noWrap/>
          </w:tcPr>
          <w:p>
            <w:pPr>
              <w:pBdr/>
              <w:spacing w:after="40" w:before="40" w:line="288" w:lineRule="auto"/>
              <w:ind/>
              <w:jc w:val="center"/>
              <w:rPr>
                <w:b/>
                <w:bCs/>
                <w:color w:val="000000"/>
                <w:sz w:val="22"/>
                <w:szCs w:val="22"/>
              </w:rPr>
            </w:pPr>
            <w:r>
              <w:rPr>
                <w:sz w:val="22"/>
                <w:szCs w:val="22"/>
              </w:rPr>
            </w:r>
            <w:r>
              <w:rPr>
                <w:sz w:val="22"/>
                <w:szCs w:val="22"/>
              </w:rPr>
              <w:t xml:space="preserve">6.290.697.700</w:t>
            </w:r>
            <w:r>
              <w:rPr>
                <w:b/>
                <w:bCs/>
                <w:color w:val="000000"/>
                <w:sz w:val="22"/>
                <w:szCs w:val="22"/>
              </w:rPr>
            </w:r>
            <w:r>
              <w:rPr>
                <w:b/>
                <w:bCs/>
                <w:color w:val="000000"/>
                <w:sz w:val="22"/>
                <w:szCs w:val="22"/>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t xml:space="preserve">LÀM TRÒN</w:t>
            </w:r>
            <w:r>
              <w:rPr>
                <w:b/>
                <w:bCs/>
                <w:color w:val="000000"/>
                <w:sz w:val="22"/>
                <w:szCs w:val="22"/>
              </w:rPr>
            </w:r>
            <w:r>
              <w:rPr>
                <w:b/>
                <w:bCs/>
                <w:color w:val="000000"/>
                <w:sz w:val="22"/>
                <w:szCs w:val="22"/>
              </w:rPr>
            </w:r>
          </w:p>
        </w:tc>
        <w:tc>
          <w:tcPr>
            <w:tcBorders/>
            <w:tcW w:w="2164" w:type="dxa"/>
            <w:vAlign w:val="center"/>
            <w:textDirection w:val="lrTb"/>
            <w:noWrap/>
          </w:tcPr>
          <w:p>
            <w:pPr>
              <w:pBdr/>
              <w:spacing w:after="40" w:before="40" w:line="288" w:lineRule="auto"/>
              <w:ind/>
              <w:jc w:val="center"/>
              <w:rPr>
                <w:b/>
                <w:bCs/>
                <w:color w:val="000000"/>
                <w:sz w:val="22"/>
                <w:szCs w:val="22"/>
              </w:rPr>
            </w:pPr>
            <w:r>
              <w:rPr>
                <w:b/>
                <w:bCs/>
                <w:color w:val="000000"/>
                <w:sz w:val="22"/>
                <w:szCs w:val="22"/>
              </w:rPr>
            </w:r>
            <w:r>
              <w:rPr>
                <w:b/>
                <w:bCs/>
                <w:color w:val="000000"/>
                <w:sz w:val="22"/>
                <w:szCs w:val="22"/>
              </w:rPr>
              <w:t xml:space="preserve">6.290.000.000</w:t>
            </w:r>
            <w:r>
              <w:rPr>
                <w:b/>
                <w:bCs/>
                <w:color w:val="000000"/>
                <w:sz w:val="22"/>
                <w:szCs w:val="22"/>
              </w:rPr>
            </w:r>
            <w:r>
              <w:rPr>
                <w:b/>
                <w:bCs/>
                <w:color w:val="000000"/>
                <w:sz w:val="22"/>
                <w:szCs w:val="22"/>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sz w:val="22"/>
                <w:szCs w:val="22"/>
              </w:rPr>
            </w:pPr>
            <w:r>
              <w:rPr>
                <w:b/>
                <w:bCs/>
                <w:i/>
                <w:iCs/>
                <w:color w:val="000000"/>
                <w:sz w:val="22"/>
                <w:szCs w:val="22"/>
              </w:rPr>
              <w:t xml:space="preserve">(Bằng chữ: </w:t>
            </w:r>
            <w:r>
              <w:rPr>
                <w:b/>
                <w:bCs/>
                <w:i/>
                <w:iCs/>
                <w:color w:val="000000"/>
                <w:sz w:val="22"/>
                <w:szCs w:val="22"/>
              </w:rPr>
              <w:t xml:space="preserve">Sáu tỷ hai trăm chín mươi triệu</w:t>
            </w:r>
            <w:r>
              <w:rPr>
                <w:b/>
                <w:bCs/>
                <w:i/>
                <w:iCs/>
                <w:color w:val="000000"/>
                <w:sz w:val="22"/>
                <w:szCs w:val="22"/>
              </w:rPr>
              <w:t xml:space="preserve">./.)</w:t>
            </w:r>
            <w:r>
              <w:rPr>
                <w:b/>
                <w:bCs/>
                <w:i/>
                <w:iCs/>
                <w:color w:val="000000"/>
                <w:sz w:val="22"/>
                <w:szCs w:val="22"/>
              </w:rPr>
            </w:r>
            <w:r>
              <w:rPr>
                <w:b/>
                <w:bCs/>
                <w:i/>
                <w:iCs/>
                <w:color w:val="000000"/>
                <w:sz w:val="22"/>
                <w:szCs w:val="22"/>
              </w:rPr>
            </w:r>
          </w:p>
        </w:tc>
      </w:tr>
    </w:tbl>
    <w:p>
      <w:pPr>
        <w:pStyle w:val="856"/>
        <w:pBdr/>
        <w:tabs>
          <w:tab w:val="left" w:leader="none" w:pos="993"/>
        </w:tabs>
        <w:spacing w:after="120" w:before="120" w:line="288" w:lineRule="auto"/>
        <w:ind w:left="0"/>
        <w:jc w:val="both"/>
        <w:rPr>
          <w:b/>
          <w:bCs/>
          <w:highlight w:val="none"/>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sz w:val="22"/>
          <w:szCs w:val="22"/>
        </w:rPr>
      </w:pPr>
      <w:r>
        <w:rPr>
          <w:sz w:val="22"/>
          <w:szCs w:val="22"/>
          <w:lang w:val="pt-BR"/>
        </w:rPr>
        <w:t xml:space="preserve">Sản phẩm tư vấn của Chúng tôi chỉ nhằm mục đích duy nhất đã ghi tại Mục 4 của Chứng thư mà không nhằm bất kỳ mục đích nào khác và mọi hành</w:t>
      </w:r>
      <w:r>
        <w:rPr>
          <w:sz w:val="22"/>
          <w:szCs w:val="22"/>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sz w:val="22"/>
          <w:szCs w:val="22"/>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sz w:val="22"/>
          <w:szCs w:val="22"/>
          <w:lang w:val="pt-BR"/>
        </w:rPr>
      </w:r>
    </w:p>
    <w:p>
      <w:pPr>
        <w:pStyle w:val="856"/>
        <w:numPr>
          <w:ilvl w:val="0"/>
          <w:numId w:val="10"/>
        </w:numPr>
        <w:pBdr/>
        <w:spacing w:after="120" w:before="120" w:line="288" w:lineRule="auto"/>
        <w:ind w:hanging="284" w:left="426"/>
        <w:jc w:val="both"/>
        <w:rPr>
          <w:sz w:val="22"/>
          <w:szCs w:val="22"/>
        </w:rPr>
      </w:pPr>
      <w:r>
        <w:rPr>
          <w:sz w:val="22"/>
          <w:szCs w:val="22"/>
          <w:lang w:val="pt-BR"/>
        </w:rPr>
        <w:t xml:space="preserve">Lotus VFI, Ban Lãnh đạo, toàn thể nhân viên, Thẩm định viên và đại diện pháp luật của Lotus VFI khôn</w:t>
      </w:r>
      <w:r>
        <w:rPr>
          <w:sz w:val="22"/>
          <w:szCs w:val="22"/>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sz w:val="22"/>
          <w:szCs w:val="22"/>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sz w:val="22"/>
          <w:szCs w:val="22"/>
          <w:lang w:val="pt-BR"/>
        </w:rPr>
      </w:r>
    </w:p>
    <w:p>
      <w:pPr>
        <w:pStyle w:val="856"/>
        <w:numPr>
          <w:ilvl w:val="0"/>
          <w:numId w:val="10"/>
        </w:numPr>
        <w:pBdr/>
        <w:spacing w:after="120" w:before="120" w:line="288" w:lineRule="auto"/>
        <w:ind w:hanging="284" w:left="426"/>
        <w:jc w:val="both"/>
        <w:rPr>
          <w:sz w:val="22"/>
          <w:szCs w:val="22"/>
        </w:rPr>
      </w:pPr>
      <w:r>
        <w:rPr>
          <w:sz w:val="22"/>
          <w:szCs w:val="22"/>
          <w:lang w:val="pt-BR"/>
        </w:rPr>
        <w:t xml:space="preserve">Khách hàng hoặc bất kỳ bên nào khác sử dụng báo cáo này và bất kỳ hoạt động nào của bất kỳ bên liên q</w:t>
      </w:r>
      <w:r>
        <w:rPr>
          <w:sz w:val="22"/>
          <w:szCs w:val="22"/>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sz w:val="22"/>
          <w:szCs w:val="22"/>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sz w:val="22"/>
          <w:szCs w:val="22"/>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sz w:val="22"/>
          <w:szCs w:val="22"/>
          <w:lang w:val="pt-BR"/>
        </w:rPr>
      </w:r>
    </w:p>
    <w:p>
      <w:pPr>
        <w:pStyle w:val="856"/>
        <w:pBdr/>
        <w:tabs>
          <w:tab w:val="left" w:leader="none" w:pos="993"/>
        </w:tabs>
        <w:spacing w:after="120" w:before="120" w:line="288" w:lineRule="auto"/>
        <w:ind w:left="0"/>
        <w:jc w:val="both"/>
        <w:rPr>
          <w:rFonts w:ascii="Times New Roman Bold" w:hAnsi="Times New Roman Bold"/>
          <w:b/>
          <w:spacing w:val="-4"/>
          <w:sz w:val="22"/>
          <w:szCs w:val="22"/>
        </w:rPr>
      </w:pPr>
      <w:r>
        <w:rPr>
          <w:rFonts w:ascii="Times New Roman Bold" w:hAnsi="Times New Roman Bold"/>
          <w:b/>
          <w:bCs/>
          <w:spacing w:val="-4"/>
          <w:sz w:val="22"/>
          <w:szCs w:val="22"/>
          <w:lang w:val="pt-BR"/>
        </w:rPr>
        <w:t xml:space="preserve">X</w:t>
      </w:r>
      <w:r>
        <w:rPr>
          <w:rFonts w:ascii="Times New Roman Bold" w:hAnsi="Times New Roman Bold"/>
          <w:b/>
          <w:bCs/>
          <w:spacing w:val="-4"/>
          <w:sz w:val="22"/>
          <w:szCs w:val="22"/>
          <w:lang w:val="pt-BR"/>
        </w:rPr>
        <w:t xml:space="preserve">I</w:t>
      </w:r>
      <w:r>
        <w:rPr>
          <w:rFonts w:ascii="Times New Roman Bold" w:hAnsi="Times New Roman Bold"/>
          <w:b/>
          <w:bCs/>
          <w:spacing w:val="-4"/>
          <w:sz w:val="22"/>
          <w:szCs w:val="22"/>
          <w:lang w:val="pt-BR"/>
        </w:rPr>
        <w:t xml:space="preserve">. NHỮNG ĐIỀU KHOẢN LOẠI TRỪ VÀ HẠN CHẾ CỦA KẾT QUẢ THẨM ĐỊNH GIÁ</w:t>
      </w:r>
      <w:r>
        <w:rPr>
          <w:rFonts w:ascii="Times New Roman Bold" w:hAnsi="Times New Roman Bold"/>
          <w:b/>
          <w:spacing w:val="-4"/>
          <w:sz w:val="22"/>
          <w:szCs w:val="22"/>
          <w:lang w:val="pt-BR"/>
        </w:rPr>
      </w:r>
    </w:p>
    <w:p>
      <w:pPr>
        <w:pStyle w:val="856"/>
        <w:numPr>
          <w:ilvl w:val="0"/>
          <w:numId w:val="5"/>
        </w:numPr>
        <w:pBdr/>
        <w:tabs>
          <w:tab w:val="left" w:leader="none" w:pos="993"/>
        </w:tabs>
        <w:spacing w:after="120" w:before="120" w:line="288" w:lineRule="auto"/>
        <w:ind w:hanging="357" w:left="357"/>
        <w:jc w:val="both"/>
        <w:rPr>
          <w:sz w:val="22"/>
          <w:szCs w:val="22"/>
        </w:rPr>
      </w:pPr>
      <w:r>
        <w:rPr>
          <w:sz w:val="22"/>
          <w:szCs w:val="22"/>
          <w:lang w:val="pt-BR"/>
        </w:rPr>
        <w:t xml:space="preserve">Chứng thư này chỉ được cung cấp theo yêu cầu của khách hàng. Chỉ bản chính và bản sao Chứng thư thẩm định giá do Công ty </w:t>
      </w:r>
      <w:r>
        <w:rPr>
          <w:sz w:val="22"/>
          <w:szCs w:val="22"/>
          <w:lang w:val="pt-BR"/>
        </w:rPr>
        <w:t xml:space="preserve">Cổ phần Thẩm định</w:t>
      </w:r>
      <w:r>
        <w:rPr>
          <w:sz w:val="22"/>
          <w:szCs w:val="22"/>
          <w:lang w:val="pt-BR"/>
        </w:rPr>
        <w:t xml:space="preserve"> và Đầu tư Tài chính Hoa Sen cấp mới có giá trị. Mọi hành vi sử dụng bản sao Chứng thư/Báo cáo kết quả thẩm định giá mà không có xác nhận của Công ty </w:t>
      </w:r>
      <w:r>
        <w:rPr>
          <w:sz w:val="22"/>
          <w:szCs w:val="22"/>
          <w:lang w:val="pt-BR"/>
        </w:rPr>
        <w:t xml:space="preserve">Cổ phần Thẩm định</w:t>
      </w:r>
      <w:r>
        <w:rPr>
          <w:sz w:val="22"/>
          <w:szCs w:val="22"/>
          <w:lang w:val="pt-BR"/>
        </w:rPr>
        <w:t xml:space="preserve"> và Đầu tư Tài chính Hoa Sen đều vi phạm pháp luật và không có giá trị.</w:t>
      </w:r>
      <w:r>
        <w:rPr>
          <w:sz w:val="22"/>
          <w:szCs w:val="22"/>
          <w:lang w:val="pt-BR"/>
        </w:rPr>
      </w:r>
    </w:p>
    <w:p>
      <w:pPr>
        <w:pStyle w:val="856"/>
        <w:numPr>
          <w:ilvl w:val="0"/>
          <w:numId w:val="5"/>
        </w:numPr>
        <w:pBdr/>
        <w:tabs>
          <w:tab w:val="left" w:leader="none" w:pos="993"/>
        </w:tabs>
        <w:spacing w:after="120" w:before="120" w:line="288" w:lineRule="auto"/>
        <w:ind w:hanging="357" w:left="357"/>
        <w:jc w:val="both"/>
        <w:rPr>
          <w:sz w:val="22"/>
          <w:szCs w:val="22"/>
        </w:rPr>
      </w:pPr>
      <w:r>
        <w:rPr>
          <w:sz w:val="22"/>
          <w:szCs w:val="22"/>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sz w:val="22"/>
          <w:szCs w:val="22"/>
          <w:lang w:val="pt-BR"/>
        </w:rPr>
      </w:r>
    </w:p>
    <w:p>
      <w:pPr>
        <w:pStyle w:val="856"/>
        <w:numPr>
          <w:ilvl w:val="0"/>
          <w:numId w:val="5"/>
        </w:numPr>
        <w:pBdr/>
        <w:tabs>
          <w:tab w:val="left" w:leader="none" w:pos="993"/>
        </w:tabs>
        <w:spacing w:after="120" w:before="120" w:line="288" w:lineRule="auto"/>
        <w:ind w:hanging="357" w:left="357"/>
        <w:jc w:val="both"/>
        <w:rPr>
          <w:sz w:val="22"/>
          <w:szCs w:val="22"/>
        </w:rPr>
      </w:pPr>
      <w:r>
        <w:rPr>
          <w:sz w:val="22"/>
          <w:szCs w:val="22"/>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sz w:val="22"/>
          <w:szCs w:val="22"/>
          <w:lang w:val="pt-BR"/>
        </w:rPr>
      </w:r>
    </w:p>
    <w:p>
      <w:pPr>
        <w:pStyle w:val="856"/>
        <w:numPr>
          <w:ilvl w:val="0"/>
          <w:numId w:val="5"/>
        </w:numPr>
        <w:pBdr/>
        <w:tabs>
          <w:tab w:val="left" w:leader="none" w:pos="993"/>
        </w:tabs>
        <w:spacing w:after="120" w:before="120" w:line="288" w:lineRule="auto"/>
        <w:ind/>
        <w:jc w:val="both"/>
        <w:rPr>
          <w:b/>
          <w:sz w:val="22"/>
          <w:szCs w:val="22"/>
        </w:rPr>
      </w:pPr>
      <w:r>
        <w:rPr>
          <w:sz w:val="22"/>
          <w:szCs w:val="22"/>
          <w:lang w:val="pt-BR"/>
        </w:rPr>
        <w:t xml:space="preserve">Các phương pháp tính toán trên cơ sở tài liệu được cung cấp bởi khách hàng và dựa trên các tài liệu khác có liên quan do tổ</w:t>
      </w:r>
      <w:r>
        <w:rPr>
          <w:sz w:val="22"/>
          <w:szCs w:val="22"/>
          <w:lang w:val="vi-VN"/>
        </w:rPr>
        <w:t xml:space="preserve"> </w:t>
      </w:r>
      <w:r>
        <w:rPr>
          <w:sz w:val="22"/>
          <w:szCs w:val="22"/>
          <w:lang w:val="pt-BR"/>
        </w:rPr>
        <w:t xml:space="preserve">thẩm định thu thập, cũng như các điều kiện và kỳ vọng tại thời điểm thẩm định giá phù hợp với các luật định, chính sách quản lý của Nhà nước hiện hành và các điều </w:t>
      </w:r>
      <w:r>
        <w:rPr>
          <w:sz w:val="22"/>
          <w:szCs w:val="22"/>
          <w:lang w:val="pt-BR"/>
        </w:rPr>
        <w:t xml:space="preserve">kiện, giả định theo quan điểm hợp lý của tổ</w:t>
      </w:r>
      <w:r>
        <w:rPr>
          <w:sz w:val="22"/>
          <w:szCs w:val="22"/>
          <w:lang w:val="vi-VN"/>
        </w:rPr>
        <w:t xml:space="preserve"> </w:t>
      </w:r>
      <w:r>
        <w:rPr>
          <w:sz w:val="22"/>
          <w:szCs w:val="22"/>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sz w:val="22"/>
          <w:szCs w:val="22"/>
          <w:lang w:val="vi-VN"/>
        </w:rPr>
        <w:t xml:space="preserve">tổ </w:t>
      </w:r>
      <w:r>
        <w:rPr>
          <w:sz w:val="22"/>
          <w:szCs w:val="22"/>
          <w:lang w:val="pt-BR"/>
        </w:rPr>
        <w:t xml:space="preserve">thẩm định không đảm bảo là các giả định làm cơ sở thẩm định giá là chính xác hoàn toàn.</w:t>
      </w:r>
      <w:r>
        <w:rPr>
          <w:b/>
          <w:sz w:val="22"/>
          <w:szCs w:val="22"/>
          <w:lang w:val="pt-BR"/>
        </w:rPr>
      </w:r>
    </w:p>
    <w:p>
      <w:pPr>
        <w:pStyle w:val="856"/>
        <w:numPr>
          <w:ilvl w:val="0"/>
          <w:numId w:val="5"/>
        </w:numPr>
        <w:pBdr/>
        <w:tabs>
          <w:tab w:val="left" w:leader="none" w:pos="993"/>
        </w:tabs>
        <w:spacing w:after="120" w:before="120" w:line="288" w:lineRule="auto"/>
        <w:ind/>
        <w:jc w:val="both"/>
        <w:rPr>
          <w:b/>
          <w:spacing w:val="2"/>
          <w:sz w:val="22"/>
          <w:szCs w:val="22"/>
        </w:rPr>
      </w:pPr>
      <w:r>
        <w:rPr>
          <w:spacing w:val="2"/>
          <w:sz w:val="22"/>
          <w:szCs w:val="2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sz w:val="22"/>
          <w:szCs w:val="2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sz w:val="22"/>
          <w:szCs w:val="2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sz w:val="22"/>
          <w:szCs w:val="22"/>
          <w:lang w:val="pt-BR"/>
        </w:rPr>
      </w:r>
    </w:p>
    <w:p>
      <w:pPr>
        <w:pStyle w:val="856"/>
        <w:numPr>
          <w:ilvl w:val="0"/>
          <w:numId w:val="5"/>
        </w:numPr>
        <w:pBdr/>
        <w:tabs>
          <w:tab w:val="left" w:leader="none" w:pos="993"/>
        </w:tabs>
        <w:spacing w:after="120" w:before="120" w:line="288" w:lineRule="auto"/>
        <w:ind w:hanging="357" w:left="357"/>
        <w:jc w:val="both"/>
        <w:rPr>
          <w:b/>
          <w:sz w:val="22"/>
          <w:szCs w:val="22"/>
        </w:rPr>
      </w:pPr>
      <w:r>
        <w:rPr>
          <w:sz w:val="22"/>
          <w:szCs w:val="22"/>
          <w:lang w:val="pt-BR"/>
        </w:rPr>
        <w:t xml:space="preserve">Khách hàng yêu cầu thẩm định giá và người hướng dẫn tổ</w:t>
      </w:r>
      <w:r>
        <w:rPr>
          <w:sz w:val="22"/>
          <w:szCs w:val="22"/>
          <w:lang w:val="vi-VN"/>
        </w:rPr>
        <w:t xml:space="preserve"> </w:t>
      </w:r>
      <w:r>
        <w:rPr>
          <w:sz w:val="22"/>
          <w:szCs w:val="22"/>
          <w:lang w:val="pt-BR"/>
        </w:rPr>
        <w:t xml:space="preserve">thẩm định thực hiện thẩm định hiện trạng tà</w:t>
      </w:r>
      <w:r>
        <w:rPr>
          <w:sz w:val="22"/>
          <w:szCs w:val="22"/>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sz w:val="22"/>
          <w:szCs w:val="22"/>
          <w:lang w:val="pt-BR"/>
        </w:rPr>
      </w:r>
    </w:p>
    <w:p>
      <w:pPr>
        <w:pStyle w:val="856"/>
        <w:numPr>
          <w:ilvl w:val="0"/>
          <w:numId w:val="5"/>
        </w:numPr>
        <w:pBdr/>
        <w:spacing w:after="120" w:before="120" w:line="288" w:lineRule="auto"/>
        <w:ind w:hanging="357" w:left="357"/>
        <w:jc w:val="both"/>
        <w:rPr>
          <w:sz w:val="22"/>
          <w:szCs w:val="22"/>
        </w:rPr>
      </w:pPr>
      <w:r>
        <w:rPr>
          <w:sz w:val="22"/>
          <w:szCs w:val="22"/>
          <w:shd w:val="clear" w:color="auto" w:fill="ffffff"/>
          <w:lang w:val="pt-BR"/>
        </w:rPr>
        <w:t xml:space="preserve">Chúng tôi nhấn mạnh rằng việc thẩm định giá không phải là môn khoa học chính xác, m</w:t>
      </w:r>
      <w:r>
        <w:rPr>
          <w:sz w:val="22"/>
          <w:szCs w:val="22"/>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z w:val="22"/>
          <w:szCs w:val="22"/>
          <w:shd w:val="clear" w:color="auto" w:fill="ffffff"/>
          <w:lang w:val="vi-VN"/>
        </w:rPr>
        <w:t xml:space="preserve">.</w:t>
      </w:r>
      <w:r>
        <w:rPr>
          <w:sz w:val="22"/>
          <w:szCs w:val="22"/>
          <w:lang w:val="pt-BR"/>
        </w:rPr>
      </w:r>
    </w:p>
    <w:p>
      <w:pPr>
        <w:pStyle w:val="856"/>
        <w:numPr>
          <w:ilvl w:val="0"/>
          <w:numId w:val="5"/>
        </w:numPr>
        <w:pBdr/>
        <w:tabs>
          <w:tab w:val="left" w:leader="none" w:pos="993"/>
        </w:tabs>
        <w:spacing w:after="120" w:before="120" w:line="288" w:lineRule="auto"/>
        <w:ind/>
        <w:jc w:val="both"/>
        <w:rPr>
          <w:sz w:val="22"/>
          <w:szCs w:val="22"/>
          <w:shd w:val="clear" w:color="auto" w:fill="ffffff"/>
        </w:rPr>
      </w:pPr>
      <w:r>
        <w:rPr>
          <w:sz w:val="22"/>
          <w:szCs w:val="22"/>
          <w:shd w:val="clear" w:color="auto" w:fill="ffffff"/>
          <w:lang w:val="pt-BR"/>
        </w:rPr>
        <w:t xml:space="preserve">Chúng tôi chỉ hoạt động trong lĩnh</w:t>
      </w:r>
      <w:r>
        <w:rPr>
          <w:sz w:val="22"/>
          <w:szCs w:val="22"/>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sz w:val="22"/>
          <w:szCs w:val="22"/>
          <w:lang w:val="pt-BR"/>
        </w:rPr>
        <w:t xml:space="preserve">Giấy chứng nhận quyền sử dụng </w:t>
      </w:r>
      <w:r>
        <w:rPr>
          <w:iCs/>
          <w:sz w:val="22"/>
          <w:szCs w:val="22"/>
          <w:lang w:val="pt-BR"/>
        </w:rPr>
        <w:t xml:space="preserve">đất  đã</w:t>
      </w:r>
      <w:r>
        <w:rPr>
          <w:iCs/>
          <w:sz w:val="22"/>
          <w:szCs w:val="22"/>
          <w:lang w:val="pt-BR"/>
        </w:rPr>
        <w:t xml:space="preserve"> cung cấp cho chúng tôi.</w:t>
      </w:r>
      <w:r>
        <w:rPr>
          <w:sz w:val="22"/>
          <w:szCs w:val="22"/>
          <w:shd w:val="clear" w:color="auto" w:fill="ffffff"/>
          <w:lang w:val="pt-BR"/>
        </w:rPr>
      </w:r>
    </w:p>
    <w:p>
      <w:pPr>
        <w:pStyle w:val="856"/>
        <w:numPr>
          <w:ilvl w:val="0"/>
          <w:numId w:val="5"/>
        </w:numPr>
        <w:pBdr/>
        <w:spacing w:after="120" w:before="120" w:line="288" w:lineRule="auto"/>
        <w:ind/>
        <w:jc w:val="both"/>
        <w:rPr>
          <w:sz w:val="22"/>
          <w:szCs w:val="22"/>
        </w:rPr>
      </w:pPr>
      <w:r>
        <w:rPr>
          <w:sz w:val="22"/>
          <w:szCs w:val="22"/>
          <w:lang w:val="vi-VN"/>
        </w:rPr>
        <w:t xml:space="preserve">Chúng tôi giả định rằng tà</w:t>
      </w:r>
      <w:r>
        <w:rPr>
          <w:sz w:val="22"/>
          <w:szCs w:val="22"/>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sz w:val="22"/>
          <w:szCs w:val="22"/>
          <w:lang w:val="vi-VN"/>
        </w:rPr>
        <w:t xml:space="preserve">sinh, liên đới (nếu có) trong trường hợp này.</w:t>
      </w:r>
      <w:r>
        <w:rPr>
          <w:sz w:val="22"/>
          <w:szCs w:val="22"/>
          <w:lang w:val="vi-VN"/>
        </w:rPr>
      </w:r>
    </w:p>
    <w:p>
      <w:pPr>
        <w:pStyle w:val="856"/>
        <w:numPr>
          <w:ilvl w:val="0"/>
          <w:numId w:val="5"/>
        </w:numPr>
        <w:pBdr/>
        <w:tabs>
          <w:tab w:val="left" w:leader="none" w:pos="993"/>
        </w:tabs>
        <w:spacing w:after="120" w:before="120" w:line="288" w:lineRule="auto"/>
        <w:ind/>
        <w:jc w:val="both"/>
        <w:rPr>
          <w:bCs/>
          <w:spacing w:val="-2"/>
          <w:sz w:val="22"/>
          <w:szCs w:val="22"/>
        </w:rPr>
      </w:pPr>
      <w:r>
        <w:rPr>
          <w:bCs/>
          <w:spacing w:val="-2"/>
          <w:sz w:val="22"/>
          <w:szCs w:val="2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sz w:val="22"/>
          <w:szCs w:val="2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sz w:val="22"/>
          <w:szCs w:val="2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sz w:val="22"/>
          <w:szCs w:val="22"/>
          <w:lang w:val="pt-BR"/>
        </w:rPr>
      </w:r>
    </w:p>
    <w:p>
      <w:pPr>
        <w:pStyle w:val="856"/>
        <w:numPr>
          <w:ilvl w:val="0"/>
          <w:numId w:val="3"/>
        </w:numPr>
        <w:pBdr/>
        <w:tabs>
          <w:tab w:val="left" w:leader="none" w:pos="993"/>
        </w:tabs>
        <w:spacing w:after="120" w:before="120" w:line="288" w:lineRule="auto"/>
        <w:ind/>
        <w:jc w:val="both"/>
        <w:rPr>
          <w:sz w:val="22"/>
          <w:szCs w:val="22"/>
        </w:rPr>
      </w:pPr>
      <w:r>
        <w:rPr>
          <w:sz w:val="22"/>
          <w:szCs w:val="22"/>
          <w:lang w:val="vi-VN"/>
        </w:rPr>
        <w:t xml:space="preserve">Tổ thẩm định giá sử dụng Phương pháp so sánh để xác định giá trị tài sản thẩm định giá trong đó  việc thu thập thông tin </w:t>
      </w:r>
      <w:r>
        <w:rPr>
          <w:sz w:val="22"/>
          <w:szCs w:val="22"/>
        </w:rPr>
        <w:t xml:space="preserve">TSSS</w:t>
      </w:r>
      <w:r>
        <w:rPr>
          <w:sz w:val="22"/>
          <w:szCs w:val="22"/>
          <w:lang w:val="vi-VN"/>
        </w:rPr>
        <w:t xml:space="preserve"> đã giao dịch thành công còn gặp nhiều hạn chế, vì vậy</w:t>
      </w:r>
      <w:r>
        <w:rPr>
          <w:sz w:val="22"/>
          <w:szCs w:val="22"/>
        </w:rPr>
        <w:t xml:space="preserve">,</w:t>
      </w:r>
      <w:r>
        <w:rPr>
          <w:sz w:val="22"/>
          <w:szCs w:val="22"/>
          <w:lang w:val="vi-VN"/>
        </w:rPr>
        <w:t xml:space="preserve"> </w:t>
      </w:r>
      <w:r>
        <w:rPr>
          <w:sz w:val="22"/>
          <w:szCs w:val="22"/>
        </w:rPr>
        <w:t xml:space="preserve">T</w:t>
      </w:r>
      <w:r>
        <w:rPr>
          <w:sz w:val="22"/>
          <w:szCs w:val="22"/>
          <w:lang w:val="vi-VN"/>
        </w:rPr>
        <w:t xml:space="preserve">ổ thẩm định giá sử dụng các </w:t>
      </w:r>
      <w:r>
        <w:rPr>
          <w:sz w:val="22"/>
          <w:szCs w:val="22"/>
        </w:rPr>
        <w:t xml:space="preserve">TSSS</w:t>
      </w:r>
      <w:r>
        <w:rPr>
          <w:sz w:val="22"/>
          <w:szCs w:val="22"/>
          <w:lang w:val="vi-VN"/>
        </w:rPr>
        <w:t xml:space="preserve"> là các tài sản đang được </w:t>
      </w:r>
      <w:r>
        <w:rPr>
          <w:sz w:val="22"/>
          <w:szCs w:val="22"/>
        </w:rPr>
        <w:t xml:space="preserve">r</w:t>
      </w:r>
      <w:r>
        <w:rPr>
          <w:sz w:val="22"/>
          <w:szCs w:val="22"/>
          <w:lang w:val="vi-VN"/>
        </w:rPr>
        <w:t xml:space="preserve">ao bán trên thị trường. Kết quả thẩm định </w:t>
      </w:r>
      <w:r>
        <w:rPr>
          <w:sz w:val="22"/>
          <w:szCs w:val="22"/>
          <w:lang w:val="vi-VN"/>
        </w:rPr>
        <w:t xml:space="preserve">giá có thể thay đổi khi các </w:t>
      </w:r>
      <w:r>
        <w:rPr>
          <w:sz w:val="22"/>
          <w:szCs w:val="22"/>
        </w:rPr>
        <w:t xml:space="preserve">TSSS</w:t>
      </w:r>
      <w:r>
        <w:rPr>
          <w:sz w:val="22"/>
          <w:szCs w:val="22"/>
          <w:lang w:val="vi-VN"/>
        </w:rPr>
        <w:t xml:space="preserve"> được giao dịch thành công. Khách hàng và các bên thứ ba khi sử dụng kết quả thẩm định giá cần lưu ý khi sử dụng Chứng thư thẩm định giá.</w:t>
      </w:r>
      <w:r>
        <w:rPr>
          <w:sz w:val="22"/>
          <w:szCs w:val="22"/>
          <w:lang w:val="vi-VN"/>
        </w:rPr>
      </w:r>
    </w:p>
    <w:p>
      <w:pPr>
        <w:pStyle w:val="856"/>
        <w:numPr>
          <w:ilvl w:val="0"/>
          <w:numId w:val="5"/>
        </w:numPr>
        <w:pBdr/>
        <w:tabs>
          <w:tab w:val="left" w:leader="none" w:pos="993"/>
        </w:tabs>
        <w:spacing w:after="120" w:before="120" w:line="288" w:lineRule="auto"/>
        <w:ind w:hanging="357" w:left="357"/>
        <w:jc w:val="both"/>
        <w:rPr>
          <w:bCs/>
          <w:sz w:val="22"/>
          <w:szCs w:val="22"/>
        </w:rPr>
      </w:pPr>
      <w:r>
        <w:rPr>
          <w:bCs/>
          <w:sz w:val="22"/>
          <w:szCs w:val="22"/>
          <w:lang w:val="pt-BR"/>
        </w:rPr>
        <w:t xml:space="preserve">Kết quả t</w:t>
      </w:r>
      <w:r>
        <w:rPr>
          <w:bCs/>
          <w:sz w:val="22"/>
          <w:szCs w:val="22"/>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sz w:val="22"/>
          <w:szCs w:val="22"/>
          <w:lang w:val="pt-BR"/>
        </w:rPr>
      </w:r>
    </w:p>
    <w:p>
      <w:pPr>
        <w:pStyle w:val="856"/>
        <w:numPr>
          <w:ilvl w:val="0"/>
          <w:numId w:val="5"/>
        </w:numPr>
        <w:pBdr/>
        <w:tabs>
          <w:tab w:val="left" w:leader="none" w:pos="993"/>
        </w:tabs>
        <w:spacing w:after="120" w:before="120" w:line="288" w:lineRule="auto"/>
        <w:ind w:hanging="357" w:left="357"/>
        <w:jc w:val="both"/>
        <w:rPr>
          <w:sz w:val="22"/>
          <w:szCs w:val="22"/>
        </w:rPr>
      </w:pPr>
      <w:r>
        <w:rPr>
          <w:sz w:val="22"/>
          <w:szCs w:val="22"/>
        </w:rPr>
      </w:r>
      <w:bookmarkStart w:id="4" w:name="_Hlk151374072"/>
      <w:r>
        <w:rPr>
          <w:sz w:val="22"/>
          <w:szCs w:val="22"/>
          <w:lang w:val="pt-BR"/>
        </w:rPr>
        <w:t xml:space="preserve">Tổ thẩm định đã gửi các bản dự thảo chứng thư cho các đơn vị sử dụng chứng thư đọc</w:t>
      </w:r>
      <w:r>
        <w:rPr>
          <w:sz w:val="22"/>
          <w:szCs w:val="22"/>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sz w:val="22"/>
          <w:szCs w:val="22"/>
        </w:rPr>
      </w:r>
      <w:r>
        <w:rPr>
          <w:sz w:val="22"/>
          <w:szCs w:val="22"/>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lang w:val="pt-BR"/>
        </w:rPr>
      </w:r>
    </w:p>
    <w:p>
      <w:pPr>
        <w:pStyle w:val="856"/>
        <w:pBdr/>
        <w:tabs>
          <w:tab w:val="left" w:leader="none" w:pos="993"/>
        </w:tabs>
        <w:spacing w:after="120" w:before="120" w:line="288" w:lineRule="auto"/>
        <w:ind w:left="0"/>
        <w:jc w:val="both"/>
        <w:rPr>
          <w:lang w:val="pt-BR"/>
        </w:rPr>
      </w:pPr>
      <w:r>
        <w:rPr>
          <w:highlight w:val="none"/>
          <w:lang w:val="pt-BR" w:bidi="pt-BR"/>
        </w:rPr>
      </w:r>
      <w:r>
        <w:rPr>
          <w:highlight w:val="none"/>
          <w:lang w:val="pt-BR" w:bidi="pt-BR"/>
        </w:rPr>
      </w:r>
      <w:r>
        <w:rPr>
          <w:highlight w:val="none"/>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275/2026/7777/VFI-CT.57.A</w:t>
      </w:r>
      <w:r>
        <w:rPr>
          <w:color w:val="ff0000"/>
          <w:lang w:val="vi-VN"/>
        </w:rPr>
        <w:t xml:space="preserve"> </w:t>
      </w:r>
      <w:r>
        <w:rPr>
          <w:color w:val="000000" w:themeColor="text1"/>
        </w:rPr>
        <w:t xml:space="preserve">ngày 3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pt-BR"/>
        </w:rPr>
      </w:r>
      <w:r>
        <w:rPr>
          <w:lang w:val="pt-BR"/>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Minh Phúc</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Đỗ Thanh Thảo</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275/2026/7777/VFI-BC.57.A</w:t>
      </w:r>
      <w:r>
        <w:rPr>
          <w:i/>
          <w:lang w:val="pt-BR"/>
        </w:rPr>
        <w:t xml:space="preserve"> </w:t>
      </w:r>
      <w:r>
        <w:rPr>
          <w:i/>
          <w:lang w:val="pt-BR"/>
        </w:rPr>
        <w:t xml:space="preserve">3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445824" cy="3212942"/>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87142" name=""/>
                              <pic:cNvPicPr>
                                <a:picLocks noChangeAspect="1"/>
                              </pic:cNvPicPr>
                              <pic:nvPr/>
                            </pic:nvPicPr>
                            <pic:blipFill rotWithShape="1">
                              <a:blip r:embed="rId18"/>
                              <a:stretch/>
                            </pic:blipFill>
                            <pic:spPr bwMode="auto">
                              <a:xfrm flipH="0" flipV="0">
                                <a:off x="0" y="0"/>
                                <a:ext cx="1445823" cy="32129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13.84pt;height:252.99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06666" cy="2104999"/>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885336" name=""/>
                              <pic:cNvPicPr>
                                <a:picLocks noChangeAspect="1"/>
                              </pic:cNvPicPr>
                              <pic:nvPr/>
                            </pic:nvPicPr>
                            <pic:blipFill rotWithShape="1">
                              <a:blip r:embed="rId19"/>
                              <a:stretch/>
                            </pic:blipFill>
                            <pic:spPr bwMode="auto">
                              <a:xfrm flipH="0" flipV="0">
                                <a:off x="0" y="0"/>
                                <a:ext cx="2806665" cy="21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21.00pt;height:165.75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0192" cy="2077644"/>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26173" name=""/>
                              <pic:cNvPicPr>
                                <a:picLocks noChangeAspect="1"/>
                              </pic:cNvPicPr>
                              <pic:nvPr/>
                            </pic:nvPicPr>
                            <pic:blipFill rotWithShape="1">
                              <a:blip r:embed="rId20"/>
                              <a:stretch/>
                            </pic:blipFill>
                            <pic:spPr bwMode="auto">
                              <a:xfrm flipH="0" flipV="0">
                                <a:off x="0" y="0"/>
                                <a:ext cx="2770191" cy="20776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8.13pt;height:163.59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55029" cy="199127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789046" name=""/>
                              <pic:cNvPicPr>
                                <a:picLocks noChangeAspect="1"/>
                              </pic:cNvPicPr>
                              <pic:nvPr/>
                            </pic:nvPicPr>
                            <pic:blipFill rotWithShape="1">
                              <a:blip r:embed="rId21"/>
                              <a:stretch/>
                            </pic:blipFill>
                            <pic:spPr bwMode="auto">
                              <a:xfrm flipH="0" flipV="0">
                                <a:off x="0" y="0"/>
                                <a:ext cx="2655029" cy="199127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9.06pt;height:156.79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646376" cy="198478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32166" name=""/>
                              <pic:cNvPicPr>
                                <a:picLocks noChangeAspect="1"/>
                              </pic:cNvPicPr>
                              <pic:nvPr/>
                            </pic:nvPicPr>
                            <pic:blipFill rotWithShape="1">
                              <a:blip r:embed="rId22"/>
                              <a:stretch/>
                            </pic:blipFill>
                            <pic:spPr bwMode="auto">
                              <a:xfrm flipH="0" flipV="0">
                                <a:off x="0" y="0"/>
                                <a:ext cx="2646375" cy="198478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8.38pt;height:156.2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494365" cy="1870774"/>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322692" name=""/>
                              <pic:cNvPicPr>
                                <a:picLocks noChangeAspect="1"/>
                              </pic:cNvPicPr>
                              <pic:nvPr/>
                            </pic:nvPicPr>
                            <pic:blipFill rotWithShape="1">
                              <a:blip r:embed="rId23"/>
                              <a:stretch/>
                            </pic:blipFill>
                            <pic:spPr bwMode="auto">
                              <a:xfrm flipH="0" flipV="0">
                                <a:off x="0" y="0"/>
                                <a:ext cx="2494365" cy="18707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96.41pt;height:147.31pt;mso-wrap-distance-left:0.00pt;mso-wrap-distance-top:0.00pt;mso-wrap-distance-right:0.00pt;mso-wrap-distance-bottom:0.00pt;z-index:1;" stroked="false">
                      <v:imagedata r:id="rId23" o:title=""/>
                      <o:lock v:ext="edit" rotation="t"/>
                    </v:shape>
                  </w:pict>
                </mc:Fallback>
              </mc:AlternateContent>
            </w:r>
            <w:r>
              <w:rPr>
                <w:i/>
                <w:lang w:val="pt-BR"/>
              </w:rPr>
            </w:r>
            <w:r>
              <w:rPr>
                <w:b/>
                <w:bCs/>
                <w:i/>
                <w:lang w:val="pt-BR"/>
              </w:rPr>
            </w:r>
          </w:p>
        </w:tc>
      </w:tr>
    </w:tbl>
    <w:p>
      <w:pPr>
        <w:pBdr/>
        <w:spacing w:after="200" w:line="276" w:lineRule="auto"/>
        <w:ind/>
        <w:rPr/>
      </w:pPr>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275/2026/7777/VFI-BC.57.A</w:t>
      </w:r>
      <w:r>
        <w:rPr>
          <w:i/>
          <w:lang w:val="pt-BR"/>
        </w:rPr>
        <w:t xml:space="preserve"> </w:t>
      </w:r>
      <w:r>
        <w:rPr>
          <w:i/>
          <w:lang w:val="pt-BR"/>
        </w:rPr>
        <w:t xml:space="preserve">3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https://www.facebook.com/share/p/1DDDVmvkKV/</w:t>
              <w:br/>
              <w:t xml:space="preserve"> 0988513531 </w:t>
              <w:br/>
              <w:t xml:space="preserve"> (Huyền)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5.600.000.000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03/2026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(125 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921090" cy="1916118"/>
                      <wp:effectExtent l="0" t="0" r="0" b="0"/>
                      <wp:docPr id="12" name=""/>
                      <wp:cNvGraphicFramePr/>
                      <a:graphic xmlns:a="http://schemas.openxmlformats.org/drawingml/2006/main">
                        <a:graphicData uri="http://schemas.openxmlformats.org/drawingml/2006/picture">
                          <pic:pic xmlns:pic="http://schemas.openxmlformats.org/drawingml/2006/picture">
                            <pic:nvPicPr>
                              <pic:cNvPr id="638358760" name="" descr=""/>
                              <pic:cNvPicPr/>
                              <pic:nvPr/>
                            </pic:nvPicPr>
                            <pic:blipFill rotWithShape="1">
                              <a:blip r:embed="rId24"/>
                              <a:stretch/>
                            </pic:blipFill>
                            <pic:spPr bwMode="auto">
                              <a:xfrm flipH="0" flipV="0">
                                <a:off x="0" y="0"/>
                                <a:ext cx="921089" cy="191611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72.53pt;height:150.88pt;mso-wrap-distance-left:0.00pt;mso-wrap-distance-top:0.00pt;mso-wrap-distance-right:0.00pt;mso-wrap-distance-bottom:0.00pt;z-index:1;" stroked="false">
                      <v:imagedata r:id="rId24" o:title=""/>
                      <o:lock v:ext="edit" rotation="t"/>
                    </v:shape>
                  </w:pict>
                </mc:Fallback>
              </mc:AlternateContent>
            </w: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64190" cy="1640935"/>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2864189" cy="16409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5.53pt;height:129.21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Minh Phúc</w:t>
            </w:r>
            <w:r/>
          </w:p>
        </w:tc>
      </w:tr>
    </w:tbl>
    <w:p>
      <w:pPr>
        <w:pBdr/>
        <w:spacing w:after="200" w:line="276" w:lineRule="auto"/>
        <w:ind/>
        <w:rPr>
          <w:b/>
          <w:bCs/>
          <w:iCs/>
          <w:lang w:val="pt-BR"/>
        </w:rPr>
      </w:pP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https://www.facebook.com/groups/batdongsansontay/permalink/2433296713765465/  </w:t>
              <w:br/>
              <w:t xml:space="preserve"> (trung)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5.100.000.000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4.590.000.000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Đã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03/2026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(80 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502115" cy="1645516"/>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1502114" cy="164551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18.28pt;height:129.57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97515" cy="1488535"/>
                      <wp:effectExtent l="0" t="0" r="0" b="0"/>
                      <wp:docPr id="15" name=""/>
                      <wp:cNvGraphicFramePr/>
                      <a:graphic xmlns:a="http://schemas.openxmlformats.org/drawingml/2006/main">
                        <a:graphicData uri="http://schemas.openxmlformats.org/drawingml/2006/picture">
                          <pic:pic xmlns:pic="http://schemas.openxmlformats.org/drawingml/2006/picture">
                            <pic:nvPicPr>
                              <pic:cNvPr id="27510983" name="" descr=""/>
                              <pic:cNvPicPr/>
                              <pic:nvPr/>
                            </pic:nvPicPr>
                            <pic:blipFill rotWithShape="1">
                              <a:blip r:embed="rId27"/>
                              <a:stretch/>
                            </pic:blipFill>
                            <pic:spPr bwMode="auto">
                              <a:xfrm flipH="0" flipV="0">
                                <a:off x="0" y="0"/>
                                <a:ext cx="2797515" cy="14885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0.28pt;height:117.21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b/>
                <w:bCs/>
                <w:sz w:val="22"/>
                <w:szCs w:val="22"/>
              </w:rPr>
            </w:r>
            <w:r>
              <w:rPr>
                <w:color w:val="000000"/>
                <w:sz w:val="22"/>
                <w:szCs w:val="22"/>
              </w:rPr>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Minh Phúc</w:t>
            </w:r>
            <w:r/>
          </w:p>
          <w:p>
            <w:pPr>
              <w:pBdr/>
              <w:spacing/>
              <w:ind/>
              <w:jc w:val="center"/>
              <w:rPr/>
            </w:pPr>
            <w: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https://www.facebook.com/groups/batdongsansontay/permalink/2411299065965230/?rdid=enEwuJZidUIMZMYv# SĐT:  </w:t>
              <w:br/>
              <w:t xml:space="preserve"> (Huyền)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7.834.000.000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7.050.600.000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03/2026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(139.9 m²)</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Thanh Mỹ, Thị xã Sơn Tây, Thành phố Hà Nội, đường Đường 87A đường đôi mặt cắt 35m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nhựa có vỉa hè</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139.9</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7.55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292690" cy="1689378"/>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flipH="0" flipV="0">
                                <a:off x="0" y="0"/>
                                <a:ext cx="2292689" cy="168937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80.53pt;height:133.02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40290" cy="1117060"/>
                      <wp:effectExtent l="0" t="0" r="0" b="0"/>
                      <wp:docPr id="17" name=""/>
                      <wp:cNvGraphicFramePr/>
                      <a:graphic xmlns:a="http://schemas.openxmlformats.org/drawingml/2006/main">
                        <a:graphicData uri="http://schemas.openxmlformats.org/drawingml/2006/picture">
                          <pic:pic xmlns:pic="http://schemas.openxmlformats.org/drawingml/2006/picture">
                            <pic:nvPicPr>
                              <pic:cNvPr id="1127724197" name="" descr=""/>
                              <pic:cNvPicPr/>
                              <pic:nvPr/>
                            </pic:nvPicPr>
                            <pic:blipFill rotWithShape="1">
                              <a:blip r:embed="rId29"/>
                              <a:stretch/>
                            </pic:blipFill>
                            <pic:spPr bwMode="auto">
                              <a:xfrm flipH="0" flipV="0">
                                <a:off x="0" y="0"/>
                                <a:ext cx="2140289" cy="11170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8.53pt;height:87.96pt;mso-wrap-distance-left:0.00pt;mso-wrap-distance-top:0.00pt;mso-wrap-distance-right:0.00pt;mso-wrap-distance-bottom:0.00pt;z-index:1;" stroked="false">
                      <v:imagedata r:id="rId29"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left"/>
              <w:rPr/>
            </w:pPr>
            <w:r/>
            <w:r/>
            <w:r/>
          </w:p>
          <w:p>
            <w:pPr>
              <w:pBdr/>
              <w:spacing/>
              <w:ind/>
              <w:jc w:val="left"/>
              <w:rPr/>
            </w:pPr>
            <w:r/>
            <w:r/>
            <w:r/>
          </w:p>
          <w:p>
            <w:pPr>
              <w:pBdr/>
              <w:spacing/>
              <w:ind/>
              <w:jc w:val="left"/>
              <w:rPr/>
            </w:pPr>
            <w:r/>
            <w:r/>
            <w:r/>
          </w:p>
          <w:p>
            <w:pPr>
              <w:pBdr/>
              <w:spacing/>
              <w:ind/>
              <w:jc w:val="left"/>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Minh Phúc</w:t>
            </w:r>
            <w:r/>
            <w:r/>
            <w:r>
              <w:rPr>
                <w:b/>
                <w:bCs/>
              </w:rPr>
            </w:r>
            <w:r>
              <w:rPr>
                <w:b/>
                <w:bCs/>
              </w:rPr>
            </w:r>
            <w:r/>
          </w:p>
        </w:tc>
      </w:tr>
    </w:tbl>
    <w:p>
      <w:pPr>
        <w:pBdr/>
        <w:spacing w:after="200" w:line="276" w:lineRule="auto"/>
        <w:ind/>
        <w:rPr>
          <w:lang w:val="pt-BR"/>
        </w:rPr>
      </w:pPr>
      <w:r>
        <w:rPr>
          <w:iCs/>
          <w:lang w:val="pt-BR"/>
        </w:rPr>
      </w:r>
      <w:r>
        <w:rPr>
          <w:iCs/>
          <w:lang w:val="pt-BR"/>
        </w:rPr>
      </w:r>
      <w:r>
        <w:rPr>
          <w:iCs/>
          <w:lang w:val="pt-BR"/>
        </w:rPr>
      </w:r>
    </w:p>
    <w:p>
      <w:pPr>
        <w:pBdr/>
        <w:spacing w:after="200" w:line="276" w:lineRule="auto"/>
        <w:ind/>
        <w:rPr>
          <w:lang w:val="pt-BR"/>
        </w:rPr>
      </w:pPr>
      <w:r>
        <w:rPr>
          <w:iCs/>
          <w:lang w:val="pt-BR"/>
        </w:rPr>
      </w:r>
      <w:r>
        <w:rPr>
          <w:iCs/>
          <w:lang w:val="pt-BR"/>
        </w:rPr>
      </w:r>
      <w:r>
        <w:rPr>
          <w:iCs/>
          <w:lang w:val="pt-BR"/>
        </w:rPr>
      </w:r>
    </w:p>
    <w:p>
      <w:pPr>
        <w:pBdr/>
        <w:spacing w:after="200" w:line="276" w:lineRule="auto"/>
        <w:ind/>
        <w:rPr>
          <w:iCs/>
          <w:highlight w:val="none"/>
          <w:lang w:val="pt-BR"/>
        </w:rPr>
      </w:pPr>
      <w:r>
        <w:rPr>
          <w:iCs/>
          <w:lang w:val="pt-BR"/>
        </w:rPr>
        <w:t xml:space="preserve">                                                            HỒ SƠ PHÁP LÝ</w:t>
      </w:r>
      <w:r>
        <w:rPr>
          <w:iCs/>
          <w:lang w:val="pt-BR"/>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634639" name=""/>
                        <pic:cNvPicPr>
                          <a:picLocks noChangeAspect="1"/>
                        </pic:cNvPicPr>
                        <pic:nvPr/>
                      </pic:nvPicPr>
                      <pic:blipFill rotWithShape="1">
                        <a:blip r:embed="rId30"/>
                        <a:stretch/>
                      </pic:blipFill>
                      <pic:spPr bwMode="auto">
                        <a:xfrm rot="10799990">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35.00pt;mso-wrap-distance-left:0.00pt;mso-wrap-distance-top:0.00pt;mso-wrap-distance-right:0.00pt;mso-wrap-distance-bottom:0.00pt;rotation:179;z-index:1;" stroked="false">
                <v:imagedata r:id="rId30" o:title=""/>
                <o:lock v:ext="edit" rotation="t"/>
              </v:shape>
            </w:pict>
          </mc:Fallback>
        </mc:AlternateContent>
      </w:r>
      <w:r>
        <w:rPr>
          <w:iCs/>
          <w:highlight w:val="none"/>
          <w:lang w:val="pt-BR" w:bidi="pt-BR"/>
        </w:rPr>
      </w:r>
      <w:r>
        <w:rPr>
          <w:iCs/>
          <w:highlight w:val="none"/>
          <w:lang w:val="pt-BR" w:bidi="pt-BR"/>
        </w:rPr>
      </w:r>
      <w:r>
        <w:rPr>
          <w:lang w:val="pt-BR"/>
        </w:rPr>
      </w:r>
    </w:p>
    <w:p>
      <w:pPr>
        <w:pBdr/>
        <w:spacing w:after="200" w:line="276" w:lineRule="auto"/>
        <w:ind/>
        <w:rPr>
          <w:lang w:val="pt-BR"/>
        </w:rPr>
      </w:pPr>
      <w:r>
        <w:rPr>
          <w:highlight w:val="none"/>
        </w:rPr>
      </w:r>
      <w:r>
        <w:rPr>
          <w:highlight w:val="none"/>
        </w:rPr>
      </w:r>
      <w:r>
        <w:rPr>
          <w:highlight w:val="none"/>
        </w:rPr>
      </w:r>
    </w:p>
    <w:p>
      <w:pPr>
        <w:pBdr/>
        <w:spacing w:after="200" w:line="276" w:lineRule="auto"/>
        <w:ind/>
        <w:rPr>
          <w:highlight w:val="none"/>
          <w:lang w:val="pt-BR" w:bidi="pt-BR"/>
        </w:rPr>
      </w:pPr>
      <w:r>
        <w:rPr>
          <w:iCs/>
          <w:highlight w:val="none"/>
          <w:lang w:val="pt-BR" w:bidi="pt-BR"/>
        </w:rPr>
      </w:r>
      <w:r>
        <mc:AlternateContent>
          <mc:Choice Requires="wpg">
            <w:drawing>
              <wp:inline xmlns:wp="http://schemas.openxmlformats.org/drawingml/2006/wordprocessingDrawing" distT="0" distB="0" distL="0" distR="0">
                <wp:extent cx="5974825" cy="8086185"/>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30435" name=""/>
                        <pic:cNvPicPr>
                          <a:picLocks noChangeAspect="1"/>
                        </pic:cNvPicPr>
                        <pic:nvPr/>
                      </pic:nvPicPr>
                      <pic:blipFill rotWithShape="1">
                        <a:blip r:embed="rId31"/>
                        <a:srcRect l="7879" t="10032" r="6136" b="2690"/>
                      </pic:blipFill>
                      <pic:spPr bwMode="auto">
                        <a:xfrm rot="10799990" flipH="0" flipV="0">
                          <a:off x="0" y="0"/>
                          <a:ext cx="5974824" cy="80861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0.46pt;height:636.71pt;mso-wrap-distance-left:0.00pt;mso-wrap-distance-top:0.00pt;mso-wrap-distance-right:0.00pt;mso-wrap-distance-bottom:0.00pt;rotation:179;z-index:1;" stroked="false">
                <v:imagedata r:id="rId31" o:title="" croptop="6575f" cropleft="5164f" cropbottom="1763f" cropright="4021f"/>
                <o:lock v:ext="edit" rotation="t"/>
              </v:shape>
            </w:pict>
          </mc:Fallback>
        </mc:AlternateContent>
      </w:r>
      <w:r>
        <w:rPr>
          <w:iCs/>
          <w:highlight w:val="none"/>
          <w:lang w:val="pt-BR" w:bidi="pt-BR"/>
        </w:rPr>
      </w:r>
      <w:r>
        <w:rPr>
          <w:iCs/>
          <w:highlight w:val="none"/>
          <w:lang w:val="pt-BR" w:bidi="pt-BR"/>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lang w:val="pt-BR" w:bidi="pt-BR"/>
        </w:rPr>
      </w:pPr>
      <w:r>
        <w:rPr>
          <w:iCs/>
          <w:highlight w:val="none"/>
          <w:lang w:val="pt-BR" w:bidi="pt-BR"/>
        </w:rPr>
        <w:t xml:space="preserve">                                                        BIÊN BẢN KHẢO SÁT</w:t>
      </w:r>
      <w:r>
        <w:rPr>
          <w:iCs/>
          <w:highlight w:val="none"/>
          <w:lang w:val="pt-BR" w:bidi="pt-BR"/>
        </w:rPr>
      </w:r>
      <w:r>
        <w:rPr>
          <w:highlight w:val="none"/>
        </w:rPr>
      </w:r>
    </w:p>
    <w:p>
      <w:pPr>
        <w:pBdr/>
        <w:spacing w:after="200" w:line="276" w:lineRule="auto"/>
        <w:ind/>
        <w:rPr>
          <w:highlight w:val="none"/>
        </w:rPr>
      </w:pPr>
      <w:r>
        <w:rPr>
          <w:iCs/>
          <w:highlight w:val="none"/>
          <w:lang w:val="pt-BR" w:bidi="pt-BR"/>
        </w:rPr>
      </w:r>
      <w:r>
        <mc:AlternateContent>
          <mc:Choice Requires="wpg">
            <w:drawing>
              <wp:inline xmlns:wp="http://schemas.openxmlformats.org/drawingml/2006/wordprocessingDrawing" distT="0" distB="0" distL="0" distR="0">
                <wp:extent cx="6048375" cy="8064500"/>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392783" name=""/>
                        <pic:cNvPicPr>
                          <a:picLocks noChangeAspect="1"/>
                        </pic:cNvPicPr>
                        <pic:nvPr/>
                      </pic:nvPicPr>
                      <pic:blipFill rotWithShape="1">
                        <a:blip r:embed="rId32"/>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476.25pt;height:635.00pt;mso-wrap-distance-left:0.00pt;mso-wrap-distance-top:0.00pt;mso-wrap-distance-right:0.00pt;mso-wrap-distance-bottom:0.00pt;z-index:1;" stroked="false">
                <v:imagedata r:id="rId32" o:title=""/>
                <o:lock v:ext="edit" rotation="t"/>
              </v:shape>
            </w:pict>
          </mc:Fallback>
        </mc:AlternateContent>
      </w:r>
      <w:r>
        <w:rPr>
          <w:iCs/>
          <w:highlight w:val="none"/>
          <w:lang w:val="pt-BR" w:bidi="pt-BR"/>
        </w:rPr>
      </w:r>
      <w:r>
        <w:rPr>
          <w:iCs/>
          <w:highlight w:val="none"/>
          <w:lang w:val="pt-BR" w:bidi="pt-BR"/>
        </w:rPr>
      </w:r>
      <w:r>
        <w:rPr>
          <w:iCs/>
          <w:highlight w:val="none"/>
          <w:lang w:val="pt-BR" w:bidi="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Minh Phúc</cp:lastModifiedBy>
  <cp:revision>279</cp:revision>
  <dcterms:created xsi:type="dcterms:W3CDTF">2025-09-15T09:58:00Z</dcterms:created>
  <dcterms:modified xsi:type="dcterms:W3CDTF">2026-04-03T04:42:45Z</dcterms:modified>
</cp:coreProperties>
</file>