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rPr>
                              <w:t xml:space="preserve">Tài sản thẩm </w:t>
                            </w:r>
                            <w:r>
                              <w:rPr>
                                <w:b/>
                              </w:rPr>
                              <w:t xml:space="preserve">định: </w:t>
                            </w:r>
                            <w:r>
                              <w:rPr>
                                <w:rFonts w:ascii="Times New Roman" w:hAnsi="Times New Roman" w:eastAsia="Times New Roman" w:cs="Times New Roman"/>
                                <w:b w:val="0"/>
                                <w:bCs w:val="0"/>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b w:val="0"/>
                                <w:bCs w:val="0"/>
                                <w:color w:val="000000" w:themeColor="text1"/>
                                <w:spacing w:val="3"/>
                                <w:sz w:val="24"/>
                                <w:szCs w:val="24"/>
                                <w:highlight w:val="white"/>
                              </w:rPr>
                              <w:t xml:space="preserve">DG 348156</w:t>
                            </w:r>
                            <w:r>
                              <w:rPr>
                                <w:rFonts w:ascii="Times New Roman" w:hAnsi="Times New Roman" w:eastAsia="Times New Roman" w:cs="Times New Roman"/>
                                <w:b w:val="0"/>
                                <w:bCs w:val="0"/>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b w:val="0"/>
                                <w:bCs w:val="0"/>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0F05B47B">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rPr>
                        <w:t xml:space="preserve">Tài sản thẩm </w:t>
                      </w:r>
                      <w:r>
                        <w:rPr>
                          <w:b/>
                        </w:rPr>
                        <w:t xml:space="preserve">định: </w:t>
                      </w:r>
                      <w:r>
                        <w:rPr>
                          <w:rFonts w:ascii="Times New Roman" w:hAnsi="Times New Roman" w:eastAsia="Times New Roman" w:cs="Times New Roman"/>
                          <w:b w:val="0"/>
                          <w:bCs w:val="0"/>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b w:val="0"/>
                          <w:bCs w:val="0"/>
                          <w:color w:val="000000" w:themeColor="text1"/>
                          <w:spacing w:val="3"/>
                          <w:sz w:val="24"/>
                          <w:szCs w:val="24"/>
                          <w:highlight w:val="white"/>
                        </w:rPr>
                        <w:t xml:space="preserve">DG 348156</w:t>
                      </w:r>
                      <w:r>
                        <w:rPr>
                          <w:rFonts w:ascii="Times New Roman" w:hAnsi="Times New Roman" w:eastAsia="Times New Roman" w:cs="Times New Roman"/>
                          <w:b w:val="0"/>
                          <w:bCs w:val="0"/>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b w:val="0"/>
                          <w:bCs w:val="0"/>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0F05B47B">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HSTD-20251223-0004/CT-VFI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15E3E9F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rFonts w:ascii="Times New Roman" w:hAnsi="Times New Roman" w:eastAsia="Times New Roman" w:cs="Times New Roman"/>
          <w:b w:val="0"/>
          <w:bCs w:val="0"/>
          <w:sz w:val="24"/>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color w:val="000000" w:themeColor="text1"/>
          <w:spacing w:val="3"/>
          <w:sz w:val="24"/>
          <w:szCs w:val="24"/>
          <w:highlight w:val="white"/>
        </w:rPr>
        <w:t xml:space="preserve">DG 348156</w:t>
      </w:r>
      <w:r>
        <w:rPr>
          <w:rFonts w:ascii="Times New Roman" w:hAnsi="Times New Roman" w:eastAsia="Times New Roman" w:cs="Times New Roman"/>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color w:val="000000" w:themeColor="text1"/>
          <w:spacing w:val="3"/>
          <w:sz w:val="24"/>
          <w:szCs w:val="24"/>
          <w:highlight w:val="white"/>
        </w:rPr>
        <w:t xml:space="preserve">́o cáo đính kèm).</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14:paraId="277AF5BD">
      <w:pPr>
        <w:pBdr/>
        <w:spacing w:after="120" w:before="120" w:line="312" w:lineRule="auto"/>
        <w:ind/>
        <w:jc w:val="both"/>
        <w:rPr>
          <w:b/>
          <w:bCs/>
        </w:rPr>
      </w:pPr>
      <w:r>
        <w:rPr>
          <w:color w:val="000000" w:themeColor="text1"/>
        </w:rPr>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2"/>
        <w:gridCol w:w="1368"/>
        <w:gridCol w:w="2127"/>
        <w:gridCol w:w="2759"/>
        <w:gridCol w:w="180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020AFA3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8" w:type="dxa"/>
            <w:vAlign w:val="center"/>
            <w:textDirection w:val="lrTb"/>
            <w:noWrap w:val="false"/>
          </w:tcPr>
          <w:p w14:paraId="575F92F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14:paraId="1597480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59" w:type="dxa"/>
            <w:vAlign w:val="center"/>
            <w:textDirection w:val="lrTb"/>
            <w:noWrap w:val="false"/>
          </w:tcPr>
          <w:p w14:paraId="6C43862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22EBA39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7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64A5DBF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728703A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themeColor="text1"/>
                <w:spacing w:val="3"/>
                <w:sz w:val="24"/>
                <w:szCs w:val="24"/>
                <w:highlight w:val="white"/>
              </w:rPr>
              <w:t xml:space="preserve">Quyền sử dụng đất thuê trả tiền một lần của các thửa đất có địa chỉ tại: xã Nguyệt Đức, huyện Yên Lạc, tỉnh Vĩnh Phúc (Nay là xã Nguyệt Đức, tỉnh Vĩnh Phúc) (theo Giấy chứng nhận số </w:t>
            </w:r>
            <w:r>
              <w:rPr>
                <w:rFonts w:ascii="Times New Roman" w:hAnsi="Times New Roman" w:eastAsia="Times New Roman" w:cs="Times New Roman"/>
                <w:b/>
                <w:bCs/>
                <w:color w:val="000000" w:themeColor="text1"/>
                <w:spacing w:val="3"/>
                <w:sz w:val="24"/>
                <w:szCs w:val="24"/>
                <w:highlight w:val="white"/>
              </w:rPr>
              <w:t xml:space="preserve">DG 348156</w:t>
            </w:r>
            <w:r>
              <w:rPr>
                <w:rFonts w:ascii="Times New Roman" w:hAnsi="Times New Roman" w:eastAsia="Times New Roman" w:cs="Times New Roman"/>
                <w:b/>
                <w:bCs/>
                <w:color w:val="000000" w:themeColor="text1"/>
                <w:spacing w:val="3"/>
                <w:sz w:val="24"/>
                <w:szCs w:val="24"/>
                <w:highlight w:val="white"/>
              </w:rPr>
              <w:t xml:space="preserve">)  của Công ty Cổ phần Kehin (Chi tiết theo ba</w:t>
            </w:r>
            <w:r>
              <w:rPr>
                <w:rFonts w:ascii="Times New Roman" w:hAnsi="Times New Roman" w:eastAsia="Times New Roman" w:cs="Times New Roman"/>
                <w:b/>
                <w:bCs/>
                <w:color w:val="000000" w:themeColor="text1"/>
                <w:spacing w:val="3"/>
                <w:sz w:val="24"/>
                <w:szCs w:val="24"/>
                <w:highlight w:val="white"/>
              </w:rPr>
              <w:t xml:space="preserve">́o cáo đính kèm).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1B60018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26D726B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06D6B74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74ACB666">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2" w:type="dxa"/>
            <w:vAlign w:val="center"/>
            <w:textDirection w:val="lrTb"/>
            <w:noWrap w:val="false"/>
          </w:tcPr>
          <w:p w14:paraId="3F82F0B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54" w:type="dxa"/>
            <w:vAlign w:val="center"/>
            <w:textDirection w:val="lrTb"/>
            <w:noWrap w:val="false"/>
          </w:tcPr>
          <w:p w14:paraId="7CE56BA4">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0" w:type="dxa"/>
            <w:vAlign w:val="center"/>
            <w:textDirection w:val="lrTb"/>
            <w:noWrap w:val="false"/>
          </w:tcPr>
          <w:p w14:paraId="0514A60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48.886.000.000</w:t>
            </w:r>
            <w:r/>
          </w:p>
        </w:tc>
      </w:tr>
      <w:tr>
        <w:trPr>
          <w:trHeight w:val="309"/>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536" w:type="dxa"/>
            <w:vAlign w:val="center"/>
            <w:textDirection w:val="lrTb"/>
            <w:noWrap w:val="false"/>
          </w:tcPr>
          <w:p w14:paraId="30B98C0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i/>
                <w:color w:val="000000"/>
                <w:sz w:val="24"/>
              </w:rPr>
              <w:t xml:space="preserve">(Bằng chữ: Bốn mươi tám tỷ, tám trăm tám mươi sáu triệu đồng chẵn./.)</w:t>
            </w:r>
            <w:r/>
          </w:p>
        </w:tc>
      </w:tr>
    </w:tbl>
    <w:p w14:paraId="7A77B1A0">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348156 | Tài sản tại: Xã Nguyệt Đức, Huyện Yên Lạc, Tỉnh Vĩnh Phúc, độ rộng đường trước mặt tài sản 16.5m, mặt tiền 10m, 21.225277777777777, 105.5958611111111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348156 | Tài sản tại: Xã Nguyệt Đức, Huyện Yên Lạc, Tỉnh Vĩnh Phúc, độ rộng đường trước mặt tài sản 16.5m, mặt tiền 10m, 21.225277777777777, 105.5958611111111</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348156 | Tài sản tại: Xã Nguyệt Đức, Huyện Yên Lạc, Tỉnh Vĩnh Phúc, độ rộng đường trước mặt tài sản 16.5m, mặt tiền 10m, 21.225277777777777, 105.5958611111111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246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470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500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Có thời hạn</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500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47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Có thời hạn</w:t>
            </w:r>
            <w:r/>
          </w:p>
        </w:tc>
        <w:tc>
          <w:tcPr>
            <w:tcBorders/>
            <w:tcW w:w="1605" w:type="dxa"/>
            <w:vAlign w:val="center"/>
            <w:textDirection w:val="lrTb"/>
            <w:noWrap w:val="false"/>
          </w:tcPr>
          <w:p w14:paraId="79F97508" w14:textId="77777777">
            <w:pPr>
              <w:pBdr/>
              <w:spacing/>
              <w:ind/>
              <w:jc w:val="center"/>
              <w:rPr/>
            </w:pPr>
            <w:r>
              <w:t xml:space="preserve">Có thời hạn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16.5</w:t>
            </w:r>
            <w:r/>
          </w:p>
        </w:tc>
        <w:tc>
          <w:tcPr>
            <w:tcBorders/>
            <w:tcW w:w="1605" w:type="dxa"/>
            <w:vAlign w:val="center"/>
            <w:textDirection w:val="lrTb"/>
            <w:noWrap w:val="false"/>
          </w:tcPr>
          <w:p w14:paraId="79F97508" w14:textId="77777777">
            <w:pPr>
              <w:pBdr/>
              <w:spacing/>
              <w:ind/>
              <w:jc w:val="center"/>
              <w:rPr/>
            </w:pPr>
            <w:r>
              <w:t xml:space="preserve">16.5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470 ✔</w:t>
            </w:r>
            <w:r/>
          </w:p>
        </w:tc>
        <w:tc>
          <w:tcPr>
            <w:tcBorders/>
            <w:tcW w:w="1605" w:type="dxa"/>
            <w:vAlign w:val="center"/>
            <w:textDirection w:val="lrTb"/>
            <w:noWrap w:val="false"/>
          </w:tcPr>
          <w:p w14:paraId="79F97508" w14:textId="77777777">
            <w:pPr>
              <w:pBdr/>
              <w:spacing/>
              <w:ind/>
              <w:jc w:val="center"/>
              <w:rPr/>
            </w:pPr>
            <w:r>
              <w:t xml:space="preserve">500</w:t>
            </w:r>
            <w:r/>
          </w:p>
        </w:tc>
        <w:tc>
          <w:tcPr>
            <w:tcBorders/>
            <w:tcW w:w="1371" w:type="dxa"/>
            <w:vAlign w:val="center"/>
            <w:textDirection w:val="lrTb"/>
            <w:noWrap w:val="false"/>
          </w:tcPr>
          <w:p w14:paraId="720BC03F" w14:textId="77777777">
            <w:pPr>
              <w:pBdr/>
              <w:spacing/>
              <w:ind/>
              <w:jc w:val="center"/>
              <w:rPr/>
            </w:pPr>
            <w:r>
              <w:t xml:space="preserve">30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47 ✔</w:t>
            </w:r>
            <w:r/>
          </w:p>
        </w:tc>
        <w:tc>
          <w:tcPr>
            <w:tcBorders/>
            <w:tcW w:w="1605" w:type="dxa"/>
            <w:vAlign w:val="center"/>
            <w:textDirection w:val="lrTb"/>
            <w:noWrap w:val="false"/>
          </w:tcPr>
          <w:p w14:paraId="79F97508" w14:textId="77777777">
            <w:pPr>
              <w:pBdr/>
              <w:spacing/>
              <w:ind/>
              <w:jc w:val="center"/>
              <w:rPr/>
            </w:pPr>
            <w:r>
              <w:t xml:space="preserve">50</w:t>
            </w:r>
            <w:r/>
          </w:p>
        </w:tc>
        <w:tc>
          <w:tcPr>
            <w:tcBorders/>
            <w:tcW w:w="1371" w:type="dxa"/>
            <w:vAlign w:val="center"/>
            <w:textDirection w:val="lrTb"/>
            <w:noWrap w:val="false"/>
          </w:tcPr>
          <w:p w14:paraId="720BC03F" w14:textId="77777777">
            <w:pPr>
              <w:pBdr/>
              <w:spacing/>
              <w:ind/>
              <w:jc w:val="center"/>
              <w:rPr/>
            </w:pPr>
            <w:r>
              <w:t xml:space="preserve">-47</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16.5m, mặt tiền 10m, 21.225277777777777, 105.5958611111111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 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16.5m, mặt tiền 10m, 21.225277777777777, 105.5958611111111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775.485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10.469.052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-969.357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9.499.695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9.499.695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-484.678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 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9.015.017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10.400.000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9.015.017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7.840.000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9.085.006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14.47%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2.229.520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678.550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-13.7</w:t>
      </w:r>
      <w:r>
        <w:t xml:space="preserve">% đến</w:t>
      </w:r>
      <w:r>
        <w:t xml:space="preserve"> </w:t>
      </w:r>
      <w:r>
        <w:t xml:space="preserve"> </w:t>
      </w:r>
      <w:r>
        <w:t xml:space="preserve">14.47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10.400.000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3.467.360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9.015.017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3.004.705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7.840.000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2.613.072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9.085.137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w:t>
      </w:r>
      <w:r>
        <w:rPr>
          <w:b/>
          <w:bCs/>
          <w:color w:val="000000" w:themeColor="text1"/>
        </w:rPr>
        <w:t xml:space="preserve"> </w:t>
      </w:r>
      <w:r>
        <w:rPr>
          <w:b/>
          <w:bCs/>
        </w:rPr>
        <w:t xml:space="preserve">đồng/m².</w:t>
      </w:r>
      <w:r>
        <w:rPr>
          <w:b/>
          <w:bCs/>
        </w:rPr>
      </w:r>
      <w:r>
        <w:rPr>
          <w:b/>
          <w:bCs/>
        </w:rPr>
      </w:r>
    </w:p>
    <w:p w14:paraId="7CA7D420" w14:textId="77777777">
      <w:pPr>
        <w:pStyle w:val="102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549B54B9" w14:textId="77777777">
      <w:pPr>
        <w:pStyle w:val="1025"/>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5"/>
        <w:pBdr/>
        <w:tabs>
          <w:tab w:val="left" w:leader="none" w:pos="993"/>
        </w:tabs>
        <w:spacing w:after="120" w:before="120" w:line="276" w:lineRule="auto"/>
        <w:ind w:left="0"/>
        <w:jc w:val="both"/>
        <w:rPr/>
      </w:pPr>
      <w:r/>
      <w:r/>
    </w:p>
    <w:p w14:paraId="1556E090" w14:textId="77777777">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348156 | Tài sản tại: Xã Nguyệt Đức, Huyện Yên Lạc, Tỉnh Vĩnh Phúc, độ rộng đường trước mặt tài sản 16.5m, mặt tiền 10m, 21.225277777777777, 105.5958611111111</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470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9.000.000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4.230.000.000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4.230.000.000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4.230.000.000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hai trăm ba mươi triệu</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33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3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3.6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7.3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9.2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273</cp:revision>
  <dcterms:created xsi:type="dcterms:W3CDTF">2025-09-15T09:58:00Z</dcterms:created>
  <dcterms:modified xsi:type="dcterms:W3CDTF">2025-12-30T10:27:23Z</dcterms:modified>
</cp:coreProperties>
</file>