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HSTD-20251223-0004/CT-VFI</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KEHIN</w:t>
                            </w:r>
                            <w:r>
                              <w:rPr>
                                <w:rFonts w:ascii="Times New Roman Bold" w:hAnsi="Times New Roman Bold"/>
                                <w:b/>
                                <w:lang w:val="pt-BR"/>
                              </w:rPr>
                            </w:r>
                            <w:r>
                              <w:rPr>
                                <w:rFonts w:ascii="Times New Roman Bold" w:hAnsi="Times New Roman Bold"/>
                                <w:b/>
                                <w:lang w:val="pt-BR"/>
                              </w:rPr>
                            </w:r>
                          </w:p>
                          <w:p w14:paraId="15E3E9F1">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rFonts w:ascii="Times New Roman" w:hAnsi="Times New Roman" w:eastAsia="Times New Roman" w:cs="Times New Roman"/>
                                <w:b w:val="0"/>
                                <w:bCs w:val="0"/>
                                <w:sz w:val="24"/>
                              </w:rPr>
                            </w:pPr>
                            <w:r>
                              <w:rPr>
                                <w:b/>
                              </w:rPr>
                              <w:t xml:space="preserve">Tài sản thẩm </w:t>
                            </w:r>
                            <w:r>
                              <w:rPr>
                                <w:b/>
                              </w:rPr>
                              <w:t xml:space="preserve">định: </w:t>
                            </w:r>
                            <w:r>
                              <w:rPr>
                                <w:rFonts w:ascii="Times New Roman" w:hAnsi="Times New Roman" w:eastAsia="Times New Roman" w:cs="Times New Roman"/>
                                <w:color w:val="000000" w:themeColor="text1"/>
                                <w:spacing w:val="3"/>
                                <w:sz w:val="24"/>
                                <w:szCs w:val="24"/>
                                <w:highlight w:val="white"/>
                              </w:rPr>
                              <w:t xml:space="preserve">Quyền sử dụng đất thuê trả tiền một lần của các thửa đất có địa chỉ tại: xã Nguyệt Đức, huyện Yên Lạc, tỉnh Vĩnh Phúc (Nay là xã Nguyệt Đức, tỉnh Vĩnh Phúc) (theo Giấy chứng nhận số </w:t>
                            </w:r>
                            <w:r>
                              <w:rPr>
                                <w:rFonts w:ascii="Times New Roman" w:hAnsi="Times New Roman" w:eastAsia="Times New Roman" w:cs="Times New Roman"/>
                                <w:color w:val="000000" w:themeColor="text1"/>
                                <w:spacing w:val="3"/>
                                <w:sz w:val="24"/>
                                <w:szCs w:val="24"/>
                                <w:highlight w:val="white"/>
                              </w:rPr>
                              <w:t xml:space="preserve"> DG 348158 </w:t>
                            </w:r>
                            <w:r>
                              <w:rPr>
                                <w:rFonts w:ascii="Times New Roman" w:hAnsi="Times New Roman" w:eastAsia="Times New Roman" w:cs="Times New Roman"/>
                                <w:color w:val="000000" w:themeColor="text1"/>
                                <w:spacing w:val="3"/>
                                <w:sz w:val="24"/>
                                <w:szCs w:val="24"/>
                                <w:highlight w:val="white"/>
                              </w:rPr>
                              <w:t xml:space="preserve">)  của Công ty Cổ phần Kehin (Chi tiết theo ba</w:t>
                            </w:r>
                            <w:r>
                              <w:rPr>
                                <w:rFonts w:ascii="Times New Roman" w:hAnsi="Times New Roman" w:eastAsia="Times New Roman" w:cs="Times New Roman"/>
                                <w:color w:val="000000" w:themeColor="text1"/>
                                <w:spacing w:val="3"/>
                                <w:sz w:val="24"/>
                                <w:szCs w:val="24"/>
                                <w:highlight w:val="white"/>
                              </w:rPr>
                              <w:t xml:space="preserve">́o cáo đính kèm).</w:t>
                            </w:r>
                            <w:r>
                              <w:rPr>
                                <w:rFonts w:ascii="Times New Roman" w:hAnsi="Times New Roman" w:eastAsia="Times New Roman" w:cs="Times New Roman"/>
                                <w:b w:val="0"/>
                                <w:bCs w:val="0"/>
                                <w:sz w:val="24"/>
                              </w:rPr>
                            </w:r>
                            <w:r>
                              <w:rPr>
                                <w:rFonts w:ascii="Times New Roman" w:hAnsi="Times New Roman" w:eastAsia="Times New Roman" w:cs="Times New Roman"/>
                                <w:b w:val="0"/>
                                <w:bCs w:val="0"/>
                                <w:sz w:val="24"/>
                              </w:rPr>
                            </w:r>
                          </w:p>
                          <w:p w14:paraId="3BFEB20E">
                            <w:pPr>
                              <w:pBdr/>
                              <w:spacing w:after="120" w:before="120" w:line="360" w:lineRule="auto"/>
                              <w:ind/>
                              <w:jc w:val="both"/>
                              <w:rPr>
                                <w:b w:val="0"/>
                                <w:bCs w:val="0"/>
                                <w:i/>
                              </w:rPr>
                            </w:pPr>
                            <w:r>
                              <w:rPr>
                                <w:b w:val="0"/>
                                <w:bCs w:val="0"/>
                              </w:rPr>
                            </w:r>
                            <w:r>
                              <w:rPr>
                                <w:b w:val="0"/>
                                <w:bCs w:val="0"/>
                                <w:i/>
                                <w:iCs/>
                              </w:rPr>
                              <w:t xml:space="preserve">.</w:t>
                            </w:r>
                            <w:r>
                              <w:rPr>
                                <w:b w:val="0"/>
                                <w:bCs w:val="0"/>
                              </w:rPr>
                            </w:r>
                            <w:r>
                              <w:rPr>
                                <w:b w:val="0"/>
                                <w:bCs w:val="0"/>
                                <w:i/>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HSTD-20251223-0004/CT-VFI</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KEHIN</w:t>
                      </w:r>
                      <w:r>
                        <w:rPr>
                          <w:rFonts w:ascii="Times New Roman Bold" w:hAnsi="Times New Roman Bold"/>
                          <w:b/>
                          <w:lang w:val="pt-BR"/>
                        </w:rPr>
                      </w:r>
                      <w:r>
                        <w:rPr>
                          <w:rFonts w:ascii="Times New Roman Bold" w:hAnsi="Times New Roman Bold"/>
                          <w:b/>
                          <w:lang w:val="pt-BR"/>
                        </w:rPr>
                      </w:r>
                    </w:p>
                    <w:p w14:paraId="15E3E9F1">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rFonts w:ascii="Times New Roman" w:hAnsi="Times New Roman" w:eastAsia="Times New Roman" w:cs="Times New Roman"/>
                          <w:b w:val="0"/>
                          <w:bCs w:val="0"/>
                          <w:sz w:val="24"/>
                        </w:rPr>
                      </w:pPr>
                      <w:r>
                        <w:rPr>
                          <w:b/>
                        </w:rPr>
                        <w:t xml:space="preserve">Tài sản thẩm </w:t>
                      </w:r>
                      <w:r>
                        <w:rPr>
                          <w:b/>
                        </w:rPr>
                        <w:t xml:space="preserve">định: </w:t>
                      </w:r>
                      <w:r>
                        <w:rPr>
                          <w:rFonts w:ascii="Times New Roman" w:hAnsi="Times New Roman" w:eastAsia="Times New Roman" w:cs="Times New Roman"/>
                          <w:color w:val="000000" w:themeColor="text1"/>
                          <w:spacing w:val="3"/>
                          <w:sz w:val="24"/>
                          <w:szCs w:val="24"/>
                          <w:highlight w:val="white"/>
                        </w:rPr>
                        <w:t xml:space="preserve">Quyền sử dụng đất thuê trả tiền một lần của các thửa đất có địa chỉ tại: xã Nguyệt Đức, huyện Yên Lạc, tỉnh Vĩnh Phúc (Nay là xã Nguyệt Đức, tỉnh Vĩnh Phúc) (theo Giấy chứng nhận số </w:t>
                      </w:r>
                      <w:r>
                        <w:rPr>
                          <w:rFonts w:ascii="Times New Roman" w:hAnsi="Times New Roman" w:eastAsia="Times New Roman" w:cs="Times New Roman"/>
                          <w:color w:val="000000" w:themeColor="text1"/>
                          <w:spacing w:val="3"/>
                          <w:sz w:val="24"/>
                          <w:szCs w:val="24"/>
                          <w:highlight w:val="white"/>
                        </w:rPr>
                        <w:t xml:space="preserve"> DG 348158 </w:t>
                      </w:r>
                      <w:r>
                        <w:rPr>
                          <w:rFonts w:ascii="Times New Roman" w:hAnsi="Times New Roman" w:eastAsia="Times New Roman" w:cs="Times New Roman"/>
                          <w:color w:val="000000" w:themeColor="text1"/>
                          <w:spacing w:val="3"/>
                          <w:sz w:val="24"/>
                          <w:szCs w:val="24"/>
                          <w:highlight w:val="white"/>
                        </w:rPr>
                        <w:t xml:space="preserve">)  của Công ty Cổ phần Kehin (Chi tiết theo ba</w:t>
                      </w:r>
                      <w:r>
                        <w:rPr>
                          <w:rFonts w:ascii="Times New Roman" w:hAnsi="Times New Roman" w:eastAsia="Times New Roman" w:cs="Times New Roman"/>
                          <w:color w:val="000000" w:themeColor="text1"/>
                          <w:spacing w:val="3"/>
                          <w:sz w:val="24"/>
                          <w:szCs w:val="24"/>
                          <w:highlight w:val="white"/>
                        </w:rPr>
                        <w:t xml:space="preserve">́o cáo đính kèm).</w:t>
                      </w:r>
                      <w:r>
                        <w:rPr>
                          <w:rFonts w:ascii="Times New Roman" w:hAnsi="Times New Roman" w:eastAsia="Times New Roman" w:cs="Times New Roman"/>
                          <w:b w:val="0"/>
                          <w:bCs w:val="0"/>
                          <w:sz w:val="24"/>
                        </w:rPr>
                      </w:r>
                      <w:r>
                        <w:rPr>
                          <w:rFonts w:ascii="Times New Roman" w:hAnsi="Times New Roman" w:eastAsia="Times New Roman" w:cs="Times New Roman"/>
                          <w:b w:val="0"/>
                          <w:bCs w:val="0"/>
                          <w:sz w:val="24"/>
                        </w:rPr>
                      </w:r>
                    </w:p>
                    <w:p w14:paraId="3BFEB20E">
                      <w:pPr>
                        <w:pBdr/>
                        <w:spacing w:after="120" w:before="120" w:line="360" w:lineRule="auto"/>
                        <w:ind/>
                        <w:jc w:val="both"/>
                        <w:rPr>
                          <w:b w:val="0"/>
                          <w:bCs w:val="0"/>
                          <w:i/>
                        </w:rPr>
                      </w:pPr>
                      <w:r>
                        <w:rPr>
                          <w:b w:val="0"/>
                          <w:bCs w:val="0"/>
                        </w:rPr>
                      </w:r>
                      <w:r>
                        <w:rPr>
                          <w:b w:val="0"/>
                          <w:bCs w:val="0"/>
                          <w:i/>
                          <w:iCs/>
                        </w:rPr>
                        <w:t xml:space="preserve">.</w:t>
                      </w:r>
                      <w:r>
                        <w:rPr>
                          <w:b w:val="0"/>
                          <w:bCs w:val="0"/>
                        </w:rPr>
                      </w:r>
                      <w:r>
                        <w:rPr>
                          <w:b w:val="0"/>
                          <w:bCs w:val="0"/>
                          <w:i/>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4"/>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4"/>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23"/>
              <w:pBdr/>
              <w:spacing w:after="60" w:before="200"/>
              <w:ind/>
              <w:rPr>
                <w:rStyle w:val="1022"/>
                <w:rFonts w:ascii="Times New Roman" w:hAnsi="Times New Roman"/>
                <w:color w:val="auto"/>
                <w:lang w:val="pt-BR"/>
              </w:rPr>
            </w:pPr>
            <w:r>
              <w:rPr>
                <w:rFonts w:ascii="Times New Roman" w:hAnsi="Times New Roman"/>
                <w:color w:val="auto"/>
                <w:lang w:val="pt-BR"/>
              </w:rPr>
            </w:r>
            <w:r>
              <w:rPr>
                <w:rStyle w:val="1022"/>
                <w:rFonts w:ascii="Times New Roman" w:hAnsi="Times New Roman"/>
                <w:color w:val="auto"/>
                <w:lang w:val="pt-BR"/>
              </w:rPr>
            </w:r>
            <w:r>
              <w:rPr>
                <w:rStyle w:val="1022"/>
                <w:rFonts w:ascii="Times New Roman" w:hAnsi="Times New Roman"/>
                <w:color w:val="auto"/>
                <w:lang w:val="pt-BR"/>
              </w:rPr>
            </w:r>
          </w:p>
          <w:p w14:paraId="189019A0" w14:textId="50D2DFCA">
            <w:pPr>
              <w:pStyle w:val="1023"/>
              <w:pBdr/>
              <w:spacing w:after="60" w:before="200"/>
              <w:ind/>
              <w:rPr>
                <w:sz w:val="24"/>
                <w:szCs w:val="24"/>
              </w:rPr>
            </w:pPr>
            <w:r>
              <w:rPr>
                <w:rStyle w:val="1022"/>
                <w:rFonts w:ascii="Times New Roman" w:hAnsi="Times New Roman"/>
                <w:color w:val="auto"/>
                <w:lang w:val="pt-BR"/>
              </w:rPr>
              <w:t xml:space="preserve">Số:</w:t>
            </w:r>
            <w:r>
              <w:rPr>
                <w:rStyle w:val="1022"/>
                <w:rFonts w:ascii="Times New Roman" w:hAnsi="Times New Roman"/>
                <w:color w:val="auto"/>
                <w:lang w:val="pt-BR"/>
              </w:rPr>
              <w:t xml:space="preserve"> </w:t>
            </w:r>
            <w:r>
              <w:rPr>
                <w:rStyle w:val="1022"/>
                <w:rFonts w:ascii="Times New Roman" w:hAnsi="Times New Roman"/>
                <w:color w:val="000000" w:themeColor="text1"/>
                <w:lang w:val="pt-BR"/>
              </w:rPr>
              <w:t xml:space="preserve">HSTD-20251223-0004/CT-VFI</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23"/>
              <w:pBdr/>
              <w:spacing w:after="60" w:before="200"/>
              <w:ind w:right="-56"/>
              <w:rPr>
                <w:rStyle w:val="1022"/>
                <w:rFonts w:ascii="Times New Roman" w:hAnsi="Times New Roman"/>
                <w:i/>
                <w:color w:val="auto"/>
              </w:rPr>
            </w:pPr>
            <w:r>
              <w:rPr>
                <w:rFonts w:ascii="Times New Roman" w:hAnsi="Times New Roman"/>
                <w:i/>
                <w:color w:val="auto"/>
              </w:rPr>
            </w:r>
            <w:r>
              <w:rPr>
                <w:rStyle w:val="1022"/>
                <w:rFonts w:ascii="Times New Roman" w:hAnsi="Times New Roman"/>
                <w:i/>
                <w:color w:val="auto"/>
              </w:rPr>
            </w:r>
            <w:r>
              <w:rPr>
                <w:rStyle w:val="1022"/>
                <w:rFonts w:ascii="Times New Roman" w:hAnsi="Times New Roman"/>
                <w:i/>
                <w:color w:val="auto"/>
              </w:rPr>
            </w:r>
          </w:p>
          <w:p w14:paraId="6B33CD77" w14:textId="29BAA06D">
            <w:pPr>
              <w:pStyle w:val="1023"/>
              <w:pBdr/>
              <w:spacing w:after="60" w:before="200"/>
              <w:ind w:right="-56"/>
              <w:jc w:val="right"/>
              <w:rPr>
                <w:sz w:val="24"/>
                <w:szCs w:val="24"/>
                <w:lang w:val="vi-VN"/>
              </w:rPr>
            </w:pPr>
            <w:r>
              <w:rPr>
                <w:rStyle w:val="1022"/>
                <w:rFonts w:ascii="Times New Roman" w:hAnsi="Times New Roman"/>
                <w:i/>
                <w:color w:val="auto"/>
              </w:rPr>
              <w:t xml:space="preserve">TP. </w:t>
            </w:r>
            <w:r>
              <w:rPr>
                <w:rStyle w:val="1022"/>
                <w:rFonts w:ascii="Times New Roman" w:hAnsi="Times New Roman"/>
                <w:i/>
                <w:color w:val="auto"/>
              </w:rPr>
              <w:t xml:space="preserve">Hà 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30 tháng 12 năm 2025</w:t>
            </w:r>
            <w:r>
              <w:rPr>
                <w:rStyle w:val="1022"/>
                <w:rFonts w:ascii="Times New Roman" w:hAnsi="Times New Roman"/>
                <w:i/>
                <w:color w:val="auto"/>
                <w:lang w:val="vi-VN"/>
              </w:rPr>
              <w:t xml:space="preserve">   </w:t>
            </w:r>
            <w:r>
              <w:rPr>
                <w:rStyle w:val="1022"/>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23"/>
        <w:pBdr/>
        <w:spacing w:after="120" w:before="200" w:line="288" w:lineRule="auto"/>
        <w:ind/>
        <w:jc w:val="center"/>
        <w:rPr>
          <w:rStyle w:val="1022"/>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KEHIN</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HSTD-20251223-0004/HĐTĐ-VFI</w:t>
      </w:r>
      <w:r>
        <w:rPr>
          <w:spacing w:val="-4"/>
          <w:lang w:val="vi-VN"/>
        </w:rPr>
        <w:t xml:space="preserve"> ký ngày </w:t>
      </w:r>
      <w:r>
        <w:rPr>
          <w:color w:val="000000" w:themeColor="text1"/>
          <w:spacing w:val="-4"/>
        </w:rPr>
        <w:t xml:space="preserve">5 tháng 9 năm 2025</w:t>
      </w:r>
      <w:r>
        <w:rPr>
          <w:spacing w:val="-4"/>
          <w:lang w:val="vi-VN"/>
        </w:rPr>
        <w:t xml:space="preserve"> </w:t>
      </w:r>
      <w:r>
        <w:rPr>
          <w:spacing w:val="-4"/>
          <w:lang w:val="vi-VN"/>
        </w:rPr>
        <w:t xml:space="preserve">giữa </w:t>
      </w:r>
      <w:r>
        <w:rPr>
          <w:color w:val="000000" w:themeColor="text1"/>
          <w:spacing w:val="-4"/>
        </w:rPr>
        <w:t xml:space="preserve">CÔNG TY CỔ PHẦN KEHIN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HSTD-20251223-0004/BC-VFI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30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CÔNG TY CỔ PHẦN KEHIN</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Mã số thuế</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2500234786</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Ông Nguyễn Văn Kết</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Chức vụ</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Giám đốc</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 trụ sở</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Toàn nhà Kết Hiền, số nhà 1, đường Mê Linh, phường Liên Bảo, TP. Vĩnh Yên, tỉnh Vĩnh Phúc</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15E3E9F1">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rFonts w:ascii="Times New Roman" w:hAnsi="Times New Roman" w:eastAsia="Times New Roman" w:cs="Times New Roman"/>
          <w:b w:val="0"/>
          <w:bCs w:val="0"/>
          <w:sz w:val="24"/>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themeColor="text1"/>
          <w:spacing w:val="3"/>
          <w:sz w:val="24"/>
          <w:szCs w:val="24"/>
          <w:highlight w:val="white"/>
        </w:rPr>
        <w:t xml:space="preserve">Quyền sử dụng đất thuê trả tiền một lần của các thửa đất có địa chỉ tại: xã Nguyệt Đức, huyện Yên Lạc, tỉnh Vĩnh Phúc (Nay là xã Nguyệt Đức, tỉnh Vĩnh Phúc) (theo Giấy chứng nhận số </w:t>
      </w:r>
      <w:r>
        <w:rPr>
          <w:rFonts w:ascii="Times New Roman" w:hAnsi="Times New Roman" w:eastAsia="Times New Roman" w:cs="Times New Roman"/>
          <w:color w:val="000000" w:themeColor="text1"/>
          <w:spacing w:val="3"/>
          <w:sz w:val="24"/>
          <w:szCs w:val="24"/>
          <w:highlight w:val="white"/>
        </w:rPr>
        <w:t xml:space="preserve"> DG 348158 </w:t>
      </w:r>
      <w:r>
        <w:rPr>
          <w:rFonts w:ascii="Times New Roman" w:hAnsi="Times New Roman" w:eastAsia="Times New Roman" w:cs="Times New Roman"/>
          <w:color w:val="000000" w:themeColor="text1"/>
          <w:spacing w:val="3"/>
          <w:sz w:val="24"/>
          <w:szCs w:val="24"/>
          <w:highlight w:val="white"/>
        </w:rPr>
        <w:t xml:space="preserve">)  của Công ty Cổ phần Kehin (Chi tiết theo ba</w:t>
      </w:r>
      <w:r>
        <w:rPr>
          <w:rFonts w:ascii="Times New Roman" w:hAnsi="Times New Roman" w:eastAsia="Times New Roman" w:cs="Times New Roman"/>
          <w:color w:val="000000" w:themeColor="text1"/>
          <w:spacing w:val="3"/>
          <w:sz w:val="24"/>
          <w:szCs w:val="24"/>
          <w:highlight w:val="white"/>
        </w:rPr>
        <w:t xml:space="preserve">́o cáo đính kèm).</w:t>
      </w:r>
      <w:r>
        <w:rPr>
          <w:rFonts w:ascii="Times New Roman" w:hAnsi="Times New Roman" w:eastAsia="Times New Roman" w:cs="Times New Roman"/>
          <w:b w:val="0"/>
          <w:bCs w:val="0"/>
          <w:sz w:val="24"/>
        </w:rPr>
      </w:r>
      <w:r>
        <w:rPr>
          <w:rFonts w:ascii="Times New Roman" w:hAnsi="Times New Roman" w:eastAsia="Times New Roman" w:cs="Times New Roman"/>
          <w:b w:val="0"/>
          <w:bCs w:val="0"/>
          <w:sz w:val="24"/>
        </w:rPr>
      </w:r>
    </w:p>
    <w:p w14:paraId="00FC9929">
      <w:pPr>
        <w:pBdr/>
        <w:spacing w:after="120" w:before="120" w:line="312" w:lineRule="auto"/>
        <w:ind/>
        <w:jc w:val="both"/>
        <w:rPr>
          <w:b w:val="0"/>
          <w:bCs w:val="0"/>
        </w:rPr>
      </w:pPr>
      <w:r>
        <w:rPr>
          <w:b w:val="0"/>
          <w:bCs w:val="0"/>
          <w:color w:val="000000" w:themeColor="text1"/>
        </w:rPr>
      </w:r>
      <w:r>
        <w:rPr>
          <w:b w:val="0"/>
          <w:bCs w:val="0"/>
        </w:rPr>
      </w:r>
      <w:r>
        <w:rPr>
          <w:b w:val="0"/>
          <w:bCs w:val="0"/>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rPr>
          <w:highlight w:val="none"/>
          <w:lang w:val="vi-VN"/>
        </w:rPr>
      </w:r>
    </w:p>
    <w:tbl>
      <w:tblPr>
        <w:tblStyle w:val="102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482"/>
        <w:gridCol w:w="1368"/>
        <w:gridCol w:w="2127"/>
        <w:gridCol w:w="2759"/>
        <w:gridCol w:w="1800"/>
      </w:tblGrid>
      <w:tr>
        <w:trPr>
          <w:trHeight w:val="624"/>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482" w:type="dxa"/>
            <w:vAlign w:val="center"/>
            <w:textDirection w:val="lrTb"/>
            <w:noWrap w:val="false"/>
          </w:tcPr>
          <w:p w14:paraId="20DF4384">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68" w:type="dxa"/>
            <w:vAlign w:val="center"/>
            <w:textDirection w:val="lrTb"/>
            <w:noWrap w:val="false"/>
          </w:tcPr>
          <w:p w14:paraId="3EB58E72">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14:paraId="6C5C3CD7">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759" w:type="dxa"/>
            <w:vAlign w:val="center"/>
            <w:textDirection w:val="lrTb"/>
            <w:noWrap w:val="false"/>
          </w:tcPr>
          <w:p w14:paraId="05F40C21">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14:paraId="41E7B6EB">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17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82" w:type="dxa"/>
            <w:vAlign w:val="center"/>
            <w:textDirection w:val="lrTb"/>
            <w:noWrap w:val="false"/>
          </w:tcPr>
          <w:p w14:paraId="511F8EE0">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1</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254" w:type="dxa"/>
            <w:vAlign w:val="center"/>
            <w:textDirection w:val="lrTb"/>
            <w:noWrap w:val="false"/>
          </w:tcPr>
          <w:p w14:paraId="1D7165BA">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pPr>
            <w:r>
              <w:rPr>
                <w:rFonts w:ascii="Times New Roman" w:hAnsi="Times New Roman" w:eastAsia="Times New Roman" w:cs="Times New Roman"/>
                <w:b/>
                <w:color w:val="000000"/>
                <w:sz w:val="24"/>
              </w:rPr>
            </w:r>
            <w:r>
              <w:rPr>
                <w:rFonts w:ascii="Times New Roman" w:hAnsi="Times New Roman" w:eastAsia="Times New Roman" w:cs="Times New Roman"/>
                <w:b/>
                <w:bCs/>
                <w:color w:val="000000" w:themeColor="text1"/>
                <w:spacing w:val="3"/>
                <w:sz w:val="24"/>
                <w:szCs w:val="24"/>
                <w:highlight w:val="white"/>
              </w:rPr>
              <w:t xml:space="preserve">Quyền sử dụng đất thuê trả tiền một lần của các thửa đất có địa chỉ tại: xã Nguyệt Đức, huyện Yên Lạc, tỉnh Vĩnh Phúc (Nay là xã Nguyệt Đức, tỉnh Vĩnh Phúc) (theo Giấy chứng nhận số </w:t>
            </w:r>
            <w:r>
              <w:rPr>
                <w:rFonts w:ascii="Times New Roman" w:hAnsi="Times New Roman" w:eastAsia="Times New Roman" w:cs="Times New Roman"/>
                <w:b/>
                <w:bCs/>
                <w:color w:val="000000" w:themeColor="text1"/>
                <w:spacing w:val="3"/>
                <w:sz w:val="24"/>
                <w:szCs w:val="24"/>
                <w:highlight w:val="white"/>
              </w:rPr>
              <w:t xml:space="preserve"> DG 348158 </w:t>
            </w:r>
            <w:r>
              <w:rPr>
                <w:rFonts w:ascii="Times New Roman" w:hAnsi="Times New Roman" w:eastAsia="Times New Roman" w:cs="Times New Roman"/>
                <w:b/>
                <w:bCs/>
                <w:color w:val="000000" w:themeColor="text1"/>
                <w:spacing w:val="3"/>
                <w:sz w:val="24"/>
                <w:szCs w:val="24"/>
                <w:highlight w:val="white"/>
              </w:rPr>
              <w:t xml:space="preserve">)  của Công ty Cổ phần Kehin (Chi tiết theo ba</w:t>
            </w:r>
            <w:r>
              <w:rPr>
                <w:rFonts w:ascii="Times New Roman" w:hAnsi="Times New Roman" w:eastAsia="Times New Roman" w:cs="Times New Roman"/>
                <w:b/>
                <w:bCs/>
                <w:color w:val="000000" w:themeColor="text1"/>
                <w:spacing w:val="3"/>
                <w:sz w:val="24"/>
                <w:szCs w:val="24"/>
                <w:highlight w:val="white"/>
              </w:rPr>
              <w:t xml:space="preserve">́o cáo đính kèm)</w:t>
            </w:r>
            <w:r>
              <w:rPr>
                <w:rFonts w:ascii="Times New Roman" w:hAnsi="Times New Roman" w:eastAsia="Times New Roman" w:cs="Times New Roman"/>
                <w:color w:val="000000" w:themeColor="text1"/>
                <w:spacing w:val="3"/>
                <w:sz w:val="24"/>
                <w:szCs w:val="24"/>
                <w:highlight w:val="white"/>
              </w:rPr>
              <w:t xml:space="preserve">.</w:t>
            </w:r>
            <w:r>
              <w:rPr>
                <w:rFonts w:ascii="Times New Roman" w:hAnsi="Times New Roman" w:eastAsia="Times New Roman" w:cs="Times New Roman"/>
                <w:b/>
                <w:color w:val="000000"/>
                <w:sz w:val="24"/>
              </w:r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14:paraId="64FB4AE5">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right"/>
              <w:rPr/>
            </w:pPr>
            <w:r>
              <w:rPr>
                <w:rFonts w:ascii="Times New Roman" w:hAnsi="Times New Roman" w:eastAsia="Times New Roman" w:cs="Times New Roman"/>
                <w:b/>
                <w:color w:val="000000"/>
                <w:sz w:val="24"/>
              </w:rPr>
              <w:t xml:space="preserve">48.886.000.000</w:t>
            </w:r>
            <w:r/>
          </w:p>
        </w:tc>
      </w:tr>
      <w:tr>
        <w:trPr>
          <w:trHeight w:val="33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82" w:type="dxa"/>
            <w:vAlign w:val="center"/>
            <w:textDirection w:val="lrTb"/>
            <w:noWrap w:val="false"/>
          </w:tcPr>
          <w:p w14:paraId="6B33508E">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254" w:type="dxa"/>
            <w:vAlign w:val="center"/>
            <w:textDirection w:val="lrTb"/>
            <w:noWrap w:val="false"/>
          </w:tcPr>
          <w:p w14:paraId="6D517027">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Tổng cộng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14:paraId="5CB506B9">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right"/>
              <w:rPr/>
            </w:pPr>
            <w:r>
              <w:rPr>
                <w:rFonts w:ascii="Times New Roman" w:hAnsi="Times New Roman" w:eastAsia="Times New Roman" w:cs="Times New Roman"/>
                <w:b/>
                <w:color w:val="000000"/>
                <w:sz w:val="24"/>
              </w:rPr>
              <w:t xml:space="preserve">48.886.000.000</w:t>
            </w:r>
            <w:r/>
          </w:p>
        </w:tc>
      </w:tr>
      <w:tr>
        <w:trPr>
          <w:trHeight w:val="33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82" w:type="dxa"/>
            <w:vAlign w:val="center"/>
            <w:textDirection w:val="lrTb"/>
            <w:noWrap w:val="false"/>
          </w:tcPr>
          <w:p w14:paraId="5F882B67">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254" w:type="dxa"/>
            <w:vAlign w:val="center"/>
            <w:textDirection w:val="lrTb"/>
            <w:noWrap w:val="false"/>
          </w:tcPr>
          <w:p w14:paraId="4BC5A336">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14:paraId="340585AA">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right"/>
              <w:rPr/>
            </w:pPr>
            <w:r>
              <w:rPr>
                <w:rFonts w:ascii="Times New Roman" w:hAnsi="Times New Roman" w:eastAsia="Times New Roman" w:cs="Times New Roman"/>
                <w:b/>
                <w:color w:val="000000"/>
                <w:sz w:val="24"/>
              </w:rPr>
              <w:t xml:space="preserve">48.886.000.000</w:t>
            </w:r>
            <w:r/>
          </w:p>
        </w:tc>
      </w:tr>
      <w:tr>
        <w:trPr>
          <w:trHeight w:val="309"/>
        </w:trPr>
        <w:tc>
          <w:tcPr>
            <w:gridSpan w:val="5"/>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536" w:type="dxa"/>
            <w:vAlign w:val="center"/>
            <w:textDirection w:val="lrTb"/>
            <w:noWrap w:val="false"/>
          </w:tcPr>
          <w:p w14:paraId="6AF162C1">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i/>
                <w:color w:val="000000"/>
                <w:sz w:val="24"/>
              </w:rPr>
              <w:t xml:space="preserve">(Bằng chữ: Bốn mươi tám tỷ, tám trăm tám mươi sáu triệu đồng chẵn./.)</w:t>
            </w:r>
            <w:r/>
          </w:p>
        </w:tc>
      </w:tr>
    </w:tbl>
    <w:p w14:paraId="185207D5">
      <w:pPr>
        <w:pBdr/>
        <w:spacing w:after="120" w:before="120" w:line="312" w:lineRule="auto"/>
        <w:ind/>
        <w:jc w:val="both"/>
        <w:rPr/>
      </w:pPr>
      <w:r>
        <w:rPr>
          <w:highlight w:val="none"/>
          <w:lang w:val="vi-VN"/>
        </w:rPr>
      </w:r>
      <w:r>
        <w:rPr>
          <w:highlight w:val="none"/>
          <w:lang w:val="vi-VN"/>
        </w:rPr>
      </w:r>
      <w:r/>
    </w:p>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23"/>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23"/>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HSTD-20251223-0004/BC-VFI</w:t>
            </w:r>
            <w:r>
              <w:rPr>
                <w:sz w:val="24"/>
                <w:szCs w:val="24"/>
              </w:rPr>
            </w:r>
            <w:r>
              <w:rPr>
                <w:sz w:val="24"/>
                <w:szCs w:val="24"/>
              </w:rPr>
            </w:r>
          </w:p>
        </w:tc>
        <w:tc>
          <w:tcPr>
            <w:tcBorders/>
            <w:tcW w:w="4781" w:type="dxa"/>
            <w:textDirection w:val="lrTb"/>
            <w:noWrap w:val="false"/>
          </w:tcPr>
          <w:p w14:paraId="4E249833" w14:textId="77777777">
            <w:pPr>
              <w:pStyle w:val="1023"/>
              <w:pBdr/>
              <w:tabs>
                <w:tab w:val="left" w:leader="none" w:pos="5103"/>
              </w:tabs>
              <w:spacing w:before="100" w:line="360" w:lineRule="auto"/>
              <w:ind/>
              <w:jc w:val="right"/>
              <w:rPr>
                <w:rStyle w:val="1022"/>
                <w:rFonts w:ascii="Times New Roman" w:hAnsi="Times New Roman"/>
                <w:i/>
                <w:color w:val="auto"/>
              </w:rPr>
            </w:pPr>
            <w:r>
              <w:rPr>
                <w:rFonts w:ascii="Times New Roman" w:hAnsi="Times New Roman"/>
                <w:i/>
                <w:color w:val="auto"/>
              </w:rPr>
            </w:r>
            <w:r>
              <w:rPr>
                <w:rStyle w:val="1022"/>
                <w:rFonts w:ascii="Times New Roman" w:hAnsi="Times New Roman"/>
                <w:i/>
                <w:color w:val="auto"/>
              </w:rPr>
            </w:r>
            <w:r>
              <w:rPr>
                <w:rStyle w:val="1022"/>
                <w:rFonts w:ascii="Times New Roman" w:hAnsi="Times New Roman"/>
                <w:i/>
                <w:color w:val="auto"/>
              </w:rPr>
            </w:r>
          </w:p>
          <w:p w14:paraId="1C1E2870" w14:textId="207F25D6">
            <w:pPr>
              <w:pStyle w:val="1023"/>
              <w:pBdr/>
              <w:tabs>
                <w:tab w:val="left" w:leader="none" w:pos="5103"/>
              </w:tabs>
              <w:spacing w:before="100" w:line="360" w:lineRule="auto"/>
              <w:ind/>
              <w:jc w:val="right"/>
              <w:rPr>
                <w:i/>
                <w:iCs/>
                <w:sz w:val="24"/>
                <w:szCs w:val="24"/>
              </w:rPr>
            </w:pPr>
            <w:r>
              <w:rPr>
                <w:rStyle w:val="1022"/>
                <w:rFonts w:ascii="Times New Roman" w:hAnsi="Times New Roman"/>
                <w:i/>
                <w:color w:val="auto"/>
              </w:rPr>
              <w:t xml:space="preserve">TP</w:t>
            </w:r>
            <w:r>
              <w:rPr>
                <w:rStyle w:val="1022"/>
                <w:rFonts w:ascii="Times New Roman" w:hAnsi="Times New Roman"/>
                <w:color w:val="auto"/>
              </w:rPr>
              <w:t xml:space="preserve">. </w:t>
            </w:r>
            <w:r>
              <w:rPr>
                <w:rStyle w:val="1022"/>
                <w:rFonts w:ascii="Times New Roman" w:hAnsi="Times New Roman"/>
                <w:i/>
                <w:color w:val="auto"/>
              </w:rPr>
              <w:t xml:space="preserve">Hà Nội</w:t>
            </w:r>
            <w:r>
              <w:rPr>
                <w:rStyle w:val="1022"/>
                <w:rFonts w:ascii="Times New Roman" w:hAnsi="Times New Roman"/>
                <w:i/>
                <w:color w:val="auto"/>
                <w:lang w:val="vi-VN"/>
              </w:rPr>
              <w:t xml:space="preserve">, </w:t>
            </w:r>
            <w:r>
              <w:rPr>
                <w:i/>
                <w:iCs/>
                <w:color w:val="000000" w:themeColor="text1"/>
                <w:sz w:val="24"/>
                <w:szCs w:val="24"/>
                <w:lang w:val="pt-BR"/>
              </w:rPr>
              <w:t xml:space="preserve">ngày 30 tháng 12 năm 2025</w:t>
            </w:r>
            <w:r>
              <w:rPr>
                <w:rStyle w:val="1022"/>
                <w:rFonts w:ascii="Times New Roman" w:hAnsi="Times New Roman"/>
                <w:i/>
                <w:color w:val="auto"/>
                <w:lang w:val="vi-VN"/>
              </w:rPr>
              <w:t xml:space="preserve">   </w:t>
            </w:r>
            <w:r>
              <w:rPr>
                <w:rStyle w:val="1022"/>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23"/>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HSTD-20251223-0004/CT-VFI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30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CÔNG TY CỔ PHẦN KEHIN</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Mã số thuế</w:t>
            </w:r>
            <w:r>
              <w:rPr>
                <w:bCs/>
                <w:lang w:val="pt-BR"/>
              </w:rPr>
            </w:r>
            <w:r>
              <w:rPr>
                <w:bCs/>
                <w:lang w:val="pt-BR"/>
              </w:rPr>
            </w:r>
          </w:p>
        </w:tc>
        <w:tc>
          <w:tcPr>
            <w:tcBorders/>
            <w:tcW w:w="284" w:type="dxa"/>
            <w:vAlign w:val="center"/>
            <w:textDirection w:val="lrTb"/>
            <w:noWrap w:val="false"/>
          </w:tcPr>
          <w:p w14:paraId="4FB60CA1" w14:textId="18A46E2A">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2500234786</w:t>
            </w:r>
            <w:r>
              <w:rPr>
                <w:b/>
                <w:bCs/>
              </w:rPr>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Đại diện</w:t>
            </w:r>
            <w:r>
              <w:rPr>
                <w:bCs/>
                <w:lang w:val="pt-BR"/>
              </w:rPr>
            </w:r>
            <w:r>
              <w:rPr>
                <w:bCs/>
                <w:lang w:val="pt-BR"/>
              </w:rPr>
            </w:r>
          </w:p>
        </w:tc>
        <w:tc>
          <w:tcPr>
            <w:tcBorders/>
            <w:tcW w:w="284" w:type="dxa"/>
            <w:vAlign w:val="center"/>
            <w:textDirection w:val="lrTb"/>
            <w:noWrap w:val="false"/>
          </w:tcPr>
          <w:p w14:paraId="4FB60CA1" w14:textId="18A46E2A">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Ông Nguyễn Văn Kết</w:t>
            </w:r>
            <w:r>
              <w:rPr>
                <w:b/>
                <w:bCs/>
              </w:rPr>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Chức vụ</w:t>
            </w:r>
            <w:r>
              <w:rPr>
                <w:bCs/>
                <w:lang w:val="pt-BR"/>
              </w:rPr>
            </w:r>
            <w:r>
              <w:rPr>
                <w:bCs/>
                <w:lang w:val="pt-BR"/>
              </w:rPr>
            </w:r>
          </w:p>
        </w:tc>
        <w:tc>
          <w:tcPr>
            <w:tcBorders/>
            <w:tcW w:w="284" w:type="dxa"/>
            <w:vAlign w:val="center"/>
            <w:textDirection w:val="lrTb"/>
            <w:noWrap w:val="false"/>
          </w:tcPr>
          <w:p w14:paraId="4FB60CA1" w14:textId="18A46E2A">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Giám đốc</w:t>
            </w:r>
            <w:r>
              <w:rPr>
                <w:b/>
                <w:bCs/>
              </w:rPr>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 trụ sở</w:t>
            </w:r>
            <w:r>
              <w:rPr>
                <w:bCs/>
                <w:lang w:val="pt-BR"/>
              </w:rPr>
            </w:r>
            <w:r>
              <w:rPr>
                <w:bCs/>
                <w:lang w:val="pt-BR"/>
              </w:rPr>
            </w:r>
          </w:p>
        </w:tc>
        <w:tc>
          <w:tcPr>
            <w:tcBorders/>
            <w:tcW w:w="284" w:type="dxa"/>
            <w:vAlign w:val="center"/>
            <w:textDirection w:val="lrTb"/>
            <w:noWrap w:val="false"/>
          </w:tcPr>
          <w:p w14:paraId="4FB60CA1" w14:textId="18A46E2A">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Toàn nhà Kết Hiền, số nhà 1, đường Mê Linh, phường Liên Bảo, TP. Vĩnh Yên, tỉnh Vĩnh Phúc</w:t>
            </w:r>
            <w:r>
              <w:rPr>
                <w:b/>
                <w:bCs/>
              </w:rPr>
            </w:r>
            <w:r>
              <w:rPr>
                <w:b/>
                <w:bCs/>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Giấy chứng nhận số DG 348158 | Tài sản tại: Xã Nguyệt Đức, Huyện Yên Lạc, Tỉnh Vĩnh Phúc, độ rộng đường trước mặt tài sản 16.5m, mặt tiền 10m, 21.225277777777777, 105.5958611111111</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Xã Nguyệt Đức, Huyện Yên Lạc, Tỉnh Vĩnh Phúc</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21.225277777778, 105.59586111111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24"/>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24"/>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24"/>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24"/>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24"/>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24"/>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24"/>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24"/>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24"/>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24"/>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24"/>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24"/>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24"/>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24"/>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24"/>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24"/>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24"/>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24"/>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số DG 348158 | Tài sản tại: Xã Nguyệt Đức, Huyện Yên Lạc, Tỉnh Vĩnh Phúc, độ rộng đường trước mặt tài sản 16.5m, mặt tiền 10m, 21.225277777777777, 105.5958611111111</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2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HSTD-20251223-0004/HĐTĐ-VFI ngày 05/09/2025 giữa CÔNG TY CỔ PHẦN KEHIN với Công ty Cổ phần Thẩm định và Đầu tư Tài chính Hoa Sen.</w:t>
      </w:r>
      <w:r>
        <w:rPr>
          <w:b/>
          <w:lang w:val="pt-BR"/>
        </w:rPr>
      </w:r>
      <w:r>
        <w:rPr>
          <w:b/>
          <w:lang w:val="pt-BR"/>
        </w:rPr>
      </w:r>
    </w:p>
    <w:p w14:paraId="7BDC3A25" w14:textId="77D2CF95">
      <w:pPr>
        <w:pStyle w:val="1024"/>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D843B4" w14:textId="7AD4A83E">
      <w:pPr>
        <w:pBdr/>
        <w:tabs>
          <w:tab w:val="left" w:leader="none" w:pos="426"/>
        </w:tabs>
        <w:spacing w:after="120" w:before="120" w:line="276" w:lineRule="auto"/>
        <w:ind/>
        <w:rPr>
          <w:i/>
          <w:iCs/>
          <w:lang w:val="pt-BR"/>
        </w:rPr>
      </w:pPr>
      <w:r>
        <w:rPr>
          <w:lang w:val="pt-BR"/>
        </w:rPr>
        <w:tab/>
      </w:r>
      <w:r>
        <w:rPr>
          <w:i/>
          <w:iCs/>
          <w:lang w:val="pt-BR"/>
        </w:rPr>
      </w:r>
      <w:r>
        <w:rPr>
          <w:i/>
          <w:iCs/>
          <w:lang w:val="pt-BR"/>
        </w:rPr>
      </w:r>
    </w:p>
    <w:p w14:paraId="20BF0D54" w14:textId="312C63AB">
      <w:pPr>
        <w:pStyle w:val="102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t xml:space="preserve">Giấy chứng nhận số DG 348158 | Tài sản tại: Xã Nguyệt Đức, Huyện Yên Lạc, Tỉnh Vĩnh Phúc, độ rộng đường trước mặt tài sản 16.5m, mặt tiền 10m, 21.225277777777777, 105.5958611111111</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237</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2</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Xã Nguyệt Đức, Huyện Yên Lạc, Tỉnh Vĩnh Phúc</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470</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 500 m2</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cụm công nghiệp</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16.5</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16.5</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14:paraId="3D4FCA9C" w14:textId="0B548AE7">
            <w:pPr>
              <w:pBdr/>
              <w:spacing/>
              <w:ind/>
              <w:rPr>
                <w:color w:val="000000" w:themeColor="text1"/>
              </w:rPr>
            </w:pPr>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21.225277777778</w:t>
            </w:r>
            <w:r>
              <w:rPr>
                <w:color w:val="000000"/>
              </w:rPr>
              <w:t xml:space="preserve">, </w:t>
            </w:r>
            <w:r>
              <w:rPr>
                <w:color w:val="000000"/>
              </w:rPr>
              <w:t xml:space="preserve">105.59586111111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4476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5"/>
                              <a:stretch/>
                            </pic:blipFill>
                            <pic:spPr bwMode="auto">
                              <a:xfrm>
                                <a:off x="0" y="0"/>
                                <a:ext cx="4476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2.50pt;height:200.00pt;mso-wrap-distance-left:0.00pt;mso-wrap-distance-top:0.00pt;mso-wrap-distance-right:0.00pt;mso-wrap-distance-bottom:0.00pt;z-index:1;" stroked="false">
                      <v:imagedata r:id="rId15"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500</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10</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 sâu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47</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Hình vuông</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Nam</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476DABE3" w14:textId="35CEE1D1">
            <w:pPr>
              <w:pBdr/>
              <w:spacing/>
              <w:ind/>
              <w:jc w:val="both"/>
              <w:rPr>
                <w:color w:val="000000"/>
              </w:rPr>
            </w:pPr>
            <w:r>
              <w:rPr>
                <w:color w:val="000000"/>
              </w:rPr>
            </w: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6B96CE86" w14:textId="77777777">
      <w:pPr>
        <w:pBdr/>
        <w:spacing w:line="235" w:lineRule="auto"/>
        <w:ind w:left="646"/>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8"/>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Xã Nguyệt Đức, Huyện Yên Lạc, Tỉnh Vĩnh Phúc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4576CF3F" w14:textId="77777777">
            <w:pPr>
              <w:pBdr/>
              <w:spacing/>
              <w:ind/>
              <w:jc w:val="center"/>
              <w:rPr/>
            </w:pPr>
            <w:r>
              <w:t xml:space="preserve">Xã Nguyệt Đức, Huyện Yên Lạc, Tỉnh Vĩnh Phúc</w:t>
            </w:r>
            <w:r/>
          </w:p>
        </w:tc>
        <w:tc>
          <w:tcPr>
            <w:tcBorders/>
            <w:tcW w:w="1605" w:type="dxa"/>
            <w:vAlign w:val="center"/>
            <w:textDirection w:val="lrTb"/>
            <w:noWrap w:val="false"/>
          </w:tcPr>
          <w:p w14:paraId="79F97508" w14:textId="77777777">
            <w:pPr>
              <w:pBdr/>
              <w:spacing/>
              <w:ind/>
              <w:jc w:val="center"/>
              <w:rPr/>
            </w:pPr>
            <w:r>
              <w:t xml:space="preserve">Xã Nguyệt Đức, Huyện Yên Lạc, Tỉnh Vĩnh Phúc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cụm công nghiệp</w:t>
            </w:r>
            <w:r/>
          </w:p>
        </w:tc>
        <w:tc>
          <w:tcPr>
            <w:tcBorders/>
            <w:tcW w:w="1605" w:type="dxa"/>
            <w:vAlign w:val="center"/>
            <w:textDirection w:val="lrTb"/>
            <w:noWrap w:val="false"/>
          </w:tcPr>
          <w:p w14:paraId="79F97508" w14:textId="77777777">
            <w:pPr>
              <w:pBdr/>
              <w:spacing/>
              <w:ind/>
              <w:jc w:val="center"/>
              <w:rPr/>
            </w:pPr>
            <w:r>
              <w:t xml:space="preserve">Đất cụm công nghiệp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4576CF3F" w14:textId="77777777">
            <w:pPr>
              <w:pBdr/>
              <w:spacing/>
              <w:ind/>
              <w:jc w:val="center"/>
              <w:rPr/>
            </w:pPr>
            <w:r>
              <w:t xml:space="preserve">Lâu dài</w:t>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VT1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nhựa có vỉa hè</w:t>
            </w:r>
            <w:r/>
          </w:p>
        </w:tc>
        <w:tc>
          <w:tcPr>
            <w:tcBorders/>
            <w:tcW w:w="1605" w:type="dxa"/>
            <w:vAlign w:val="center"/>
            <w:textDirection w:val="lrTb"/>
            <w:noWrap w:val="false"/>
          </w:tcPr>
          <w:p w14:paraId="79F97508" w14:textId="77777777">
            <w:pPr>
              <w:pBdr/>
              <w:spacing/>
              <w:ind/>
              <w:jc w:val="center"/>
              <w:rPr/>
            </w:pPr>
            <w:r>
              <w:t xml:space="preserve">Đường nhựa có vỉa hè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576CF3F" w14:textId="77777777">
            <w:pPr>
              <w:pBdr/>
              <w:spacing/>
              <w:ind/>
              <w:jc w:val="center"/>
              <w:rPr/>
            </w:pPr>
            <w:r>
              <w:t xml:space="preserve">16.5</w:t>
            </w:r>
            <w:r/>
          </w:p>
        </w:tc>
        <w:tc>
          <w:tcPr>
            <w:tcBorders/>
            <w:tcW w:w="1605" w:type="dxa"/>
            <w:vAlign w:val="center"/>
            <w:textDirection w:val="lrTb"/>
            <w:noWrap w:val="false"/>
          </w:tcPr>
          <w:p w14:paraId="79F97508" w14:textId="77777777">
            <w:pPr>
              <w:pBdr/>
              <w:spacing/>
              <w:ind/>
              <w:jc w:val="center"/>
              <w:rPr/>
            </w:pPr>
            <w:r>
              <w:t xml:space="preserve">16.5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Hạ tầng khu dân cư thông thường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4576CF3F" w14:textId="77777777">
            <w:pPr>
              <w:pBdr/>
              <w:spacing/>
              <w:ind/>
              <w:jc w:val="center"/>
              <w:rPr/>
            </w:pPr>
            <w:r>
              <w:t xml:space="preserve">470 ✔</w:t>
            </w:r>
            <w:r/>
          </w:p>
        </w:tc>
        <w:tc>
          <w:tcPr>
            <w:tcBorders/>
            <w:tcW w:w="1605" w:type="dxa"/>
            <w:vAlign w:val="center"/>
            <w:textDirection w:val="lrTb"/>
            <w:noWrap w:val="false"/>
          </w:tcPr>
          <w:p w14:paraId="79F97508" w14:textId="77777777">
            <w:pPr>
              <w:pBdr/>
              <w:spacing/>
              <w:ind/>
              <w:jc w:val="center"/>
              <w:rPr/>
            </w:pPr>
            <w:r>
              <w:t xml:space="preserve">500</w:t>
            </w:r>
            <w:r/>
          </w:p>
        </w:tc>
        <w:tc>
          <w:tcPr>
            <w:tcBorders/>
            <w:tcW w:w="1371" w:type="dxa"/>
            <w:vAlign w:val="center"/>
            <w:textDirection w:val="lrTb"/>
            <w:noWrap w:val="false"/>
          </w:tcPr>
          <w:p w14:paraId="720BC03F" w14:textId="77777777">
            <w:pPr>
              <w:pBdr/>
              <w:spacing/>
              <w:ind/>
              <w:jc w:val="center"/>
              <w:rPr/>
            </w:pPr>
            <w:r>
              <w:t xml:space="preserve">30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4576CF3F" w14:textId="77777777">
            <w:pPr>
              <w:pBdr/>
              <w:spacing/>
              <w:ind/>
              <w:jc w:val="center"/>
              <w:rPr/>
            </w:pPr>
            <w:r>
              <w:t xml:space="preserve">10</w:t>
            </w:r>
            <w:r/>
          </w:p>
        </w:tc>
        <w:tc>
          <w:tcPr>
            <w:tcBorders/>
            <w:tcW w:w="1605" w:type="dxa"/>
            <w:vAlign w:val="center"/>
            <w:textDirection w:val="lrTb"/>
            <w:noWrap w:val="false"/>
          </w:tcPr>
          <w:p w14:paraId="79F97508" w14:textId="77777777">
            <w:pPr>
              <w:pBdr/>
              <w:spacing/>
              <w:ind/>
              <w:jc w:val="center"/>
              <w:rPr/>
            </w:pPr>
            <w:r>
              <w:t xml:space="preserve">10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4576CF3F" w14:textId="77777777">
            <w:pPr>
              <w:pBdr/>
              <w:spacing/>
              <w:ind/>
              <w:jc w:val="center"/>
              <w:rPr/>
            </w:pPr>
            <w:r>
              <w:t xml:space="preserve">47 ✔</w:t>
            </w:r>
            <w:r/>
          </w:p>
        </w:tc>
        <w:tc>
          <w:tcPr>
            <w:tcBorders/>
            <w:tcW w:w="1605" w:type="dxa"/>
            <w:vAlign w:val="center"/>
            <w:textDirection w:val="lrTb"/>
            <w:noWrap w:val="false"/>
          </w:tcPr>
          <w:p w14:paraId="79F97508" w14:textId="77777777">
            <w:pPr>
              <w:pBdr/>
              <w:spacing/>
              <w:ind/>
              <w:jc w:val="center"/>
              <w:rPr/>
            </w:pPr>
            <w:r>
              <w:t xml:space="preserve">50</w:t>
            </w:r>
            <w:r/>
          </w:p>
        </w:tc>
        <w:tc>
          <w:tcPr>
            <w:tcBorders/>
            <w:tcW w:w="1371" w:type="dxa"/>
            <w:vAlign w:val="center"/>
            <w:textDirection w:val="lrTb"/>
            <w:noWrap w:val="false"/>
          </w:tcPr>
          <w:p w14:paraId="720BC03F" w14:textId="77777777">
            <w:pPr>
              <w:pBdr/>
              <w:spacing/>
              <w:ind/>
              <w:jc w:val="center"/>
              <w:rPr/>
            </w:pPr>
            <w:r>
              <w:t xml:space="preserve">-47</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576CF3F" w14:textId="77777777">
            <w:pPr>
              <w:pBdr/>
              <w:spacing/>
              <w:ind/>
              <w:jc w:val="center"/>
              <w:rPr/>
            </w:pPr>
            <w:r>
              <w:t xml:space="preserve">Tiếp giáp 1 mặt tiền</w:t>
            </w:r>
            <w:r/>
          </w:p>
        </w:tc>
        <w:tc>
          <w:tcPr>
            <w:tcBorders/>
            <w:tcW w:w="1605" w:type="dxa"/>
            <w:vAlign w:val="center"/>
            <w:textDirection w:val="lrTb"/>
            <w:noWrap w:val="false"/>
          </w:tcPr>
          <w:p w14:paraId="79F97508" w14:textId="77777777">
            <w:pPr>
              <w:pBdr/>
              <w:spacing/>
              <w:ind/>
              <w:jc w:val="center"/>
              <w:rPr/>
            </w:pPr>
            <w:r>
              <w:t xml:space="preserve">Tiếp giáp 1 mặt tiền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4576CF3F" w14:textId="77777777">
            <w:pPr>
              <w:pBdr/>
              <w:spacing/>
              <w:ind/>
              <w:jc w:val="center"/>
              <w:rPr/>
            </w:pPr>
            <w:r>
              <w:t xml:space="preserve">Hình vuông ✔</w:t>
            </w:r>
            <w:r/>
          </w:p>
        </w:tc>
        <w:tc>
          <w:tcPr>
            <w:tcBorders/>
            <w:tcW w:w="1605" w:type="dxa"/>
            <w:vAlign w:val="center"/>
            <w:textDirection w:val="lrTb"/>
            <w:noWrap w:val="false"/>
          </w:tcPr>
          <w:p w14:paraId="79F97508" w14:textId="77777777">
            <w:pPr>
              <w:pBdr/>
              <w:spacing/>
              <w:ind/>
              <w:jc w:val="center"/>
              <w:rPr/>
            </w:pPr>
            <w:r>
              <w:t xml:space="preserve">Hình chữ nhật</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Nam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View công viên, vườn hoa, quảng trường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4"/>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24"/>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4"/>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4"/>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13863F49" w14:textId="5CABFF1A">
      <w:pPr>
        <w:pStyle w:val="1024"/>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24"/>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24"/>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24"/>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4762D94D" w14:textId="75C403B3">
      <w:pPr>
        <w:pStyle w:val="1024"/>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14:paraId="770CC22B" w14:textId="787D51A9">
      <w:pPr>
        <w:pStyle w:val="102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4"/>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24"/>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Nguyệt Đức, Huyện Yên Lạc, Tỉnh Vĩnh Phúc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Nguyệt Đức, Huyện Yên Lạc, Tỉnh Vĩnh Phúc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Nguyệt Đức, Huyện Yên Lạc, Tỉnh Vĩnh Phúc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Nguyệt Đức, Huyện Yên Lạc, Tỉnh Vĩnh Phúc</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zalo</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zalo</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zalo</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Môi giới: 0393548621</w:t>
            </w:r>
            <w:r>
              <w:rPr>
                <w:sz w:val="22"/>
                <w:szCs w:val="22"/>
              </w:rPr>
              <w:t xml:space="preserve"> </w:t>
            </w:r>
            <w:r>
              <w:rPr>
                <w:sz w:val="22"/>
                <w:szCs w:val="22"/>
              </w:rPr>
              <w:br/>
              <w:t xml:space="preserve">(</w:t>
            </w:r>
            <w:r>
              <w:rPr>
                <w:sz w:val="22"/>
                <w:szCs w:val="22"/>
              </w:rPr>
              <w:t xml:space="preserve">anh huy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Môi giới: 0974253168</w:t>
            </w:r>
            <w:r>
              <w:rPr>
                <w:sz w:val="22"/>
                <w:szCs w:val="22"/>
              </w:rPr>
              <w:br/>
            </w:r>
            <w:r>
              <w:rPr>
                <w:sz w:val="22"/>
                <w:szCs w:val="22"/>
              </w:rPr>
              <w:t xml:space="preserve">(</w:t>
            </w:r>
            <w:r>
              <w:rPr>
                <w:sz w:val="22"/>
                <w:szCs w:val="22"/>
              </w:rPr>
              <w:t xml:space="preserve">Môi giới</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0975119685</w:t>
            </w:r>
            <w:r>
              <w:rPr>
                <w:sz w:val="22"/>
                <w:szCs w:val="22"/>
              </w:rPr>
              <w:br/>
            </w:r>
            <w:r>
              <w:rPr>
                <w:sz w:val="22"/>
                <w:szCs w:val="22"/>
              </w:rPr>
              <w:t xml:space="preserve">(</w:t>
            </w:r>
            <w:r>
              <w:rPr>
                <w:sz w:val="22"/>
                <w:szCs w:val="22"/>
              </w:rPr>
              <w:t xml:space="preserve">Môi giới:</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cụm công nghiệp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cụm công nghiệp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cụm công nghiệp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cụm công nghiệp</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Có thời hạn (đến 31/12/2065)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Có thời hạn (đến 01/01/2064)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Có thời hạn (đến 01/01/2064)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Xã Nguyệt Đức, Huyện Yên Lạc, Tỉnh Vĩnh Phúc, độ rộng đường trước mặt tài sản 16.5m, mặt tiền 10m, 21.225277777777777, 105.5958611111111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Vành đai 4, độ rộng đường trước mặt tài sản 50m, mặt tiền 10m, 21.22520202256036, 105.59590765476223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Xã Nguyệt Đức, Huyện Yên Lạc, Tỉnh Vĩnh Phúc, đường Tài sản tiếp giáp đường rộng khoảng 16,5m cả vỉa hè, mặt tiền 20.9m, 21.225190694053573, 105.59617394245997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nội bộ, độ rộng đường trước mặt tài sản 16.5m, mặt tiền 10m, 21.226078332842278, 105.59478582440482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16.5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470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923.4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470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20.9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47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44.18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Nam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View công viên, vườn hoa, quảng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9.750.000.000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11.188.800.000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4.606.000.000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8.951.040.000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3.684.800.000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969371C" w14:textId="77777777">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74231C" w14:textId="32052B9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73BF6B" w14:textId="613D476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321F9" w14:textId="31FF717E">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BB067A" w14:textId="2198F9B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404576F"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59B2747" w14:textId="77777777">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3E7C1F" w14:textId="10E88182">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2CAD59" w14:textId="26F75B7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02DB04" w14:textId="08C8715C">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98FE53" w14:textId="165AB5C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9.750.000.000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11.188.800.000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4.606.000.000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7.800.000.000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8.951.040.000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3.684.800.000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7.800.000.000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8.951.040.000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3.684.800.000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10.400.000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7.800.000.000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8.951.040.000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3.684.800.000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10.400.000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cụm công nghiệp</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cụm công nghiệp</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cụm công nghiệp</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cụm công nghiệp</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cụm công nghiệp – Có thời hạn (đến 31/12/2065, 40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cụm công nghiệp – Có thời hạn (đến 01/01/2064, 39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cụm công nghiệp – Có thời hạn (đến 01/01/2064, 39 năm)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Tài sản tại: Xã Nguyệt Đức, Huyện Yên Lạc, Tỉnh Vĩnh Phúc, độ rộng đường trước mặt tài sản 16.5m, mặt tiền 10m, 21.225277777777777, 105.5958611111111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Vành đai 4, độ rộng đường trước mặt tài sản 50m, mặt tiền 10m, 21.22520202256036, 105.59590765476223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tại: Xã Nguyệt Đức, Huyện Yên Lạc, Tỉnh Vĩnh Phúc, đường Tài sản tiếp giáp đường rộng khoảng 16,5m cả vỉa hè, mặt tiền 20.9m, 21.225190694053573, 105.59617394245997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nội bộ, độ rộng đường trước mặt tài sản 16.5m, mặt tiền 10m, 21.226078332842278, 105.59478582440482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-728.000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9.672.000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9.672.000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16.5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-1.040.000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8.632.000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8.632.000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8.632.000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8.632.000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470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750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923.4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470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728.000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969.357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9.360.000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10.662.924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20.9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520.000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-969.357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9.880.000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47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44.18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9.880.000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9.880.000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9.880.000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Hướng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Nam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9.880.000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View công viên, vườn hoa, quảng trường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9.880.000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9.880.000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9.880.000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9.880.000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9.693.567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7.840.000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9.137.856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8.12%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6.08%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-14.2%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3.016.000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1.938.714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0</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- 0%%</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520.000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-14.2</w:t>
      </w:r>
      <w:r>
        <w:t xml:space="preserve">% đến</w:t>
      </w:r>
      <w:r>
        <w:t xml:space="preserve"> </w:t>
      </w:r>
      <w:r>
        <w:t xml:space="preserve"> </w:t>
      </w:r>
      <w:r>
        <w:t xml:space="preserve">8.12</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9.880.000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3.293.992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9.693.567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3.230.866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7.840.000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2.613.072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9.137.930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9.000.000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9.000.000</w:t>
      </w:r>
      <w:r>
        <w:rPr>
          <w:b/>
          <w:bCs/>
          <w:color w:val="000000" w:themeColor="text1"/>
        </w:rPr>
        <w:t xml:space="preserve"> </w:t>
      </w:r>
      <w:r>
        <w:rPr>
          <w:b/>
          <w:bCs/>
        </w:rPr>
        <w:t xml:space="preserve">đồng/m².</w:t>
      </w:r>
      <w:r>
        <w:rPr>
          <w:b/>
          <w:bCs/>
        </w:rPr>
      </w:r>
      <w:r>
        <w:rPr>
          <w:b/>
          <w:bCs/>
        </w:rPr>
      </w:r>
    </w:p>
    <w:p w14:paraId="7CA7D420" w14:textId="77777777">
      <w:pPr>
        <w:pStyle w:val="1024"/>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14:paraId="549B54B9" w14:textId="77777777">
      <w:pPr>
        <w:pStyle w:val="1024"/>
        <w:pBdr/>
        <w:spacing w:after="120" w:before="120" w:line="276" w:lineRule="auto"/>
        <w:ind w:left="357"/>
        <w:jc w:val="both"/>
        <w:rPr>
          <w:b/>
          <w:lang w:val="pt-BR"/>
        </w:rPr>
      </w:pPr>
      <w:r>
        <w:rPr>
          <w:b/>
          <w:lang w:val="pt-BR"/>
        </w:rPr>
      </w:r>
      <w:r>
        <w:rPr>
          <w:b/>
          <w:lang w:val="pt-BR"/>
        </w:rPr>
      </w:r>
      <w:r>
        <w:rPr>
          <w:b/>
          <w:lang w:val="pt-BR"/>
        </w:rPr>
      </w:r>
    </w:p>
    <w:p w14:paraId="4B506B03" w14:textId="49B8E0F8">
      <w:pPr>
        <w:pStyle w:val="1024"/>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24"/>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p w14:paraId="0511DCC7" w14:textId="77777777">
      <w:pPr>
        <w:pStyle w:val="1024"/>
        <w:pBdr/>
        <w:tabs>
          <w:tab w:val="left" w:leader="none" w:pos="993"/>
        </w:tabs>
        <w:spacing w:after="120" w:before="120" w:line="276" w:lineRule="auto"/>
        <w:ind w:left="0"/>
        <w:jc w:val="both"/>
        <w:rPr/>
      </w:pPr>
      <w:r/>
      <w:r/>
    </w:p>
    <w:p w14:paraId="1556E090" w14:textId="77777777">
      <w:pPr>
        <w:pStyle w:val="1024"/>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rPr>
            </w:pPr>
            <w:r>
              <w:rPr>
                <w:color w:val="000000"/>
              </w:rPr>
              <w:t xml:space="preserve">Giấy chứng nhận số DG 348158 | Tài sản tại: Xã Nguyệt Đức, Huyện Yên Lạc, Tỉnh Vĩnh Phúc, độ rộng đường trước mặt tài sản 16.5m, mặt tiền 10m, 21.225277777777777, 105.5958611111111</w:t>
            </w:r>
            <w:r>
              <w:rPr>
                <w:b/>
                <w:bCs/>
              </w:rPr>
              <w:t xml:space="preserve">.</w:t>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cụm công nghiệp</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470</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9.000.000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4.230.000.000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4.230.000.000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4.230.000.000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hai trăm ba mươi triệu</w:t>
            </w:r>
            <w:r>
              <w:rPr>
                <w:b/>
                <w:bCs/>
                <w:i/>
                <w:iCs/>
                <w:color w:val="000000"/>
              </w:rPr>
              <w:t xml:space="preserve">./.)</w:t>
            </w:r>
            <w:r>
              <w:rPr>
                <w:b/>
                <w:bCs/>
                <w:i/>
                <w:iCs/>
                <w:color w:val="000000"/>
              </w:rPr>
            </w:r>
            <w:r>
              <w:rPr>
                <w:b/>
                <w:bCs/>
                <w:i/>
                <w:iCs/>
                <w:color w:val="000000"/>
              </w:rPr>
            </w:r>
          </w:p>
        </w:tc>
      </w:tr>
    </w:tbl>
    <w:p w14:paraId="187E2E91" w14:textId="56B58432">
      <w:pPr>
        <w:pStyle w:val="102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4"/>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2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4"/>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24"/>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24"/>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24"/>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24"/>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24"/>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24"/>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2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24"/>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24"/>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24"/>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24"/>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2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2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24"/>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14:paraId="0F9E384F" w14:textId="63102E36">
      <w:pPr>
        <w:pStyle w:val="102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4"/>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2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4"/>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24"/>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24"/>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HSTD-20251223-0004/CT-VFI</w:t>
      </w:r>
      <w:r>
        <w:rPr>
          <w:color w:val="ff0000"/>
          <w:lang w:val="vi-VN"/>
        </w:rPr>
        <w:t xml:space="preserve"> </w:t>
      </w:r>
      <w:r>
        <w:rPr>
          <w:color w:val="000000" w:themeColor="text1"/>
        </w:rPr>
        <w:t xml:space="preserve">ngày 30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14:paraId="6415DD17" w14:textId="77777777">
      <w:pPr>
        <w:pStyle w:val="1024"/>
        <w:pBdr/>
        <w:tabs>
          <w:tab w:val="left" w:leader="none" w:pos="993"/>
        </w:tabs>
        <w:spacing w:after="120" w:before="120" w:line="288" w:lineRule="auto"/>
        <w:ind w:left="0"/>
        <w:jc w:val="both"/>
        <w:rPr>
          <w:lang w:val="vi-VN"/>
        </w:rPr>
      </w:pPr>
      <w:r>
        <w:rPr>
          <w:lang w:val="vi-VN"/>
        </w:rPr>
      </w:r>
      <w:r>
        <w:rPr>
          <w:lang w:val="vi-VN"/>
        </w:rPr>
      </w:r>
      <w:r>
        <w:rPr>
          <w:lang w:val="vi-VN"/>
        </w:rPr>
      </w:r>
    </w:p>
    <w:p w14:paraId="7C35FBCF" w14:textId="77777777">
      <w:pPr>
        <w:pStyle w:val="1024"/>
        <w:pBdr/>
        <w:tabs>
          <w:tab w:val="left" w:leader="none" w:pos="993"/>
        </w:tabs>
        <w:spacing w:after="120" w:before="120" w:line="288" w:lineRule="auto"/>
        <w:ind w:left="0"/>
        <w:jc w:val="both"/>
        <w:rPr>
          <w:lang w:val="vi-VN"/>
        </w:rPr>
      </w:pPr>
      <w:r>
        <w:rPr>
          <w:lang w:val="vi-VN"/>
        </w:rPr>
      </w:r>
      <w:r>
        <w:rPr>
          <w:lang w:val="vi-VN"/>
        </w:rPr>
      </w:r>
      <w:r>
        <w:rPr>
          <w:lang w:val="vi-VN"/>
        </w:rPr>
      </w:r>
    </w:p>
    <w:p w14:paraId="2838A8CA" w14:textId="77777777">
      <w:pPr>
        <w:pStyle w:val="1024"/>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HSTD-20251223-0004/BC-VFI</w:t>
      </w:r>
      <w:r>
        <w:rPr>
          <w:i/>
          <w:lang w:val="pt-BR"/>
        </w:rPr>
        <w:t xml:space="preserve"> </w:t>
      </w:r>
      <w:r>
        <w:rPr>
          <w:i/>
          <w:lang w:val="pt-BR"/>
        </w:rPr>
        <w:t xml:space="preserve">30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6"/>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6"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HSTD-20251223-0004/BC-VFI</w:t>
      </w:r>
      <w:r>
        <w:rPr>
          <w:i/>
          <w:lang w:val="pt-BR"/>
        </w:rPr>
        <w:t xml:space="preserve"> </w:t>
      </w:r>
      <w:r>
        <w:rPr>
          <w:i/>
          <w:lang w:val="pt-BR"/>
        </w:rPr>
        <w:t xml:space="preserve">30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t xml:space="preserve">Môi giới: 0393548621</w:t>
            </w:r>
            <w:r>
              <w:rPr>
                <w:sz w:val="22"/>
                <w:szCs w:val="22"/>
              </w:rPr>
              <w:t xml:space="preserve"> </w:t>
            </w:r>
            <w:r>
              <w:rPr>
                <w:sz w:val="22"/>
                <w:szCs w:val="22"/>
              </w:rPr>
              <w:br/>
              <w:t xml:space="preserve">(anh huy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9.750.000.000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7.800.000.000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cụm công nghiệp (750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cụm công nghiệp – Có thời hạn (đến 31/12/2065, 40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Vành đai 4, độ rộng đường trước mặt tài sản 50m, mặt tiền 10m, 21.22520202256036, 105.59590765476223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750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50833" cy="317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5508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358.33pt;height:250.00pt;mso-wrap-distance-left:0.00pt;mso-wrap-distance-top:0.00pt;mso-wrap-distance-right:0.00pt;mso-wrap-distance-bottom:0.00pt;z-index:1;" stroked="false">
                      <v:imagedata r:id="rId1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50833" cy="317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45508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358.33pt;height:250.00pt;mso-wrap-distance-left:0.00pt;mso-wrap-distance-top:0.00pt;mso-wrap-distance-right:0.00pt;mso-wrap-distance-bottom:0.00pt;z-index:1;" stroked="false">
                      <v:imagedata r:id="rId1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Trần Thị Thanh Tâm</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t xml:space="preserve">Môi giới: 0974253168</w:t>
            </w:r>
            <w:r>
              <w:rPr>
                <w:sz w:val="22"/>
                <w:szCs w:val="22"/>
              </w:rPr>
              <w:t xml:space="preserve"> </w:t>
            </w:r>
            <w:r>
              <w:rPr>
                <w:sz w:val="22"/>
                <w:szCs w:val="22"/>
              </w:rPr>
              <w:br/>
              <w:t xml:space="preserve">(Môi giới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11.188.800.000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8.951.040.000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cụm công nghiệp (923.40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cụm công nghiệp – Có thời hạn (đến 01/01/2064, 39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Xã Nguyệt Đức, Huyện Yên Lạc, Tỉnh Vĩnh Phúc, đường Tài sản tiếp giáp đường rộng khoảng 16,5m cả vỉa hè, mặt tiền 20.9m, 21.225190694053573, 105.59617394245997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923.4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20.9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12.50pt;height:250.00pt;mso-wrap-distance-left:0.00pt;mso-wrap-distance-top:0.00pt;mso-wrap-distance-right:0.00pt;mso-wrap-distance-bottom:0.00pt;z-index:1;" stroked="false">
                      <v:imagedata r:id="rId2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290066"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29006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0.32pt;height:250.00pt;mso-wrap-distance-left:0.00pt;mso-wrap-distance-top:0.00pt;mso-wrap-distance-right:0.00pt;mso-wrap-distance-bottom:0.00pt;z-index:1;" stroked="false">
                      <v:imagedata r:id="rId2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Trần Thị Thanh Tâm</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r>
            <w:r>
              <w:rPr>
                <w:sz w:val="22"/>
                <w:szCs w:val="22"/>
              </w:rPr>
              <w:t xml:space="preserve">SĐT: </w:t>
            </w:r>
            <w:r>
              <w:rPr>
                <w:color w:val="000000" w:themeColor="text1"/>
                <w:sz w:val="22"/>
                <w:szCs w:val="22"/>
              </w:rPr>
              <w:t xml:space="preserve">0975119685</w:t>
            </w:r>
            <w:r>
              <w:rPr>
                <w:sz w:val="22"/>
                <w:szCs w:val="22"/>
              </w:rPr>
              <w:t xml:space="preserve"> </w:t>
            </w:r>
            <w:r>
              <w:rPr>
                <w:sz w:val="22"/>
                <w:szCs w:val="22"/>
              </w:rPr>
              <w:br/>
              <w:t xml:space="preserve">(Môi giới: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4.606.000.000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3.684.800.000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cụm công nghiệp (470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cụm công nghiệp – Có thời hạn (đến 01/01/2064, 39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nội bộ, độ rộng đường trước mặt tài sản 16.5m, mặt tiền 10m, 21.226078332842278, 105.59478582440482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470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823682"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182368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43.60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871516"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187151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47.36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95433"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18954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49.25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center"/>
              <w:rPr/>
            </w:pPr>
            <w:r>
              <w:t xml:space="preserve">Trần Thị Thanh Tâm</w:t>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jpg"/><Relationship Id="rId17" Type="http://schemas.openxmlformats.org/officeDocument/2006/relationships/image" Target="media/image5.jp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270</cp:revision>
  <dcterms:created xsi:type="dcterms:W3CDTF">2025-09-15T09:58:00Z</dcterms:created>
  <dcterms:modified xsi:type="dcterms:W3CDTF">2025-12-30T10:25:53Z</dcterms:modified>
</cp:coreProperties>
</file>