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left"/>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275/2025/1173/VFI-CT.37.A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5803E8AA">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b/>
                              </w:rPr>
                              <w:t xml:space="preserve">Tài sản thẩm </w:t>
                            </w:r>
                            <w:r>
                              <w:rPr>
                                <w:b/>
                              </w:rPr>
                              <w:t xml:space="preserve">định: </w:t>
                            </w:r>
                            <w:r>
                              <w:rPr>
                                <w:rFonts w:ascii="Times New Roman" w:hAnsi="Times New Roman" w:eastAsia="Times New Roman" w:cs="Times New Roman"/>
                                <w:color w:val="000000"/>
                                <w:spacing w:val="3"/>
                                <w:sz w:val="22"/>
                                <w:highlight w:val="white"/>
                              </w:rPr>
                              <w:t xml:space="preserve">Quyền sử dụng đất thuê trả tiền một lần của các thửa đất có địa chỉ tại: xã Nguyệt Đức, huyện Yên Lạc, tỉnh Vĩnh Phúc (Nay là xã Nguyệt Đức, tỉnh Vĩnh Phúc) thuộc quyền sử dụng của Công ty Cổ phần Kehin (Chi tiết theo báo cáo đính kè</w:t>
                            </w:r>
                            <w:r>
                              <w:rPr>
                                <w:rFonts w:ascii="Times New Roman" w:hAnsi="Times New Roman" w:eastAsia="Times New Roman" w:cs="Times New Roman"/>
                                <w:color w:val="000000"/>
                                <w:spacing w:val="3"/>
                                <w:sz w:val="22"/>
                                <w:highlight w:val="white"/>
                              </w:rPr>
                              <w:t xml:space="preserve">m).</w:t>
                            </w:r>
                            <w:r/>
                          </w:p>
                          <w:p w14:paraId="02E75E48">
                            <w:pPr>
                              <w:pBdr/>
                              <w:spacing w:after="120" w:before="120" w:line="360" w:lineRule="auto"/>
                              <w:ind/>
                              <w:jc w:val="both"/>
                              <w:rPr>
                                <w:bCs/>
                                <w:i/>
                              </w:rPr>
                            </w:pPr>
                            <w:r>
                              <w:rPr>
                                <w:b/>
                              </w:rPr>
                            </w:r>
                            <w:r>
                              <w:rPr>
                                <w:bCs/>
                                <w:i/>
                              </w:rPr>
                            </w:r>
                            <w:r>
                              <w:rPr>
                                <w:bCs/>
                                <w:i/>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275/2025/1173/VFI-CT.37.A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5803E8AA">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b/>
                        </w:rPr>
                        <w:t xml:space="preserve">Tài sản thẩm </w:t>
                      </w:r>
                      <w:r>
                        <w:rPr>
                          <w:b/>
                        </w:rPr>
                        <w:t xml:space="preserve">định: </w:t>
                      </w:r>
                      <w:r>
                        <w:rPr>
                          <w:rFonts w:ascii="Times New Roman" w:hAnsi="Times New Roman" w:eastAsia="Times New Roman" w:cs="Times New Roman"/>
                          <w:color w:val="000000"/>
                          <w:spacing w:val="3"/>
                          <w:sz w:val="22"/>
                          <w:highlight w:val="white"/>
                        </w:rPr>
                        <w:t xml:space="preserve">Quyền sử dụng đất thuê trả tiền một lần của các thửa đất có địa chỉ tại: xã Nguyệt Đức, huyện Yên Lạc, tỉnh Vĩnh Phúc (Nay là xã Nguyệt Đức, tỉnh Vĩnh Phúc) thuộc quyền sử dụng của Công ty Cổ phần Kehin (Chi tiết theo báo cáo đính kè</w:t>
                      </w:r>
                      <w:r>
                        <w:rPr>
                          <w:rFonts w:ascii="Times New Roman" w:hAnsi="Times New Roman" w:eastAsia="Times New Roman" w:cs="Times New Roman"/>
                          <w:color w:val="000000"/>
                          <w:spacing w:val="3"/>
                          <w:sz w:val="22"/>
                          <w:highlight w:val="white"/>
                        </w:rPr>
                        <w:t xml:space="preserve">m).</w:t>
                      </w:r>
                      <w:r/>
                    </w:p>
                    <w:p w14:paraId="02E75E48">
                      <w:pPr>
                        <w:pBdr/>
                        <w:spacing w:after="120" w:before="120" w:line="360" w:lineRule="auto"/>
                        <w:ind/>
                        <w:jc w:val="both"/>
                        <w:rPr>
                          <w:bCs/>
                          <w:i/>
                        </w:rPr>
                      </w:pPr>
                      <w:r>
                        <w:rPr>
                          <w:b/>
                        </w:rPr>
                      </w:r>
                      <w:r>
                        <w:rPr>
                          <w:bCs/>
                          <w:i/>
                        </w:rPr>
                      </w:r>
                      <w:r>
                        <w:rPr>
                          <w:bCs/>
                          <w:i/>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8"/>
              <w:pBdr/>
              <w:spacing w:after="60" w:before="200"/>
              <w:ind/>
              <w:rPr>
                <w:rStyle w:val="1027"/>
                <w:rFonts w:ascii="Times New Roman" w:hAnsi="Times New Roman"/>
                <w:color w:val="auto"/>
                <w:lang w:val="pt-BR"/>
              </w:rPr>
            </w:pPr>
            <w:r>
              <w:rPr>
                <w:rFonts w:ascii="Times New Roman" w:hAnsi="Times New Roman"/>
                <w:color w:val="auto"/>
                <w:lang w:val="pt-BR"/>
              </w:rPr>
            </w:r>
            <w:r>
              <w:rPr>
                <w:rStyle w:val="1027"/>
                <w:rFonts w:ascii="Times New Roman" w:hAnsi="Times New Roman"/>
                <w:color w:val="auto"/>
                <w:lang w:val="pt-BR"/>
              </w:rPr>
            </w:r>
            <w:r>
              <w:rPr>
                <w:rStyle w:val="1027"/>
                <w:rFonts w:ascii="Times New Roman" w:hAnsi="Times New Roman"/>
                <w:color w:val="auto"/>
                <w:lang w:val="pt-BR"/>
              </w:rPr>
            </w:r>
          </w:p>
          <w:p w14:paraId="189019A0" w14:textId="50D2DFCA">
            <w:pPr>
              <w:pStyle w:val="1028"/>
              <w:pBdr/>
              <w:spacing w:after="60" w:before="200"/>
              <w:ind/>
              <w:rPr>
                <w:sz w:val="24"/>
                <w:szCs w:val="24"/>
              </w:rPr>
            </w:pPr>
            <w:r>
              <w:rPr>
                <w:rStyle w:val="1027"/>
                <w:rFonts w:ascii="Times New Roman" w:hAnsi="Times New Roman"/>
                <w:color w:val="auto"/>
                <w:lang w:val="pt-BR"/>
              </w:rPr>
              <w:t xml:space="preserve">Số:</w:t>
            </w:r>
            <w:r>
              <w:rPr>
                <w:rStyle w:val="1027"/>
                <w:rFonts w:ascii="Times New Roman" w:hAnsi="Times New Roman"/>
                <w:color w:val="auto"/>
                <w:lang w:val="pt-BR"/>
              </w:rPr>
              <w:t xml:space="preserve"> </w:t>
            </w:r>
            <w:r>
              <w:rPr>
                <w:rStyle w:val="1027"/>
                <w:rFonts w:ascii="Times New Roman" w:hAnsi="Times New Roman"/>
                <w:color w:val="000000" w:themeColor="text1"/>
                <w:lang w:val="pt-BR"/>
              </w:rPr>
              <w:t xml:space="preserve">275/2025/1173/VFI-CT.37.A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8"/>
              <w:pBdr/>
              <w:spacing w:after="60" w:before="20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p w14:paraId="6B33CD77" w14:textId="29BAA06D">
            <w:pPr>
              <w:pStyle w:val="1028"/>
              <w:pBdr/>
              <w:spacing w:after="60" w:before="200"/>
              <w:ind w:right="-56"/>
              <w:jc w:val="right"/>
              <w:rPr>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11 tháng 9 năm 2025</w:t>
            </w:r>
            <w:r>
              <w:rPr>
                <w:rStyle w:val="1027"/>
                <w:rFonts w:ascii="Times New Roman" w:hAnsi="Times New Roman"/>
                <w:i/>
                <w:color w:val="auto"/>
                <w:lang w:val="vi-VN"/>
              </w:rPr>
              <w:t xml:space="preserve">   </w:t>
            </w:r>
            <w:r>
              <w:rPr>
                <w:rStyle w:val="1027"/>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8"/>
        <w:pBdr/>
        <w:spacing w:after="120" w:before="200" w:line="288" w:lineRule="auto"/>
        <w:ind/>
        <w:jc w:val="center"/>
        <w:rPr>
          <w:rStyle w:val="1027"/>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275/2025/1173/VFI-HĐTĐ.37.A</w:t>
      </w:r>
      <w:r>
        <w:rPr>
          <w:spacing w:val="-4"/>
          <w:lang w:val="vi-VN"/>
        </w:rPr>
        <w:t xml:space="preserve"> ký ngày </w:t>
      </w:r>
      <w:r>
        <w:rPr>
          <w:color w:val="000000" w:themeColor="text1"/>
          <w:spacing w:val="-4"/>
        </w:rPr>
        <w:t xml:space="preserve">5 tháng 9 năm 2025</w:t>
      </w:r>
      <w:r>
        <w:rPr>
          <w:spacing w:val="-4"/>
          <w:lang w:val="vi-VN"/>
        </w:rPr>
        <w:t xml:space="preserve"> </w:t>
      </w:r>
      <w:r>
        <w:rPr>
          <w:spacing w:val="-4"/>
          <w:lang w:val="vi-VN"/>
        </w:rPr>
        <w:t xml:space="preserve">giữa </w:t>
      </w:r>
      <w:r>
        <w:rPr>
          <w:color w:val="000000" w:themeColor="text1"/>
          <w:spacing w:val="-4"/>
        </w:rPr>
        <w:t xml:space="preserve">CÔNG TY CỔ PHẦN KEHIN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275/2025/1173/VFI-BC.37.A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9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CỔ PHẦN KEHIN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2500234786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Ông Nguyễn Văn Kết</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Toàn nhà Kết Hiền, số nhà 1, đường Mê Linh, phường Liên Bảo, TP. Vĩnh Yên, tỉnh Vĩnh Phúc</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DE69537">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pacing w:val="3"/>
          <w:sz w:val="22"/>
          <w:highlight w:val="white"/>
        </w:rPr>
        <w:t xml:space="preserve">Quyền sử dụng đất thuê trả tiền một lần của các thửa đất có địa chỉ tại: xã Nguyệt Đức, huyện Yên Lạc, tỉnh Vĩnh Phúc (Nay là xã Nguyệt Đức, tỉnh Vĩnh Phúc) thuộc quyền sử dụng của Công ty Cổ phần Kehin (Chi tiết theo báo cáo đính kè</w:t>
      </w:r>
      <w:r>
        <w:rPr>
          <w:rFonts w:ascii="Times New Roman" w:hAnsi="Times New Roman" w:eastAsia="Times New Roman" w:cs="Times New Roman"/>
          <w:color w:val="000000"/>
          <w:spacing w:val="3"/>
          <w:sz w:val="22"/>
          <w:highlight w:val="white"/>
        </w:rPr>
        <w:t xml:space="preserve">m).</w:t>
      </w:r>
      <w:r/>
    </w:p>
    <w:p w14:paraId="1871219C">
      <w:pPr>
        <w:pBdr/>
        <w:spacing w:after="120" w:before="120" w:line="312" w:lineRule="auto"/>
        <w:ind/>
        <w:jc w:val="both"/>
        <w:rPr>
          <w:b/>
          <w:bCs/>
        </w:rPr>
      </w:pPr>
      <w:r>
        <w:rPr>
          <w:color w:val="000000" w:themeColor="text1"/>
        </w:rPr>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482"/>
        <w:gridCol w:w="1368"/>
        <w:gridCol w:w="2127"/>
        <w:gridCol w:w="2759"/>
        <w:gridCol w:w="1800"/>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0CE704C7">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8" w:type="dxa"/>
            <w:vAlign w:val="center"/>
            <w:textDirection w:val="lrTb"/>
            <w:noWrap w:val="false"/>
          </w:tcPr>
          <w:p w14:paraId="027872DD">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44F07715">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59" w:type="dxa"/>
            <w:vAlign w:val="center"/>
            <w:textDirection w:val="lrTb"/>
            <w:noWrap w:val="false"/>
          </w:tcPr>
          <w:p w14:paraId="16D4837F">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1D308BE5">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17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2A217CE3">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1A276677">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pPr>
            <w:r>
              <w:rPr>
                <w:rFonts w:ascii="Times New Roman" w:hAnsi="Times New Roman" w:eastAsia="Times New Roman" w:cs="Times New Roman"/>
                <w:b/>
                <w:color w:val="000000"/>
                <w:sz w:val="24"/>
              </w:rPr>
              <w:t xml:space="preserve">Quyền sử dụng đất thuê trả tiền một lần của các thửa đất có địa chỉ tại: xã Nguyệt Đức, huyện Yên Lạc, tỉnh Vĩnh Phúc (Nay là xã Nguyệt Đức, tỉnh Vĩnh Phúc) thuộc quyền sử dụng của Công ty Cổ phần Kehin (Chi tiết theo báo cáo đính kè</w:t>
            </w:r>
            <w:r>
              <w:rPr>
                <w:rFonts w:ascii="Times New Roman" w:hAnsi="Times New Roman" w:eastAsia="Times New Roman" w:cs="Times New Roman"/>
                <w:b/>
                <w:color w:val="000000"/>
                <w:sz w:val="24"/>
              </w:rPr>
              <w:t xml:space="preserve">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1DEB8684">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63967423">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5017B657">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6D32E0AD">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64D1FBA3">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6A4D79A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14CDE6D3">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09"/>
        </w:trPr>
        <w:tc>
          <w:tcPr>
            <w:gridSpan w:val="5"/>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536" w:type="dxa"/>
            <w:vAlign w:val="center"/>
            <w:textDirection w:val="lrTb"/>
            <w:noWrap w:val="false"/>
          </w:tcPr>
          <w:p w14:paraId="161F6A74">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i/>
                <w:color w:val="000000"/>
                <w:sz w:val="24"/>
              </w:rPr>
              <w:t xml:space="preserve">(Bằng chữ: Bốn mươi tám tỷ, tám trăm tám mươi sáu triệu đồng chẵn./.)</w:t>
            </w:r>
            <w:r/>
          </w:p>
        </w:tc>
      </w:tr>
    </w:tbl>
    <w:p w14:paraId="483A510D">
      <w:pPr>
        <w:pBdr/>
        <w:spacing w:after="120" w:before="120" w:line="312" w:lineRule="auto"/>
        <w:ind/>
        <w:jc w:val="both"/>
        <w:rPr/>
      </w:pPr>
      <w:r>
        <w:rPr>
          <w:highlight w:val="none"/>
          <w:lang w:val="vi-VN"/>
        </w:rPr>
      </w:r>
      <w:r>
        <w:rPr>
          <w:highlight w:val="none"/>
          <w:lang w:val="vi-VN"/>
        </w:rPr>
      </w:r>
      <w:r/>
    </w:p>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8"/>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8"/>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275/2025/1173/VFI-BC.37.A</w:t>
            </w:r>
            <w:r>
              <w:rPr>
                <w:sz w:val="24"/>
                <w:szCs w:val="24"/>
              </w:rPr>
            </w:r>
            <w:r>
              <w:rPr>
                <w:sz w:val="24"/>
                <w:szCs w:val="24"/>
              </w:rPr>
            </w:r>
          </w:p>
        </w:tc>
        <w:tc>
          <w:tcPr>
            <w:tcBorders/>
            <w:tcW w:w="4781" w:type="dxa"/>
            <w:textDirection w:val="lrTb"/>
            <w:noWrap w:val="false"/>
          </w:tcPr>
          <w:p w14:paraId="4E249833" w14:textId="77777777">
            <w:pPr>
              <w:pStyle w:val="1028"/>
              <w:pBdr/>
              <w:tabs>
                <w:tab w:val="left" w:leader="none" w:pos="5103"/>
              </w:tabs>
              <w:spacing w:before="100" w:line="360" w:lineRule="auto"/>
              <w:ind/>
              <w:jc w:val="right"/>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p w14:paraId="1C1E2870" w14:textId="207F25D6">
            <w:pPr>
              <w:pStyle w:val="1028"/>
              <w:pBdr/>
              <w:tabs>
                <w:tab w:val="left" w:leader="none" w:pos="5103"/>
              </w:tabs>
              <w:spacing w:before="100" w:line="360" w:lineRule="auto"/>
              <w:ind/>
              <w:jc w:val="right"/>
              <w:rPr>
                <w:i/>
                <w:iCs/>
                <w:sz w:val="24"/>
                <w:szCs w:val="24"/>
              </w:rPr>
            </w:pPr>
            <w:r>
              <w:rPr>
                <w:rStyle w:val="1027"/>
                <w:rFonts w:ascii="Times New Roman" w:hAnsi="Times New Roman"/>
                <w:i/>
                <w:color w:val="auto"/>
              </w:rPr>
              <w:t xml:space="preserve">TP</w:t>
            </w:r>
            <w:r>
              <w:rPr>
                <w:rStyle w:val="1027"/>
                <w:rFonts w:ascii="Times New Roman" w:hAnsi="Times New Roman"/>
                <w:color w:val="auto"/>
              </w:rPr>
              <w:t xml:space="preserve">. </w:t>
            </w:r>
            <w:r>
              <w:rPr>
                <w:rStyle w:val="1027"/>
                <w:rFonts w:ascii="Times New Roman" w:hAnsi="Times New Roman"/>
                <w:i/>
                <w:color w:val="auto"/>
              </w:rPr>
              <w:t xml:space="preserve">Hà Nội</w:t>
            </w:r>
            <w:r>
              <w:rPr>
                <w:rStyle w:val="1027"/>
                <w:rFonts w:ascii="Times New Roman" w:hAnsi="Times New Roman"/>
                <w:i/>
                <w:color w:val="auto"/>
                <w:lang w:val="vi-VN"/>
              </w:rPr>
              <w:t xml:space="preserve">, </w:t>
            </w:r>
            <w:r>
              <w:rPr>
                <w:i/>
                <w:iCs/>
                <w:color w:val="000000" w:themeColor="text1"/>
                <w:sz w:val="24"/>
                <w:szCs w:val="24"/>
                <w:lang w:val="pt-BR"/>
              </w:rPr>
              <w:t xml:space="preserve">ngày 11 tháng 9 năm 2025</w:t>
            </w:r>
            <w:r>
              <w:rPr>
                <w:rStyle w:val="1027"/>
                <w:rFonts w:ascii="Times New Roman" w:hAnsi="Times New Roman"/>
                <w:i/>
                <w:color w:val="auto"/>
                <w:lang w:val="vi-VN"/>
              </w:rPr>
              <w:t xml:space="preserve">   </w:t>
            </w:r>
            <w:r>
              <w:rPr>
                <w:rStyle w:val="1027"/>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8"/>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275/2025/1173/VFI-CT.37.A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9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9"/>
        <w:pBdr/>
        <w:tabs>
          <w:tab w:val="left" w:leader="none" w:pos="284"/>
        </w:tabs>
        <w:spacing w:after="120" w:line="320" w:lineRule="atLeast"/>
        <w:ind w:left="0"/>
        <w:jc w:val="both"/>
        <w:rPr>
          <w:b/>
          <w:bCs/>
          <w:highlight w:val="none"/>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highlight w:val="none"/>
          <w:lang w:val="pt-BR"/>
        </w:rPr>
      </w:r>
      <w:r>
        <w:rPr>
          <w:b/>
          <w:bCs/>
          <w:highlight w:val="none"/>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TY CỔ PHẦN KEHIN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2500234786</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Ông Nguyễn Văn Kết</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Giám đốc</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Toàn nhà Kết Hiền, số nhà 1, đường Mê Linh, phường Liên Bảo, TP. Vĩnh Yên, tỉnh Vĩnh Phúc</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7B85189">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color w:val="000000"/>
                <w:sz w:val="24"/>
              </w:rPr>
              <w:t xml:space="preserve">Quyền sử dụng đất thuê trả tiền một lần của các thửa đất có địa chỉ tại: xã Nguyệt Đức, huyện Yên Lạc, tỉnh Vĩnh Phúc (Nay là xã Nguyệt Đức, tỉnh Vĩnh Phúc) thuộc quyền sử dụng của Công ty Cổ phần Kehin (Chi tiết theo báo cáo đính kè</w:t>
            </w:r>
            <w:r>
              <w:rPr>
                <w:rFonts w:ascii="Times New Roman" w:hAnsi="Times New Roman" w:eastAsia="Times New Roman" w:cs="Times New Roman"/>
                <w:color w:val="000000"/>
                <w:sz w:val="24"/>
              </w:rPr>
              <w:t xml:space="preserve">m)</w:t>
            </w: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Nguyệt Đức, Huyện Yên Lạc, Tỉnh Vĩnh Phúc</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21.225277777778, 105.59586111111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700841AF">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z w:val="24"/>
        </w:rPr>
        <w:t xml:space="preserve">- </w:t>
        <w:tab/>
        <w:t xml:space="preserve">Giấy chứng nhận quyền sử dụng đất quyền sở hữu nhà ở và tài sản khác gắn liền với đất số: DG 348164 do UBND tỉnh Vĩnh Phúc cấp ngày 01/8/2022 cho Công ty Cổ phần Kehin.</w:t>
      </w:r>
      <w:r/>
    </w:p>
    <w:p w14:paraId="35594F66">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z w:val="24"/>
        </w:rPr>
        <w:t xml:space="preserve">-</w:t>
        <w:tab/>
        <w:t xml:space="preserve">Giấy chứng nhận quyền sử dụng đất quyền sở hữu nhà ở và tài sản khác gắn liền với đất số: DG 348165 do UBND tỉnh Vĩnh Phúc cấp ngày 01/8/2022 cho Công ty Cổ phần Kehin.</w:t>
        <w:tab/>
        <w:tab/>
      </w:r>
      <w:r/>
    </w:p>
    <w:p w14:paraId="1394D0AD">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z w:val="24"/>
        </w:rPr>
        <w:t xml:space="preserve">-</w:t>
        <w:tab/>
        <w:t xml:space="preserve">Giấy chứng nhận quyền sử dụng đất quyền sở hữu nhà ở và tài sản khác gắn liền với đất số: DG 348167 do UBND tỉnh Vĩnh Phúc cấp ngày 01/8/2022 cho Công ty Cổ phần Kehin.</w:t>
      </w:r>
      <w:r/>
    </w:p>
    <w:p w14:paraId="07A82E42">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z w:val="24"/>
        </w:rPr>
        <w:t xml:space="preserve">-</w:t>
        <w:tab/>
        <w:t xml:space="preserve">Giấy chứng nhận quyền sử dụng đất quyền sở hữu nhà ở và tài sản khác gắn liền với đất số: DG 348169 do UBND tỉnh Vĩnh Phúc cấp ngày 01/8/2022 cho Công ty Cổ phần Kehin.</w:t>
      </w:r>
      <w:r/>
    </w:p>
    <w:p w14:paraId="07569326">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z w:val="24"/>
        </w:rPr>
        <w:t xml:space="preserve">-</w:t>
        <w:tab/>
        <w:t xml:space="preserve">Giấy chứng nhận quyền sử dụng đất quyền sở hữu nhà ở và tài sản khác gắn liền với đất số: DG 348171 do UBND tỉnh Vĩnh Phúc cấp ngày 01/8/2022 cho Công ty Cổ phần Kehin.</w:t>
      </w:r>
      <w:r/>
    </w:p>
    <w:p w14:paraId="67E8E4CE">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z w:val="24"/>
        </w:rPr>
        <w:t xml:space="preserve">-</w:t>
        <w:tab/>
        <w:t xml:space="preserve">Giấy chứng nhận quyền sử dụng đất quyền sở hữu nhà ở và tài sản khác gắn liền với đất số: DG 348173 do UBND tỉnh Vĩnh Phúc cấp ngày 01/8/2022 cho Công ty Cổ phần Kehin.</w:t>
      </w:r>
      <w:r/>
    </w:p>
    <w:p w14:paraId="3E2206BD">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z w:val="24"/>
        </w:rPr>
        <w:t xml:space="preserve">-</w:t>
        <w:tab/>
        <w:t xml:space="preserve">Giấy chứng nhận quyền sử dụng đất quyền sở hữu nhà ở và tài sản khác gắn liền với đất số: DG 348174 do UBND tỉnh Vĩnh Phúc cấp ngày 01/8/2022 cho Công ty Cổ phần Kehin.</w:t>
      </w:r>
      <w:r/>
    </w:p>
    <w:p w14:paraId="265BB0FF">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z w:val="24"/>
        </w:rPr>
        <w:t xml:space="preserve">-</w:t>
        <w:tab/>
        <w:t xml:space="preserve">Giấy chứng nhận quyền sử dụng đất quyền sở hữu nhà ở và tài sản khác gắn liền với đất số: DG 348177 do UBND tỉnh Vĩnh Phúc cấp ngày 01/8/2022 cho Công ty Cổ phần Kehin.</w:t>
      </w:r>
      <w:r/>
    </w:p>
    <w:p w14:paraId="78E426C1">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z w:val="24"/>
        </w:rPr>
        <w:t xml:space="preserve">-</w:t>
        <w:tab/>
        <w:t xml:space="preserve">Giấy chứng nhận quyền sử dụng đất quyền sở hữu nhà ở và tài sản khác gắn liền với đất số: DG 348158 do UBND tỉnh Vĩnh Phúc cấp ngày 01/8/2022 cho Công ty Cổ phần Kehin.</w:t>
      </w:r>
      <w:r/>
    </w:p>
    <w:p w14:paraId="1A878888">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z w:val="24"/>
        </w:rPr>
        <w:t xml:space="preserve">-</w:t>
        <w:tab/>
        <w:t xml:space="preserve">Giấy chứng nhận quyền sử dụng đất quyền sở hữu nhà ở và tài sản khác gắn liền với đất số: DG 348156 do UBND tỉnh Vĩnh Phúc cấp ngày 01/8/2022 cho Công ty Cổ phần Kehin.</w:t>
      </w:r>
      <w:r/>
    </w:p>
    <w:p w14:paraId="35B59CAF">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z w:val="24"/>
        </w:rPr>
        <w:t xml:space="preserve">-</w:t>
        <w:tab/>
        <w:t xml:space="preserve">Giấy chứng nhận quyền sử dụng đất quyền sở hữu nhà ở và tài sản khác gắn liền với đất số: DG 348148 do UBND tỉnh Vĩnh Phúc cấp ngày 01/8/2022 cho Công ty Cổ phần Kehin.</w:t>
      </w: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00000"/>
          <w:sz w:val="24"/>
        </w:rPr>
        <w:t xml:space="preserve">275/2025/1173/VFI-HĐTĐ.37.A</w:t>
      </w:r>
      <w:r>
        <w:rPr>
          <w:color w:val="000000" w:themeColor="text1"/>
          <w:lang w:val="pt-BR"/>
        </w:rPr>
        <w:t xml:space="preserve"> ngày 05/09/2025 giữa CÔNG TY CỔ PHẦN KEHIN với Công ty Cổ phần Thẩm định và Đầu tư Tài chính Hoa Sen.</w:t>
      </w:r>
      <w:r>
        <w:rPr>
          <w:b/>
          <w:lang w:val="pt-BR"/>
        </w:rPr>
      </w:r>
      <w:r>
        <w:rPr>
          <w:b/>
          <w:lang w:val="pt-BR"/>
        </w:rPr>
      </w:r>
    </w:p>
    <w:p w14:paraId="7BDC3A25" w14:textId="77D2CF95">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highlight w:val="none"/>
          <w:lang w:val="pt-BR"/>
        </w:rPr>
      </w:pPr>
      <w:r>
        <w:rPr>
          <w:b/>
          <w:bCs/>
          <w:lang w:val="pt-BR"/>
        </w:rPr>
        <w:t xml:space="preserve">III</w:t>
      </w:r>
      <w:r>
        <w:rPr>
          <w:b/>
          <w:bCs/>
          <w:lang w:val="pt-BR"/>
        </w:rPr>
        <w:t xml:space="preserve">. TỔNG QUAN VỀ THỊ TRƯỜNG CỦA TÀI SẢN THẨM ĐỊNH GIÁ</w:t>
      </w:r>
      <w:r>
        <w:rPr>
          <w:b/>
          <w:bCs/>
          <w:highlight w:val="none"/>
          <w:lang w:val="pt-BR"/>
        </w:rPr>
      </w:r>
      <w:r>
        <w:rPr>
          <w:b/>
          <w:bCs/>
          <w:highlight w:val="none"/>
          <w:lang w:val="pt-BR"/>
        </w:rPr>
      </w:r>
    </w:p>
    <w:p w14:paraId="62019403">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color w:val="000000"/>
          <w:sz w:val="24"/>
        </w:rPr>
        <w:t xml:space="preserve">Cụm Công nghiệp làng nghề Minh Phương đã và đang hoàn hiện cơ sở hạ tầng được các nhà đầu tư đánh giá rất cao bởi tiềm năng phát triển tại thị trấn Yên Lạc. Với quy hoạch một cụm công nghiệp hiện đại với đầy đủ tiện ích, Cụm CN làng nghề Minh Phương đang t</w:t>
      </w:r>
      <w:r>
        <w:rPr>
          <w:rFonts w:ascii="Times New Roman" w:hAnsi="Times New Roman" w:eastAsia="Times New Roman" w:cs="Times New Roman"/>
          <w:color w:val="000000"/>
          <w:sz w:val="24"/>
        </w:rPr>
        <w:t xml:space="preserve">ạo được niềm tin nhà đầu tư cũng như những người cư dân mong muốn về đây sản xuất, kinh doanh.</w:t>
      </w:r>
      <w:r/>
    </w:p>
    <w:p w14:paraId="32766F95">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Tên dự án: </w:t>
      </w:r>
      <w:r>
        <w:rPr>
          <w:rFonts w:ascii="Times New Roman" w:hAnsi="Times New Roman" w:eastAsia="Times New Roman" w:cs="Times New Roman"/>
          <w:b/>
          <w:color w:val="000000"/>
          <w:sz w:val="24"/>
        </w:rPr>
        <w:t xml:space="preserve">Cụm Công nghiệp làng nghề Minh Phương</w:t>
      </w:r>
      <w:r/>
    </w:p>
    <w:p w14:paraId="71E5DF35">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Địa điểm: Thị trấn Yên Lạc + xã Nguyệt Đức, huyện Yên Lạc, tỉnh Vĩnh Phúc.</w:t>
      </w:r>
      <w:r/>
    </w:p>
    <w:p w14:paraId="5B5BF3E7">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Chủ đầu tư: Công Ty Cổ phần KEHIN</w:t>
      </w:r>
      <w:r/>
    </w:p>
    <w:p w14:paraId="6792949A">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Thiết kế: Viện Quy hoạch tỉnh Vĩnh Phúc</w:t>
      </w:r>
      <w:r/>
    </w:p>
    <w:p w14:paraId="2D01FF23">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Diện tích: 38 hecta</w:t>
      </w:r>
      <w:r/>
    </w:p>
    <w:p w14:paraId="21B3ECD6">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Số lượng: 500 lô</w:t>
      </w:r>
      <w:r/>
    </w:p>
    <w:p w14:paraId="0664E515">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Diện tích từng lô: 350 đến 500 m2 – mặt tiền từ 10m</w:t>
      </w:r>
      <w:r/>
    </w:p>
    <w:p w14:paraId="035A1E49">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Loại hình: Cụm Công Nghiệp Làng Nghề</w:t>
      </w:r>
      <w:r/>
    </w:p>
    <w:p w14:paraId="0B6CBE1C">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Xây dựng: Nhà xưởng sản xuất, kho hàng hóa..+ 30% xây dựng kiên cố</w:t>
      </w:r>
      <w:r/>
    </w:p>
    <w:p w14:paraId="16BB233D">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Cơ cấu sản phẩm: Nhà xưởng, khu chế xuất</w:t>
      </w:r>
      <w:r/>
    </w:p>
    <w:p w14:paraId="71A74CD8">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Sở hữu: sổ đỏ, sở hữu 50 năm</w:t>
      </w:r>
      <w:r/>
    </w:p>
    <w:p w14:paraId="55EF3865">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b/>
          <w:color w:val="000000"/>
          <w:sz w:val="24"/>
        </w:rPr>
        <w:t xml:space="preserve">Vị trí Dự án Cụm Công nghiệp làng nghề Minh Phương</w:t>
      </w:r>
      <w:r/>
    </w:p>
    <w:p w14:paraId="6B6F599E">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color w:val="000000"/>
          <w:sz w:val="24"/>
        </w:rPr>
        <w:t xml:space="preserve">Dự án Cụm Công nghiệp làng nghề Minh Phương nằm ở vị trí đắc địa, kết nối với nhiều khu công nghiệp, tuyến đường quan trọng, nằm giữa 2 làng nghề đồ gỗ nổi tiếng của tỉnh Vĩnh Phúc là Minh Tân – Yên Lạc và Thanh Lãng – Bình Xuyên.</w:t>
      </w:r>
      <w:r/>
    </w:p>
    <w:p w14:paraId="4E69A6E1">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Phía Bắc giáp đường Tỉnh lộ 303 đi huyện Bình Xuyên;</w:t>
      </w:r>
      <w:r/>
    </w:p>
    <w:p w14:paraId="7BC645BD">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Phía Tây giáp đường quy hoach trục Bắc Nam nối với cầu Vân Phúc Hà Nội;</w:t>
      </w:r>
      <w:r/>
    </w:p>
    <w:p w14:paraId="120AEC4F">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Phía Nam giáp đường Vành đai 3 Vĩnh Phúc;</w:t>
      </w:r>
      <w:r/>
    </w:p>
    <w:p w14:paraId="61A23110">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Phía Đông giáp đất canh tác và dân cư hiện có.</w:t>
      </w:r>
      <w:r/>
    </w:p>
    <w:p w14:paraId="0CAB0226">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b/>
          <w:color w:val="000000"/>
          <w:sz w:val="24"/>
        </w:rPr>
        <w:t xml:space="preserve">Liên kết vùng Dự án Cụm Công nghiệp làng nghề Minh Phương</w:t>
      </w:r>
      <w:r/>
    </w:p>
    <w:p w14:paraId="22D1BBBC">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color w:val="000000"/>
          <w:sz w:val="24"/>
        </w:rPr>
        <w:t xml:space="preserve">Dự án Cụm CN Làng Nghề Minh Phương nằm trên 4 trục đường rộng từ 32m – 52m, bao quanh gồm đường trục Bắc Nam kéo dài, đường Vành đai 3 tỉnh Vĩnh Phúc, đường tỉnh lộ 303, đường trục Vĩnh Yên</w:t>
      </w:r>
      <w:r/>
    </w:p>
    <w:p w14:paraId="4665D6D0">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Cách Thị trấn du lịch Tam Đảo 40 phút chạy xe</w:t>
      </w:r>
      <w:r/>
    </w:p>
    <w:p w14:paraId="79D86F3A">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Cách thành phố CN Việt Trì 20 phút</w:t>
      </w:r>
      <w:r/>
    </w:p>
    <w:p w14:paraId="3468A917">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Cách Thị xã Sơn Tây 20 Phút chạy xe</w:t>
      </w:r>
      <w:r/>
    </w:p>
    <w:p w14:paraId="23A1F4DC">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Cách TT thành phố Vĩnh Yên 10 Phút</w:t>
      </w:r>
      <w:r/>
    </w:p>
    <w:p w14:paraId="3C6C3A57">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Cách Sân bay Nội Bài 30 phút chạy xe</w:t>
      </w:r>
      <w:r/>
    </w:p>
    <w:p w14:paraId="73C4A6D8">
      <w:pPr>
        <w:numPr>
          <w:ilvl w:val="0"/>
          <w:numId w:val="39"/>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Cách Khu CN Bình Xuyên 10 phút</w:t>
      </w:r>
      <w:r/>
    </w:p>
    <w:p w14:paraId="1A4035AB">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b/>
          <w:color w:val="000000"/>
          <w:sz w:val="24"/>
        </w:rPr>
        <w:t xml:space="preserve">Quy hoạch – Mặt bằng phân lô – Thiết kế Dự án Cụm Công nghiệp làng nghề Minh Phương</w:t>
      </w:r>
      <w:r/>
    </w:p>
    <w:p w14:paraId="37F96DBC">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color w:val="000000"/>
          <w:sz w:val="24"/>
        </w:rPr>
        <w:t xml:space="preserve">Dự án CCN Làng Nghề Minh Phương có 10 phân khu với hạ tầng kỹ thuật hoàn chỉnh đồng bộ, đầy đủ tiện ích, được xây dựng nhà và xưởng 3 tầng.</w:t>
      </w:r>
      <w:r/>
    </w:p>
    <w:p w14:paraId="3CC65622">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b/>
          <w:color w:val="000000"/>
          <w:sz w:val="24"/>
        </w:rPr>
        <w:t xml:space="preserve">Lý do Khách hàng nên lựa chọn Mua – Đầu tư đất nền kho xưởng Dự án Cụm Công nghiệp làng nghề Minh Phương</w:t>
      </w:r>
      <w:r/>
    </w:p>
    <w:p w14:paraId="488AAD87">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b/>
          <w:i/>
          <w:color w:val="000000"/>
          <w:sz w:val="24"/>
        </w:rPr>
        <w:t xml:space="preserve">Vị trí đắc địa trung tâm</w:t>
      </w:r>
      <w:r/>
    </w:p>
    <w:p w14:paraId="7C89BB11">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color w:val="000000"/>
          <w:sz w:val="24"/>
        </w:rPr>
        <w:t xml:space="preserve">Cụm Công Nghiệp Làng Nghề Minh Phương sở hữu vị trí chiến lược ngay cửa ngõ thị trấn Yên Lạc, huyện yên Lạc, tỉnh Vĩnh Phúc, với tổng diện tích quy hoạch xây dựng gần 40 ha, cụm công nghiệp làng nghề Minh Phương được đánh giá có vị trí đắc địa, là cửa ngõ </w:t>
      </w:r>
      <w:r>
        <w:rPr>
          <w:rFonts w:ascii="Times New Roman" w:hAnsi="Times New Roman" w:eastAsia="Times New Roman" w:cs="Times New Roman"/>
          <w:color w:val="000000"/>
          <w:sz w:val="24"/>
        </w:rPr>
        <w:t xml:space="preserve">để giao thương, có 4 trục đường bao quanh, là điểm giao của nhiều nút giao thông trọng yếu.</w:t>
      </w:r>
      <w:r/>
    </w:p>
    <w:p w14:paraId="5D48B0D2">
      <w:pPr>
        <w:numPr>
          <w:ilvl w:val="0"/>
          <w:numId w:val="40"/>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Từ dự án di chuyển tới sân bay Nội Bài qua đường DT 303 sau đó di chuyển vào đường DT301 chỉ mất mất 30 phút,</w:t>
      </w:r>
      <w:r/>
    </w:p>
    <w:p w14:paraId="5BE6F18A">
      <w:pPr>
        <w:numPr>
          <w:ilvl w:val="0"/>
          <w:numId w:val="40"/>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Từ dự án di chuyển tới tới trung tâm thành phố Vĩnh Yên qua đường DT305 chỉ mất 10 phút,</w:t>
      </w:r>
      <w:r/>
    </w:p>
    <w:p w14:paraId="5E72E38C">
      <w:pPr>
        <w:numPr>
          <w:ilvl w:val="0"/>
          <w:numId w:val="40"/>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Từ dự án di chuyển đến khu công nghiệp Bình Xuyên qua đường DT 303 chỉ mất 10 phút và Đặc biệt, Dự án cách Trung tâm Siêu cảng Logistic ICD Vĩnh Phúc cũng chỉ với 10 phút. Đây thật sự là một vị trí vô cùng thuận lợi để di chuyển cũng như luân chuyển hàng h</w:t>
      </w:r>
      <w:r>
        <w:rPr>
          <w:rFonts w:ascii="Times New Roman" w:hAnsi="Times New Roman" w:eastAsia="Times New Roman" w:cs="Times New Roman"/>
          <w:color w:val="000000"/>
          <w:sz w:val="24"/>
        </w:rPr>
        <w:t xml:space="preserve">óa giữa các vùng trong cả nước đến các vùng kinh tế trọng điểm.</w:t>
      </w:r>
      <w:r/>
    </w:p>
    <w:p w14:paraId="3F722A75">
      <w:pPr>
        <w:numPr>
          <w:ilvl w:val="0"/>
          <w:numId w:val="40"/>
        </w:numPr>
        <w:pBdr>
          <w:top w:val="none" w:color="000000" w:sz="4" w:space="0"/>
          <w:left w:val="none" w:color="000000" w:sz="4" w:space="0"/>
          <w:bottom w:val="none" w:color="000000" w:sz="4" w:space="0"/>
          <w:right w:val="none" w:color="000000" w:sz="4" w:space="0"/>
        </w:pBdr>
        <w:spacing w:after="60" w:before="60" w:line="276" w:lineRule="auto"/>
        <w:ind/>
        <w:rPr/>
      </w:pPr>
      <w:r>
        <w:rPr>
          <w:rFonts w:ascii="Times New Roman" w:hAnsi="Times New Roman" w:eastAsia="Times New Roman" w:cs="Times New Roman"/>
          <w:color w:val="000000"/>
          <w:sz w:val="24"/>
        </w:rPr>
        <w:t xml:space="preserve">Lộ trình tương lai: hàng loạt CT sẽ được khởi công,2 tuyến đường : đường VĐ 3 Vĩnh Phúc, đường trục Bắc Nam  liền Cầu Vân Phúc sẽ rút ngắn hành trình từ Cụm CN Minh Phương đi Hà Nội còn 20 phút.</w:t>
      </w:r>
      <w:r/>
    </w:p>
    <w:p w14:paraId="154DCBE8">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color w:val="000000"/>
          <w:sz w:val="24"/>
        </w:rPr>
        <w:t xml:space="preserve">Trong tương lai sự phát triển đồng hành của Khu CN Minh Phương và khu CN Thăng Long 3 Vĩnh Phúc với sự đầu tư hạ tầng khu công nghiệp từ tập đoàn Sumitomo hứa hẹn thu hút khoảng 80 dự án đầu tư thứ cấp từ Nhật Bản, tạo việc làm mới cho trên 25.000.</w:t>
      </w:r>
      <w:r/>
    </w:p>
    <w:p w14:paraId="24CD641D">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b/>
          <w:i/>
          <w:color w:val="000000"/>
          <w:sz w:val="24"/>
        </w:rPr>
        <w:t xml:space="preserve">Giá đất hợp lý</w:t>
      </w:r>
      <w:r/>
    </w:p>
    <w:p w14:paraId="6ADCBEB6">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color w:val="000000"/>
          <w:sz w:val="24"/>
        </w:rPr>
        <w:t xml:space="preserve">Với nhu cầu làm mặt bằng lớn để dịch chuyển cơ cấu làng nghề và các cụm công nghiệp từ việc ở lẫn trong khu dân cư gây ô nhiễm môi trường, tiếng ồn, khí thải khói bụi ra ngoài thì việc lựa chọn Cụm CN Làng Nghề Minh Phương là đúng đắn.</w:t>
      </w:r>
      <w:r/>
    </w:p>
    <w:p w14:paraId="5330D53A">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color w:val="000000"/>
          <w:sz w:val="24"/>
        </w:rPr>
        <w:t xml:space="preserve">Làn sóng đầu tư bất động sản khiến giá đất Vĩnh Phúc có biến động nhiều trong vài năm trở lại đây. Tại dự án Cụm Công Nghiệp Làng Nghề Minh Phương khách hàng chỉ cần tài chính từ dao động từ 7 triệu đồng đến hơn 10 triệu đồng/m2 tùy vào diện tích và nhu cầ</w:t>
      </w:r>
      <w:r>
        <w:rPr>
          <w:rFonts w:ascii="Times New Roman" w:hAnsi="Times New Roman" w:eastAsia="Times New Roman" w:cs="Times New Roman"/>
          <w:color w:val="000000"/>
          <w:sz w:val="24"/>
        </w:rPr>
        <w:t xml:space="preserve">u sử dụng để sản xuất hoặc làm kho hoặc nhà xưởng. Với vị trí tuyệt đẹp cùng tiến độ đóng tiền cực kỳ hợp lý, nhằm giảm bớt áp lực cho khách hàng. Với những khách hàng đầu tư với mục đích đem lại cho những doanh nghiệp và nhà đầu tư có cơ hội “bỏ vốn ít nh</w:t>
      </w:r>
      <w:r>
        <w:rPr>
          <w:rFonts w:ascii="Times New Roman" w:hAnsi="Times New Roman" w:eastAsia="Times New Roman" w:cs="Times New Roman"/>
          <w:color w:val="000000"/>
          <w:sz w:val="24"/>
        </w:rPr>
        <w:t xml:space="preserve">ưng tiềm năng sinh lời cao”.</w:t>
      </w:r>
      <w:r/>
    </w:p>
    <w:p w14:paraId="08081F63">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color w:val="000000"/>
          <w:sz w:val="24"/>
        </w:rPr>
        <w:t xml:space="preserve">Sở hữu đất nền tại dự án Cụm Công Nghiệp Làng Nghề Minh Phương trong thời điểm hiện tại không chỉ tận dụng được mức giá mềm mà còn đón đầu tiềm năng tăng giá trong tương lai.</w:t>
      </w:r>
      <w:r/>
    </w:p>
    <w:p w14:paraId="66DEDD7B">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b/>
          <w:i/>
          <w:color w:val="000000"/>
          <w:sz w:val="24"/>
        </w:rPr>
        <w:t xml:space="preserve">Chủ đầu tư uy tín, tâm huyết</w:t>
      </w:r>
      <w:r/>
    </w:p>
    <w:p w14:paraId="1DC16EE6">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color w:val="000000"/>
          <w:sz w:val="24"/>
        </w:rPr>
        <w:t xml:space="preserve">Là dự án nổi bật của Công ty Cổ phần KEHIN, Dự án Cụm Công Nghiệp Làng Nghề Minh Phương được bảo chứng bởi tiềm lực và uy tín chủ đầu tư.</w:t>
      </w:r>
      <w:r/>
    </w:p>
    <w:p w14:paraId="292D87A4">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color w:val="000000"/>
          <w:sz w:val="24"/>
        </w:rPr>
        <w:t xml:space="preserve">Với toàn bộ tâm huyết, Công ty Cổ phần Cổ Phần KEHIN mong muốn mang đến cho khách hàng cơ hội mở rộng sản xuất kinh doanh tại vị trí đắc địa với hệ thống giao thông thuận tiện có 4 trục đường bao quanh là điểm giao của nhiều nút giao thông trọng yếu.</w:t>
      </w:r>
      <w:r/>
    </w:p>
    <w:p w14:paraId="10465E49">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color w:val="000000"/>
          <w:sz w:val="24"/>
        </w:rPr>
        <w:t xml:space="preserve">Cụm Công Nghiệp Làng Nghề Minh Phương là dự án nhận được sự ủng hộ của các sở ban ngành. Điều này chứng tỏ chủ đầu tư đã tuân thủ đúng quy hoạch, quy định về quản lý. Cụm Công Nghiệp và Làng Nghề Minh Phương có hệ thống hạ tầng và tiện ích đồng bộ hiện đại</w:t>
      </w:r>
      <w:r>
        <w:rPr>
          <w:rFonts w:ascii="Times New Roman" w:hAnsi="Times New Roman" w:eastAsia="Times New Roman" w:cs="Times New Roman"/>
          <w:color w:val="000000"/>
          <w:sz w:val="24"/>
        </w:rPr>
        <w:t xml:space="preserve"> như Trung tâm Điều hành, hệ thống cấp điện cấp thoát nước, nhà máy cấp nước, nhà máy xử lý nước thải, đường giao thông, công viên cây xanh,…</w:t>
      </w:r>
      <w:r/>
    </w:p>
    <w:p w14:paraId="08DFBD63">
      <w:pPr>
        <w:pBdr>
          <w:top w:val="none" w:color="000000" w:sz="4" w:space="0"/>
          <w:left w:val="none" w:color="000000" w:sz="4" w:space="0"/>
          <w:bottom w:val="none" w:color="000000" w:sz="4" w:space="0"/>
          <w:right w:val="none" w:color="000000" w:sz="4" w:space="0"/>
        </w:pBdr>
        <w:spacing w:after="60" w:before="60" w:line="276" w:lineRule="auto"/>
        <w:ind w:right="0" w:firstLine="360" w:left="0"/>
        <w:rPr/>
      </w:pPr>
      <w:r>
        <w:rPr>
          <w:rFonts w:ascii="Times New Roman" w:hAnsi="Times New Roman" w:eastAsia="Times New Roman" w:cs="Times New Roman"/>
          <w:color w:val="000000"/>
          <w:sz w:val="24"/>
        </w:rPr>
        <w:t xml:space="preserve">Đồng thời, với chính sách pháp lý rõ ràng, thủ tục hành chính thuận lợi, sổ hồng trao tay ngay sau khi hoàn thành hợp đồng, Chúng tôi luôn đồng hành, tạo điều kiện tối đa cho các nhà đầu tư của mình từ khi bắt đầu thực hiện đầu tư dự án cũng như trong suốt</w:t>
      </w:r>
      <w:r>
        <w:rPr>
          <w:rFonts w:ascii="Times New Roman" w:hAnsi="Times New Roman" w:eastAsia="Times New Roman" w:cs="Times New Roman"/>
          <w:color w:val="000000"/>
          <w:sz w:val="24"/>
        </w:rPr>
        <w:t xml:space="preserve"> quá trình hoạt động sản xuất kinh doanh với những dịch vụ hỗ trợ chuyên nghiệp nhất.</w:t>
      </w:r>
      <w:r/>
    </w:p>
    <w:p w14:paraId="533E1C97">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425" w:left="0"/>
        <w:jc w:val="center"/>
        <w:rPr/>
      </w:pPr>
      <w:r>
        <w:rPr>
          <w:rFonts w:ascii="Times New Roman" w:hAnsi="Times New Roman" w:eastAsia="Times New Roman" w:cs="Times New Roman"/>
          <w:color w:val="000000"/>
          <w:sz w:val="24"/>
        </w:rPr>
        <w:t xml:space="preserve">(</w:t>
      </w:r>
      <w:r>
        <w:rPr>
          <w:rFonts w:ascii="Times New Roman" w:hAnsi="Times New Roman" w:eastAsia="Times New Roman" w:cs="Times New Roman"/>
          <w:i/>
          <w:color w:val="000000"/>
          <w:sz w:val="24"/>
        </w:rPr>
        <w:t xml:space="preserve">Nguồn tham khảo: https://corerealty.vn/du-an-cum-cong-ngiep-lang-nghe-minh-phuong-yen-lac-vinh-phuc/)</w:t>
      </w:r>
      <w:r/>
    </w:p>
    <w:p w14:paraId="6DD843B4" w14:textId="7AD4A83E">
      <w:pPr>
        <w:pBdr/>
        <w:tabs>
          <w:tab w:val="left" w:leader="none" w:pos="426"/>
        </w:tabs>
        <w:spacing w:after="120" w:before="120" w:line="276" w:lineRule="auto"/>
        <w:ind/>
        <w:rPr>
          <w:i/>
          <w:iCs/>
          <w:lang w:val="pt-BR"/>
        </w:rPr>
      </w:pPr>
      <w:r>
        <w:rPr>
          <w:shd w:val="clear" w:color="auto" w:fill="ffffff"/>
        </w:rPr>
      </w: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i/>
          <w:iCs/>
          <w:lang w:val="pt-BR"/>
        </w:rPr>
      </w:r>
      <w:r>
        <w:rPr>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Giấy chứng nhận số DG 348164, Số vào sổ cấp GCN 01/8/2022 | Tài sản tại: Xã Nguyệt Đức, Huyện Yên Lạc, Tỉnh Vĩnh Phúc, độ rộng đường trước mặt tài sản 50m, mặt tiền 10m, 21.225277777777777, 105.5958611111111</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236</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Nguyệt Đức, Huyện Yên Lạc, Tỉnh Vĩnh Phúc</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500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500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cụm công nghiệp</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16.5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16.5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21.225277777778</w:t>
            </w:r>
            <w:r>
              <w:rPr>
                <w:color w:val="000000"/>
              </w:rPr>
              <w:t xml:space="preserve">, </w:t>
            </w:r>
            <w:r>
              <w:rPr>
                <w:color w:val="000000"/>
              </w:rPr>
              <w:t xml:space="preserve">105.59586111111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500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50</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vuông</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Môi giới: 0393548621</w:t>
            </w:r>
            <w:r>
              <w:rPr>
                <w:sz w:val="22"/>
                <w:szCs w:val="22"/>
              </w:rPr>
              <w:t xml:space="preserve"> </w:t>
            </w:r>
            <w:r>
              <w:rPr>
                <w:sz w:val="22"/>
                <w:szCs w:val="22"/>
              </w:rPr>
              <w:br/>
              <w:t xml:space="preserve">(</w:t>
            </w:r>
            <w:r>
              <w:rPr>
                <w:sz w:val="22"/>
                <w:szCs w:val="22"/>
              </w:rPr>
              <w:t xml:space="preserve">anh 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Môi giới: 0974253168</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0975119685</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Có thời hạn (đến 31/12/2065)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Nguyệt Đức, Huyện Yên Lạc, Tỉnh Vĩnh Phúc, độ rộng đường trước mặt tài sản 50m, mặt tiền 10m, 21.225277777777777, 105.5958611111111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923.4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44.18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11.188.800.000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4.606.000.000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9.750.000.000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11.188.800.000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4.606.000.000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7.800.000.000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8.951.040.000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3.684.800.000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 – Có thời hạn (đến 31/12/2065, 40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Nguyệt Đức, Huyện Yên Lạc, Tỉnh Vĩnh Phúc, độ rộng đường trước mặt tài sản 50m, mặt tiền 10m, 21.225277777777777, 105.5958611111111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1.744.842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1.411.200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923.4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312.000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872.421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-78.400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10.712.000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12.310.830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9.172.800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-775.485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11.232.000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11.535.345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9.172.800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44.18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11.232.000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11.535.345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9.172.800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-2.288.000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-2.132.585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9.402.760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9.172.800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9.402.760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9.172.800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9.402.760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9.172.800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công viên, vườn hoa, quảng trường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9.402.760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9.172.800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9.402.760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9.172.800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-1.938.713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-1.568.000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7.464.047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7.604.800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8.944.000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7.464.047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7.604.800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8.004.282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11.74%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-6.75%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-4.99%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3.120.000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7.464.046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3.057.600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- 22%%</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- 22%%</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1.456.000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2.229.520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235.200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-6.75</w:t>
      </w:r>
      <w:r>
        <w:t xml:space="preserve">% đến</w:t>
      </w:r>
      <w:r>
        <w:t xml:space="preserve"> </w:t>
      </w:r>
      <w:r>
        <w:t xml:space="preserve"> </w:t>
      </w:r>
      <w:r>
        <w:t xml:space="preserve">11.74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8.944.000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2.981.930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7.464.047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2.487.767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7.604.800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2.534.680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8.004.377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8.000.000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8.000.000</w:t>
      </w:r>
      <w:r>
        <w:rPr>
          <w:b/>
          <w:bCs/>
          <w:color w:val="000000" w:themeColor="text1"/>
        </w:rPr>
        <w:t xml:space="preserve"> </w:t>
      </w:r>
      <w:r>
        <w:rPr>
          <w:b/>
          <w:bCs/>
        </w:rPr>
        <w:t xml:space="preserve">đồng/m².</w:t>
      </w:r>
      <w:r>
        <w:rPr>
          <w:b/>
          <w:bCs/>
        </w:rPr>
      </w:r>
      <w:r>
        <w:rPr>
          <w:b/>
          <w:bCs/>
        </w:rPr>
      </w:r>
    </w:p>
    <w:p w14:paraId="7CA7D420" w14:textId="77777777">
      <w:pPr>
        <w:pStyle w:val="1029"/>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549B54B9" w14:textId="77777777">
      <w:pPr>
        <w:pStyle w:val="1029"/>
        <w:pBdr/>
        <w:spacing w:after="120" w:before="120" w:line="276" w:lineRule="auto"/>
        <w:ind w:left="357"/>
        <w:jc w:val="both"/>
        <w:rPr>
          <w:b/>
          <w:lang w:val="pt-BR"/>
        </w:rPr>
      </w:pPr>
      <w:r>
        <w:rPr>
          <w:b/>
          <w:lang w:val="pt-BR"/>
        </w:rPr>
      </w:r>
      <w:r>
        <w:rPr>
          <w:b/>
          <w:lang w:val="pt-BR"/>
        </w:rPr>
      </w:r>
      <w:r>
        <w:rPr>
          <w:b/>
          <w:lang w:val="pt-BR"/>
        </w:rPr>
      </w:r>
    </w:p>
    <w:p w14:paraId="4B506B03" w14:textId="49B8E0F8">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14:paraId="0511DCC7" w14:textId="77777777">
      <w:pPr>
        <w:pStyle w:val="1029"/>
        <w:pBdr/>
        <w:tabs>
          <w:tab w:val="left" w:leader="none" w:pos="993"/>
        </w:tabs>
        <w:spacing w:after="120" w:before="120" w:line="276" w:lineRule="auto"/>
        <w:ind w:left="0"/>
        <w:jc w:val="both"/>
        <w:rPr/>
      </w:pPr>
      <w:r/>
      <w:r/>
    </w:p>
    <w:p w14:paraId="1556E090" w14:textId="77777777">
      <w:pPr>
        <w:pStyle w:val="1029"/>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Giấy chứng nhận số DG 348164, Số vào sổ cấp GCN 01/8/2022 | Tài sản tại: Xã Nguyệt Đức, Huyện Yên Lạc, Tỉnh Vĩnh Phúc, độ rộng đường trước mặt tài sản 50m, mặt tiền 10m, 21.225277777777777, 105.5958611111111</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cụm công nghiệp</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500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8.000.000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4.000.000.000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4.000.000.000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4.000.000.000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w:t>
            </w:r>
            <w:r>
              <w:rPr>
                <w:b/>
                <w:bCs/>
                <w:i/>
                <w:iCs/>
                <w:color w:val="000000"/>
              </w:rPr>
              <w:t xml:space="preserve">./.)</w:t>
            </w:r>
            <w:r>
              <w:rPr>
                <w:b/>
                <w:bCs/>
                <w:i/>
                <w:iCs/>
                <w:color w:val="000000"/>
              </w:rPr>
            </w:r>
            <w:r>
              <w:rPr>
                <w:b/>
                <w:bCs/>
                <w:i/>
                <w:iCs/>
                <w:color w:val="000000"/>
              </w:rPr>
            </w:r>
          </w:p>
        </w:tc>
      </w:tr>
    </w:tbl>
    <w:p w14:paraId="187E2E91" w14:textId="56B58432">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9"/>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275/2025/1173/VFI-CT.37.A</w:t>
      </w:r>
      <w:r>
        <w:rPr>
          <w:color w:val="ff0000"/>
          <w:lang w:val="vi-VN"/>
        </w:rPr>
        <w:t xml:space="preserve"> </w:t>
      </w:r>
      <w:r>
        <w:rPr>
          <w:color w:val="000000" w:themeColor="text1"/>
        </w:rPr>
        <w:t xml:space="preserve">ngày 10 tháng 9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29"/>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29"/>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275/2025/1173/VFI-BC.37.A</w:t>
      </w:r>
      <w:r>
        <w:rPr>
          <w:i/>
          <w:lang w:val="pt-BR"/>
        </w:rPr>
        <w:t xml:space="preserve"> </w:t>
      </w:r>
      <w:r>
        <w:rPr>
          <w:i/>
          <w:lang w:val="pt-BR"/>
        </w:rPr>
        <w:t xml:space="preserve">10 tháng 9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275/2025/1173/VFI-BC.37.A</w:t>
      </w:r>
      <w:r>
        <w:rPr>
          <w:i/>
          <w:lang w:val="pt-BR"/>
        </w:rPr>
        <w:t xml:space="preserve"> </w:t>
      </w:r>
      <w:r>
        <w:rPr>
          <w:i/>
          <w:lang w:val="pt-BR"/>
        </w:rPr>
        <w:t xml:space="preserve">10 tháng 9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0393548621</w:t>
            </w:r>
            <w:r>
              <w:rPr>
                <w:sz w:val="22"/>
                <w:szCs w:val="22"/>
              </w:rPr>
              <w:t xml:space="preserve"> </w:t>
            </w:r>
            <w:r>
              <w:rPr>
                <w:sz w:val="22"/>
                <w:szCs w:val="22"/>
              </w:rPr>
              <w:br/>
              <w:t xml:space="preserve">(anh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9.750.000.000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7.800.000.000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cụm công nghiệp (750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cụm công nghiệp – Có thời hạn (đến 31/12/2065, 40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750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58.33pt;height:250.00pt;mso-wrap-distance-left:0.00pt;mso-wrap-distance-top:0.00pt;mso-wrap-distance-right:0.00pt;mso-wrap-distance-bottom:0.00pt;z-index:1;" stroked="false">
                      <v:imagedata r:id="rId1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58.33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26B4769F" w14:textId="77777777">
      <w:pPr>
        <w:pBdr/>
        <w:spacing w:after="200" w:line="276" w:lineRule="auto"/>
        <w:ind/>
        <w:rPr>
          <w:b/>
          <w:bCs/>
          <w:iCs/>
          <w:lang w:val="pt-BR"/>
        </w:rPr>
      </w:pPr>
      <w:r>
        <w:rPr>
          <w:b/>
          <w:bCs/>
          <w:iCs/>
          <w:lang w:val="pt-BR"/>
        </w:rPr>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0974253168</w:t>
            </w:r>
            <w:r>
              <w:rPr>
                <w:sz w:val="22"/>
                <w:szCs w:val="22"/>
              </w:rPr>
              <w:t xml:space="preserve"> </w:t>
            </w:r>
            <w:r>
              <w:rPr>
                <w:sz w:val="22"/>
                <w:szCs w:val="22"/>
              </w:rPr>
              <w:br/>
              <w:t xml:space="preserve">(Môi giới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11.188.800.000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8.951.040.000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cụm công nghiệp (923.40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923.4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20.9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90066"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2900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32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0975119685</w:t>
            </w:r>
            <w:r>
              <w:rPr>
                <w:sz w:val="22"/>
                <w:szCs w:val="22"/>
              </w:rPr>
              <w:t xml:space="preserve"> </w:t>
            </w:r>
            <w:r>
              <w:rPr>
                <w:sz w:val="22"/>
                <w:szCs w:val="22"/>
              </w:rPr>
              <w:br/>
              <w:t xml:space="preserve">(Môi giới: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4.606.000.000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3.684.800.000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cụm công nghiệp (470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470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2368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8236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3.60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7151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8715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7.36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9543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8954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9.2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1D20085F">
            <w:pPr>
              <w:pBdr/>
              <w:spacing/>
              <w:ind/>
              <w:jc w:val="center"/>
              <w:rPr/>
            </w:pPr>
            <w:r>
              <w:rPr>
                <w:highlight w:val="none"/>
              </w:rPr>
            </w:r>
            <w:r>
              <w:rPr>
                <w:highlight w:val="none"/>
              </w:rPr>
            </w:r>
            <w:r/>
          </w:p>
          <w:p w14:paraId="2A7B604D">
            <w:pPr>
              <w:pBdr/>
              <w:spacing/>
              <w:ind/>
              <w:jc w:val="center"/>
              <w:rPr>
                <w:highlight w:val="none"/>
              </w:rPr>
            </w:pPr>
            <w:r>
              <w:rPr>
                <w:highlight w:val="none"/>
              </w:rPr>
            </w:r>
            <w:r>
              <w:rPr>
                <w:highlight w:val="none"/>
              </w:rPr>
            </w:r>
            <w:r>
              <w:rPr>
                <w:highlight w:val="none"/>
              </w:rPr>
            </w:r>
          </w:p>
          <w:p w14:paraId="58BD55DF">
            <w:pPr>
              <w:pBdr/>
              <w:spacing/>
              <w:ind/>
              <w:jc w:val="center"/>
              <w:rPr>
                <w:highlight w:val="none"/>
              </w:rPr>
            </w:pPr>
            <w:r>
              <w:rPr>
                <w:highlight w:val="none"/>
              </w:rPr>
            </w:r>
            <w:r>
              <w:rPr>
                <w:highlight w:val="none"/>
              </w:rPr>
            </w:r>
            <w:r>
              <w:rPr>
                <w:highlight w:val="none"/>
              </w:rPr>
            </w:r>
          </w:p>
          <w:p w14:paraId="05D7A9EE">
            <w:pPr>
              <w:pBdr/>
              <w:spacing/>
              <w:ind/>
              <w:jc w:val="center"/>
              <w:rPr>
                <w:highlight w:val="none"/>
              </w:rPr>
            </w:pPr>
            <w:r>
              <w:rPr>
                <w:highlight w:val="none"/>
              </w:rPr>
            </w:r>
            <w:r>
              <w:rPr>
                <w:highlight w:val="none"/>
              </w:rPr>
            </w:r>
            <w:r>
              <w:rPr>
                <w:highlight w:val="none"/>
              </w:rPr>
            </w:r>
          </w:p>
          <w:p w14:paraId="1AAB0D8F">
            <w:pPr>
              <w:pBdr/>
              <w:spacing/>
              <w:ind/>
              <w:jc w:val="center"/>
              <w:rPr>
                <w:highlight w:val="none"/>
              </w:rPr>
            </w:pPr>
            <w:r>
              <w:rPr>
                <w:highlight w:val="none"/>
              </w:rPr>
            </w:r>
            <w:r>
              <w:rPr>
                <w:highlight w:val="none"/>
              </w:rPr>
            </w:r>
            <w:r>
              <w:rPr>
                <w:highlight w:val="none"/>
              </w:rPr>
            </w:r>
          </w:p>
          <w:p w14:paraId="35B7AEE8">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Trần Thị Thanh Tâm</w:t>
            </w:r>
            <w:r>
              <w:rPr>
                <w:highlight w:val="none"/>
              </w:rPr>
            </w:r>
            <w:r>
              <w:rPr>
                <w:highlight w:val="none"/>
              </w:rP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9748912"/>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438986C4"/>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272</cp:revision>
  <dcterms:created xsi:type="dcterms:W3CDTF">2025-09-15T09:58:00Z</dcterms:created>
  <dcterms:modified xsi:type="dcterms:W3CDTF">2025-12-30T07:10:33Z</dcterms:modified>
</cp:coreProperties>
</file>