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988980" cy="37064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988979" cy="37064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275/2025/1778/VFI-CT.17.A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TẬP ĐOÀN GIA ĐỊNH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534, tờ bản đồ số: 53 (tài liệu đo năm 2003) có địa chỉ: Phường Thảo Điền, thành phố Hồ Chí Minh (nay là Phường An Khánh, thành phố Hồ Chí Minh) theo Giấy chứng </w:t>
                            </w:r>
                            <w:r>
                              <w:rPr>
                                <w:color w:val="000000"/>
                              </w:rPr>
                              <w:t xml:space="preserve">nhận Quyền sử dụng đất, quyền sở hữu nhà ở và tài sản khác gắn liền với đất số: CM 296923, số vào sổ cấp GCN: CS 03907 do Sở Tài nguyên và Môi trường Thành phố Hồ Chí Minh cấp ngày 15/11/2018. Chủ sử dụng đất là ông Nguyễn Chí Trung và bà Lê Thị Việt Nghĩa</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71.57pt;height:291.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275/2025/1778/VFI-CT.17.A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TẬP ĐOÀN GIA ĐỊNH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534, tờ bản đồ số: 53 (tài liệu đo năm 2003) có địa chỉ: Phường Thảo Điền, thành phố Hồ Chí Minh (nay là Phường An Khánh, thành phố Hồ Chí Minh) theo Giấy chứng </w:t>
                      </w:r>
                      <w:r>
                        <w:rPr>
                          <w:color w:val="000000"/>
                        </w:rPr>
                        <w:t xml:space="preserve">nhận Quyền sử dụng đất, quyền sở hữu nhà ở và tài sản khác gắn liền với đất số: CM 296923, số vào sổ cấp GCN: CS 03907 do Sở Tài nguyên và Môi trường Thành phố Hồ Chí Minh cấp ngày 15/11/2018. Chủ sử dụng đất là ông Nguyễn Chí Trung và bà Lê Thị Việt Nghĩa</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576"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1 - 3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4 - 21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5"/>
              <w:pBdr/>
              <w:tabs>
                <w:tab w:val="left" w:leader="none" w:pos="993"/>
              </w:tabs>
              <w:spacing w:after="120" w:before="120" w:line="288" w:lineRule="auto"/>
              <w:ind w:left="0"/>
              <w:jc w:val="both"/>
              <w:rPr>
                <w:bCs/>
                <w:lang w:val="pt-BR"/>
              </w:rPr>
            </w:pPr>
            <w:r>
              <w:rPr>
                <w:bCs/>
                <w:lang w:val="pt-BR"/>
              </w:rPr>
              <w:t xml:space="preserve">Phụ lục 1: Thông tin hiện trạng và pháp lý tài sản</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22 - 26</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27 - 32</w:t>
            </w:r>
            <w:r>
              <w:rPr>
                <w:b/>
                <w:bCs/>
              </w:rPr>
            </w:r>
            <w:r>
              <w:rPr>
                <w:b/>
                <w:bCs/>
              </w:rPr>
            </w:r>
          </w:p>
        </w:tc>
      </w:tr>
    </w:tbl>
    <w:p w14:paraId="65E8110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4"/>
              <w:pBdr/>
              <w:spacing w:after="60" w:before="200"/>
              <w:ind/>
              <w:rPr>
                <w:rStyle w:val="1033"/>
                <w:rFonts w:ascii="Times New Roman" w:hAnsi="Times New Roman"/>
                <w:color w:val="auto"/>
                <w:lang w:val="pt-BR"/>
              </w:rPr>
            </w:pPr>
            <w:r>
              <w:rPr>
                <w:rFonts w:ascii="Times New Roman" w:hAnsi="Times New Roman"/>
                <w:color w:val="auto"/>
                <w:lang w:val="pt-BR"/>
              </w:rPr>
            </w:r>
            <w:r>
              <w:rPr>
                <w:rStyle w:val="1033"/>
                <w:rFonts w:ascii="Times New Roman" w:hAnsi="Times New Roman"/>
                <w:color w:val="auto"/>
                <w:lang w:val="pt-BR"/>
              </w:rPr>
            </w:r>
            <w:r>
              <w:rPr>
                <w:rStyle w:val="1033"/>
                <w:rFonts w:ascii="Times New Roman" w:hAnsi="Times New Roman"/>
                <w:color w:val="auto"/>
                <w:lang w:val="pt-BR"/>
              </w:rPr>
            </w:r>
          </w:p>
          <w:p w14:paraId="189019A0" w14:textId="50D2DFCA">
            <w:pPr>
              <w:pStyle w:val="1034"/>
              <w:pBdr/>
              <w:spacing w:after="60" w:before="200"/>
              <w:ind/>
              <w:rPr>
                <w:sz w:val="24"/>
                <w:szCs w:val="24"/>
              </w:rPr>
            </w:pPr>
            <w:r>
              <w:rPr>
                <w:rStyle w:val="1033"/>
                <w:rFonts w:ascii="Times New Roman" w:hAnsi="Times New Roman"/>
                <w:color w:val="auto"/>
                <w:lang w:val="pt-BR"/>
              </w:rPr>
              <w:t xml:space="preserve">Số:</w:t>
            </w:r>
            <w:r>
              <w:rPr>
                <w:rStyle w:val="1033"/>
                <w:rFonts w:ascii="Times New Roman" w:hAnsi="Times New Roman"/>
                <w:color w:val="auto"/>
                <w:lang w:val="pt-BR"/>
              </w:rPr>
              <w:t xml:space="preserve"> </w:t>
            </w:r>
            <w:r>
              <w:rPr>
                <w:rStyle w:val="1033"/>
                <w:rFonts w:ascii="Times New Roman" w:hAnsi="Times New Roman"/>
                <w:color w:val="000000" w:themeColor="text1"/>
                <w:lang w:val="pt-BR"/>
              </w:rPr>
              <w:t xml:space="preserve">275/2025/1778/VFI-CT.17.A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4"/>
              <w:pBdr/>
              <w:spacing w:after="60" w:before="200"/>
              <w:ind w:right="-56"/>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p w14:paraId="6B33CD77" w14:textId="29BAA06D">
            <w:pPr>
              <w:pStyle w:val="1034"/>
              <w:pBdr/>
              <w:spacing w:after="60" w:before="200"/>
              <w:ind w:right="-56"/>
              <w:jc w:val="right"/>
              <w:rPr>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12 tháng 12 năm 2025</w:t>
            </w:r>
            <w:r>
              <w:rPr>
                <w:rStyle w:val="1033"/>
                <w:rFonts w:ascii="Times New Roman" w:hAnsi="Times New Roman"/>
                <w:i/>
                <w:color w:val="auto"/>
                <w:lang w:val="vi-VN"/>
              </w:rPr>
              <w:t xml:space="preserve">   </w:t>
            </w:r>
            <w:r>
              <w:rPr>
                <w:rStyle w:val="103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4"/>
        <w:pBdr/>
        <w:spacing w:after="120" w:before="200" w:line="288" w:lineRule="auto"/>
        <w:ind/>
        <w:jc w:val="center"/>
        <w:rPr>
          <w:rStyle w:val="103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TẬP ĐOÀN GIA ĐỊNH</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275/2025/1778/VFI-HĐTĐ.17.A</w:t>
      </w:r>
      <w:r>
        <w:rPr>
          <w:spacing w:val="-4"/>
          <w:lang w:val="vi-VN"/>
        </w:rPr>
        <w:t xml:space="preserve"> ký ngày </w:t>
      </w:r>
      <w:r>
        <w:rPr>
          <w:color w:val="000000" w:themeColor="text1"/>
          <w:spacing w:val="-4"/>
        </w:rPr>
        <w:t xml:space="preserve">8 tháng 12 năm 2025</w:t>
      </w:r>
      <w:r>
        <w:rPr>
          <w:spacing w:val="-4"/>
          <w:lang w:val="vi-VN"/>
        </w:rPr>
        <w:t xml:space="preserve"> </w:t>
      </w:r>
      <w:r>
        <w:rPr>
          <w:spacing w:val="-4"/>
          <w:lang w:val="vi-VN"/>
        </w:rPr>
        <w:t xml:space="preserve">giữa </w:t>
      </w:r>
      <w:r>
        <w:rPr>
          <w:color w:val="000000" w:themeColor="text1"/>
          <w:spacing w:val="-4"/>
        </w:rPr>
        <w:t xml:space="preserve">CÔNG TY CỔ PHẦN TẬP ĐOÀN GIA ĐỊNH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275/2025/1778/VFI-BC.17.A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206" w:type="pct"/>
        <w:tblBorders/>
        <w:tblLayout w:type="fixed"/>
        <w:tblLook w:val="04A0" w:firstRow="1" w:lastRow="0" w:firstColumn="1" w:lastColumn="0" w:noHBand="0" w:noVBand="1"/>
      </w:tblPr>
      <w:tblGrid>
        <w:gridCol w:w="1818"/>
        <w:gridCol w:w="472"/>
        <w:gridCol w:w="7628"/>
      </w:tblGrid>
      <w:tr>
        <w:trPr>
          <w:trHeight w:val="20"/>
        </w:trPr>
        <w:tc>
          <w:tcPr>
            <w:shd w:val="clear" w:color="auto" w:fill="auto"/>
            <w:tcBorders/>
            <w:tcW w:w="1818" w:type="dxa"/>
            <w:vAlign w:val="center"/>
            <w:textDirection w:val="lrTb"/>
            <w:noWrap w:val="false"/>
          </w:tcPr>
          <w:p w14:paraId="477F7A8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472" w:type="dxa"/>
            <w:vAlign w:val="center"/>
            <w:textDirection w:val="lrTb"/>
            <w:noWrap w:val="false"/>
          </w:tcPr>
          <w:p w14:paraId="2AB8CF5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628" w:type="dxa"/>
            <w:vAlign w:val="center"/>
            <w:textDirection w:val="lrTb"/>
            <w:noWrap w:val="false"/>
          </w:tcPr>
          <w:p w14:paraId="6D47E22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CÔNG TY CỔ PHẦN TẬP ĐOÀN GIA ĐỊNH</w:t>
            </w:r>
            <w:r/>
          </w:p>
        </w:tc>
      </w:tr>
      <w:tr>
        <w:trPr>
          <w:trHeight w:val="20"/>
        </w:trPr>
        <w:tc>
          <w:tcPr>
            <w:shd w:val="clear" w:color="auto" w:fill="auto"/>
            <w:tcBorders/>
            <w:tcW w:w="1818" w:type="dxa"/>
            <w:vAlign w:val="center"/>
            <w:textDirection w:val="lrTb"/>
            <w:noWrap w:val="false"/>
          </w:tcPr>
          <w:p w14:paraId="0577B53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472" w:type="dxa"/>
            <w:vAlign w:val="center"/>
            <w:textDirection w:val="lrTb"/>
            <w:noWrap w:val="false"/>
          </w:tcPr>
          <w:p w14:paraId="2184E8D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628" w:type="dxa"/>
            <w:vAlign w:val="center"/>
            <w:textDirection w:val="lrTb"/>
            <w:noWrap w:val="false"/>
          </w:tcPr>
          <w:p w14:paraId="182F08A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Ông Nguyễn Hữu Hạnh </w:t>
            </w:r>
            <w:r/>
          </w:p>
        </w:tc>
      </w:tr>
      <w:tr>
        <w:trPr>
          <w:trHeight w:val="20"/>
        </w:trPr>
        <w:tc>
          <w:tcPr>
            <w:shd w:val="clear" w:color="auto" w:fill="auto"/>
            <w:tcBorders/>
            <w:tcW w:w="1818" w:type="dxa"/>
            <w:vAlign w:val="center"/>
            <w:textDirection w:val="lrTb"/>
            <w:noWrap w:val="false"/>
          </w:tcPr>
          <w:p w14:paraId="4E7DABA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auto" w:fill="auto"/>
            <w:tcBorders/>
            <w:tcW w:w="472" w:type="dxa"/>
            <w:vAlign w:val="center"/>
            <w:textDirection w:val="lrTb"/>
            <w:noWrap w:val="false"/>
          </w:tcPr>
          <w:p w14:paraId="1AA35CA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628" w:type="dxa"/>
            <w:vAlign w:val="center"/>
            <w:textDirection w:val="lrTb"/>
            <w:noWrap w:val="false"/>
          </w:tcPr>
          <w:p w14:paraId="4D84BF6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Tổng Giám đốc</w:t>
            </w:r>
            <w:r/>
          </w:p>
        </w:tc>
      </w:tr>
      <w:tr>
        <w:trPr>
          <w:trHeight w:val="20"/>
        </w:trPr>
        <w:tc>
          <w:tcPr>
            <w:shd w:val="clear" w:color="auto" w:fill="auto"/>
            <w:tcBorders/>
            <w:tcW w:w="1818" w:type="dxa"/>
            <w:vAlign w:val="center"/>
            <w:textDirection w:val="lrTb"/>
            <w:noWrap w:val="false"/>
          </w:tcPr>
          <w:p w14:paraId="51A1D24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trụ sở</w:t>
            </w:r>
            <w:r/>
          </w:p>
        </w:tc>
        <w:tc>
          <w:tcPr>
            <w:shd w:val="clear" w:color="auto" w:fill="auto"/>
            <w:tcBorders/>
            <w:tcW w:w="472" w:type="dxa"/>
            <w:vAlign w:val="center"/>
            <w:textDirection w:val="lrTb"/>
            <w:noWrap w:val="false"/>
          </w:tcPr>
          <w:p w14:paraId="39D63CE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628" w:type="dxa"/>
            <w:vAlign w:val="center"/>
            <w:textDirection w:val="lrTb"/>
            <w:noWrap w:val="false"/>
          </w:tcPr>
          <w:p w14:paraId="4DFDFAD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122H/2, khu phố 1B, Phường An Phú, thành phố Hồ Chí Minh, Việt Nam</w:t>
            </w:r>
            <w:r/>
          </w:p>
        </w:tc>
      </w:tr>
      <w:tr>
        <w:trPr>
          <w:trHeight w:val="20"/>
        </w:trPr>
        <w:tc>
          <w:tcPr>
            <w:shd w:val="clear" w:color="ffffff" w:fill="ffffff"/>
            <w:tcBorders/>
            <w:tcW w:w="1818" w:type="dxa"/>
            <w:vAlign w:val="center"/>
            <w:vMerge w:val="restart"/>
            <w:textDirection w:val="lrTb"/>
            <w:noWrap w:val="false"/>
          </w:tcPr>
          <w:p w14:paraId="3D9D606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ffffff" w:fill="ffffff"/>
            <w:tcBorders/>
            <w:tcW w:w="472" w:type="dxa"/>
            <w:vAlign w:val="center"/>
            <w:vMerge w:val="restart"/>
            <w:textDirection w:val="lrTb"/>
            <w:noWrap w:val="false"/>
          </w:tcPr>
          <w:p w14:paraId="73A45AE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628" w:type="dxa"/>
            <w:vAlign w:val="center"/>
            <w:vMerge w:val="restart"/>
            <w:textDirection w:val="lrTb"/>
            <w:noWrap w:val="false"/>
          </w:tcPr>
          <w:p w14:paraId="5C25ECB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3700621181</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918" w:type="dxa"/>
        <w:tblBorders/>
        <w:tblLayout w:type="fixed"/>
        <w:tblLook w:val="04A0" w:firstRow="1" w:lastRow="0" w:firstColumn="1" w:lastColumn="0" w:noHBand="0" w:noVBand="1"/>
      </w:tblPr>
      <w:tblGrid>
        <w:gridCol w:w="2088"/>
        <w:gridCol w:w="289"/>
        <w:gridCol w:w="7541"/>
      </w:tblGrid>
      <w:tr>
        <w:trPr>
          <w:trHeight w:val="20"/>
        </w:trPr>
        <w:tc>
          <w:tcPr>
            <w:tcBorders/>
            <w:tcW w:w="2088"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088"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88"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541"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088"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088"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088"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088"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541"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88"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541"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534, tờ bản đồ số: 53 (tài liệu đo năm 2003) có địa chỉ: Phường Thảo Điền, thành phố Hồ Chí Minh (nay là Phường An Khánh, thành phố Hồ Chí Minh) theo Giấy chứng </w:t>
      </w:r>
      <w:r>
        <w:rPr>
          <w:color w:val="000000" w:themeColor="text1"/>
        </w:rPr>
        <w:t xml:space="preserve">nhận Quyền sử dụng đất, quyền sở hữu nhà ở và tài sản khác gắn liền với đất số: CM 296923, số vào sổ cấp GCN: CS 03907 do Sở Tài nguyên và Môi trường Thành phố Hồ Chí Minh cấp ngày 15/11/2018. Chủ sử dụng đất là ông Nguyễn Chí Trung và bà Lê Thị Việt Nghĩa</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rPr>
      </w:r>
      <w:r>
        <w:rPr>
          <w:highlight w:val="none"/>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6"/>
        <w:gridCol w:w="2718"/>
        <w:gridCol w:w="1350"/>
        <w:gridCol w:w="1545"/>
        <w:gridCol w:w="1620"/>
        <w:gridCol w:w="2070"/>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6" w:type="dxa"/>
            <w:vAlign w:val="center"/>
            <w:textDirection w:val="lrTb"/>
            <w:noWrap w:val="false"/>
          </w:tcPr>
          <w:p w14:paraId="062655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718" w:type="dxa"/>
            <w:vAlign w:val="center"/>
            <w:textDirection w:val="lrTb"/>
            <w:noWrap w:val="false"/>
          </w:tcPr>
          <w:p w14:paraId="6DB655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50" w:type="dxa"/>
            <w:vAlign w:val="center"/>
            <w:textDirection w:val="lrTb"/>
            <w:noWrap w:val="false"/>
          </w:tcPr>
          <w:p w14:paraId="72FEB5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45" w:type="dxa"/>
            <w:vAlign w:val="center"/>
            <w:textDirection w:val="lrTb"/>
            <w:noWrap w:val="false"/>
          </w:tcPr>
          <w:p w14:paraId="5311D6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0" w:type="dxa"/>
            <w:vAlign w:val="center"/>
            <w:textDirection w:val="lrTb"/>
            <w:noWrap w:val="false"/>
          </w:tcPr>
          <w:p w14:paraId="1877AF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0" w:type="dxa"/>
            <w:vAlign w:val="center"/>
            <w:textDirection w:val="lrTb"/>
            <w:noWrap w:val="false"/>
          </w:tcPr>
          <w:p w14:paraId="5AEDC0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6" w:type="dxa"/>
            <w:vAlign w:val="center"/>
            <w:textDirection w:val="lrTb"/>
            <w:noWrap w:val="false"/>
          </w:tcPr>
          <w:p w14:paraId="60CE05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33" w:type="dxa"/>
            <w:vAlign w:val="center"/>
            <w:textDirection w:val="lrTb"/>
            <w:noWrap w:val="false"/>
          </w:tcPr>
          <w:p w14:paraId="7B570E2B">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534, tờ bản đồ số: 53 (tài liệu đo năm 2003) có địa chỉ: Phường Thảo Điền, thành phố Hồ Chí Minh (nay là Phường An Khánh, thành phố Hồ Chí Minh) theo Giấy chứng nhận Quyền sử dụng đất, quyền sở</w:t>
            </w:r>
            <w:r>
              <w:rPr>
                <w:rFonts w:ascii="Times New Roman" w:hAnsi="Times New Roman" w:eastAsia="Times New Roman" w:cs="Times New Roman"/>
                <w:b/>
                <w:color w:val="000000"/>
                <w:sz w:val="24"/>
              </w:rPr>
              <w:t xml:space="preserve"> hữu nhà ở và tài sản khác gắn liền với đất số: CM 296923, số vào sổ cấp GCN: CS 03907 do Sở Tài nguyên và Môi trường Thành phố Hồ Chí Minh cấp ngày 15/11/2018. Chủ sử dụng đất là ông Nguyễn Chí Trung và bà Lê Thị Việt Nghĩa.</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0" w:type="dxa"/>
            <w:vAlign w:val="center"/>
            <w:textDirection w:val="lrTb"/>
            <w:noWrap w:val="false"/>
          </w:tcPr>
          <w:p w14:paraId="56B3B1FF">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6" w:type="dxa"/>
            <w:vAlign w:val="center"/>
            <w:textDirection w:val="lrTb"/>
            <w:noWrap w:val="false"/>
          </w:tcPr>
          <w:p w14:paraId="0EDB9F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718" w:type="dxa"/>
            <w:vAlign w:val="center"/>
            <w:textDirection w:val="lrTb"/>
            <w:noWrap w:val="false"/>
          </w:tcPr>
          <w:p w14:paraId="1AAFD569">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Đất ở tại đô thị không thuộc lộ giới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50" w:type="dxa"/>
            <w:vAlign w:val="center"/>
            <w:textDirection w:val="lrTb"/>
            <w:noWrap/>
          </w:tcPr>
          <w:p w14:paraId="5A5931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486,68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45" w:type="dxa"/>
            <w:vAlign w:val="center"/>
            <w:textDirection w:val="lrTb"/>
            <w:noWrap w:val="false"/>
          </w:tcPr>
          <w:p w14:paraId="2F2C1E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242.800.000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0" w:type="dxa"/>
            <w:vAlign w:val="center"/>
            <w:textDirection w:val="lrTb"/>
            <w:noWrap w:val="false"/>
          </w:tcPr>
          <w:p w14:paraId="545679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0" w:type="dxa"/>
            <w:vAlign w:val="center"/>
            <w:textDirection w:val="lrTb"/>
            <w:noWrap w:val="false"/>
          </w:tcPr>
          <w:p w14:paraId="162E48C6">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118.165.904.000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6" w:type="dxa"/>
            <w:vAlign w:val="center"/>
            <w:textDirection w:val="lrTb"/>
            <w:noWrap w:val="false"/>
          </w:tcPr>
          <w:p w14:paraId="3531E9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718" w:type="dxa"/>
            <w:vAlign w:val="center"/>
            <w:textDirection w:val="lrTb"/>
            <w:noWrap w:val="false"/>
          </w:tcPr>
          <w:p w14:paraId="43EA4A4B">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Nhà biệt thự</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50" w:type="dxa"/>
            <w:vAlign w:val="center"/>
            <w:textDirection w:val="lrTb"/>
            <w:noWrap/>
          </w:tcPr>
          <w:p w14:paraId="33D715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811,2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45" w:type="dxa"/>
            <w:vAlign w:val="center"/>
            <w:textDirection w:val="lrTb"/>
            <w:noWrap w:val="false"/>
          </w:tcPr>
          <w:p w14:paraId="04341F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9.995.796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0" w:type="dxa"/>
            <w:vAlign w:val="center"/>
            <w:textDirection w:val="lrTb"/>
            <w:noWrap w:val="false"/>
          </w:tcPr>
          <w:p w14:paraId="49CE12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0" w:type="dxa"/>
            <w:vAlign w:val="center"/>
            <w:textDirection w:val="lrTb"/>
            <w:noWrap w:val="false"/>
          </w:tcPr>
          <w:p w14:paraId="15E91A02">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6.892.301.509</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69" w:type="dxa"/>
            <w:vAlign w:val="center"/>
            <w:textDirection w:val="lrTb"/>
            <w:noWrap/>
          </w:tcPr>
          <w:p w14:paraId="2C1403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0" w:type="dxa"/>
            <w:vAlign w:val="top"/>
            <w:textDirection w:val="lrTb"/>
            <w:noWrap/>
          </w:tcPr>
          <w:p w14:paraId="464C3D18">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125.058.205.509</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69" w:type="dxa"/>
            <w:vAlign w:val="center"/>
            <w:textDirection w:val="lrTb"/>
            <w:noWrap/>
          </w:tcPr>
          <w:p w14:paraId="0B0188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0" w:type="dxa"/>
            <w:vAlign w:val="top"/>
            <w:textDirection w:val="lrTb"/>
            <w:noWrap/>
          </w:tcPr>
          <w:p w14:paraId="1430F699">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125.000.000.000</w:t>
            </w:r>
            <w:r/>
          </w:p>
        </w:tc>
      </w:tr>
      <w:tr>
        <w:trPr>
          <w:trHeight w:val="20"/>
        </w:trPr>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839" w:type="dxa"/>
            <w:vAlign w:val="center"/>
            <w:textDirection w:val="lrTb"/>
            <w:noWrap w:val="false"/>
          </w:tcPr>
          <w:p w14:paraId="67D8CD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Một trăm hai mươi lăm tỷ đồng chẵn./.)</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9" w:type="pct"/>
        <w:tblBorders/>
        <w:tblLayout w:type="fixed"/>
        <w:tblLook w:val="01E0" w:firstRow="1" w:lastRow="1" w:firstColumn="1" w:lastColumn="1" w:noHBand="0" w:noVBand="0"/>
      </w:tblPr>
      <w:tblGrid>
        <w:gridCol w:w="4428"/>
        <w:gridCol w:w="5400"/>
      </w:tblGrid>
      <w:tr>
        <w:trPr>
          <w:trHeight w:val="20"/>
        </w:trPr>
        <w:tc>
          <w:tcPr>
            <w:tcBorders/>
            <w:tcW w:w="4428" w:type="dxa"/>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400" w:type="dxa"/>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8" w:type="dxa"/>
            <w:vAlign w:val="center"/>
            <w:textDirection w:val="lrTb"/>
            <w:noWrap w:val="false"/>
          </w:tcPr>
          <w:p w14:paraId="7BFBB15E">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14:paraId="79E18D56">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0C46D7E0">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6BBDC2E2">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514DF82A" w14:textId="77777777">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400" w:type="dxa"/>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8" w:type="dxa"/>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1f2937"/>
                <w:sz w:val="21"/>
                <w:highlight w:val="white"/>
              </w:rPr>
              <w:t xml:space="preserve">XV23.2485</w:t>
            </w:r>
            <w:r>
              <w:rPr>
                <w:rFonts w:eastAsia="Calibri"/>
                <w:bCs/>
                <w:lang w:val="pt-BR"/>
              </w:rPr>
            </w:r>
            <w:r>
              <w:rPr>
                <w:rFonts w:eastAsia="Calibri"/>
                <w:bCs/>
                <w:lang w:val="pt-BR"/>
              </w:rPr>
            </w:r>
          </w:p>
        </w:tc>
        <w:tc>
          <w:tcPr>
            <w:tcBorders/>
            <w:tcW w:w="5400" w:type="dxa"/>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275/2025/1778/VFI-BC.17.A</w:t>
            </w:r>
            <w:r>
              <w:rPr>
                <w:sz w:val="24"/>
                <w:szCs w:val="24"/>
              </w:rPr>
            </w:r>
            <w:r>
              <w:rPr>
                <w:sz w:val="24"/>
                <w:szCs w:val="24"/>
              </w:rPr>
            </w:r>
          </w:p>
        </w:tc>
        <w:tc>
          <w:tcPr>
            <w:tcBorders/>
            <w:tcW w:w="4781" w:type="dxa"/>
            <w:textDirection w:val="lrTb"/>
            <w:noWrap w:val="false"/>
          </w:tcPr>
          <w:p w14:paraId="4E249833" w14:textId="77777777">
            <w:pPr>
              <w:pStyle w:val="1034"/>
              <w:pBdr/>
              <w:tabs>
                <w:tab w:val="left" w:leader="none" w:pos="5103"/>
              </w:tabs>
              <w:spacing w:before="100" w:line="360" w:lineRule="auto"/>
              <w:ind/>
              <w:jc w:val="right"/>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p w14:paraId="1C1E2870" w14:textId="207F25D6">
            <w:pPr>
              <w:pStyle w:val="1034"/>
              <w:pBdr/>
              <w:tabs>
                <w:tab w:val="left" w:leader="none" w:pos="5103"/>
              </w:tabs>
              <w:spacing w:before="100" w:line="360" w:lineRule="auto"/>
              <w:ind/>
              <w:jc w:val="right"/>
              <w:rPr>
                <w:i/>
                <w:iCs/>
                <w:sz w:val="24"/>
                <w:szCs w:val="24"/>
              </w:rPr>
            </w:pPr>
            <w:r>
              <w:rPr>
                <w:rStyle w:val="1033"/>
                <w:rFonts w:ascii="Times New Roman" w:hAnsi="Times New Roman"/>
                <w:i/>
                <w:color w:val="auto"/>
              </w:rPr>
              <w:t xml:space="preserve">TP</w:t>
            </w:r>
            <w:r>
              <w:rPr>
                <w:rStyle w:val="1033"/>
                <w:rFonts w:ascii="Times New Roman" w:hAnsi="Times New Roman"/>
                <w:color w:val="auto"/>
              </w:rPr>
              <w:t xml:space="preserve">. </w:t>
            </w:r>
            <w:r>
              <w:rPr>
                <w:rStyle w:val="1033"/>
                <w:rFonts w:ascii="Times New Roman" w:hAnsi="Times New Roman"/>
                <w:i/>
                <w:color w:val="auto"/>
              </w:rPr>
              <w:t xml:space="preserve">Hà Nội</w:t>
            </w:r>
            <w:r>
              <w:rPr>
                <w:rStyle w:val="1033"/>
                <w:rFonts w:ascii="Times New Roman" w:hAnsi="Times New Roman"/>
                <w:i/>
                <w:color w:val="auto"/>
                <w:lang w:val="vi-VN"/>
              </w:rPr>
              <w:t xml:space="preserve">, </w:t>
            </w:r>
            <w:r>
              <w:rPr>
                <w:i/>
                <w:iCs/>
                <w:color w:val="000000" w:themeColor="text1"/>
                <w:sz w:val="24"/>
                <w:szCs w:val="24"/>
                <w:lang w:val="pt-BR"/>
              </w:rPr>
              <w:t xml:space="preserve">ngày 12 tháng 12 năm 2025</w:t>
            </w:r>
            <w:r>
              <w:rPr>
                <w:rStyle w:val="1033"/>
                <w:rFonts w:ascii="Times New Roman" w:hAnsi="Times New Roman"/>
                <w:i/>
                <w:color w:val="auto"/>
                <w:lang w:val="vi-VN"/>
              </w:rPr>
              <w:t xml:space="preserve">   </w:t>
            </w:r>
            <w:r>
              <w:rPr>
                <w:rStyle w:val="103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275/2025/1778/VFI-CT.17.A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38" w:type="dxa"/>
        <w:tblBorders/>
        <w:tblLayout w:type="fixed"/>
        <w:tblLook w:val="04A0" w:firstRow="1" w:lastRow="0" w:firstColumn="1" w:lastColumn="0" w:noHBand="0" w:noVBand="1"/>
      </w:tblPr>
      <w:tblGrid>
        <w:gridCol w:w="2088"/>
        <w:gridCol w:w="289"/>
        <w:gridCol w:w="7361"/>
      </w:tblGrid>
      <w:tr>
        <w:trPr>
          <w:trHeight w:val="20"/>
        </w:trPr>
        <w:tc>
          <w:tcPr>
            <w:tcBorders/>
            <w:tcW w:w="2088"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361"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088"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361"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88"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7361"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088"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361"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088"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7361"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088"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7361"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88"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7361"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3D26EB60">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47831476">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5B4189A0">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CỔ PHẦN TẬP ĐOÀN GIA ĐỊNH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5E29B833">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512A6395">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1D268E57">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Nguyễn Hữu Hạnh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4F3022BB">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092BD8ED">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2E54ED9E">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1E8E67A7">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 trụ sở</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4FD2B927">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0FF1A4F3">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122H/2, khu phố 1B, Phường An Phú, thành phố Hồ Chí Minh, Việt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0A9F0385">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0D6E6087">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5AB56E4B">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3700621181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534, tờ bản đồ số: 53 (tài liệu đo năm 2003) có địa chỉ: Phường Thảo Điền, thành phố Hồ Chí Minh (nay là Phường An Khánh, thành phố Hồ Chí Minh) theo Giấy chứng </w:t>
            </w:r>
            <w:r>
              <w:rPr>
                <w:bCs/>
                <w:color w:val="000000" w:themeColor="text1"/>
                <w:lang w:val="pt-BR"/>
              </w:rPr>
              <w:t xml:space="preserve">nhận Quyền sử dụng đất, quyền sở hữu nhà ở và tài sản khác gắn liền với đất số: CM 296923, số vào sổ cấp GCN: CS 03907 do Sở Tài nguyên và Môi trường Thành phố Hồ Chí Minh cấp ngày 15/11/2018. Chủ sử dụng đất là ông Nguyễn Chí Trung và bà Lê Thị Việt Nghĩa</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 Phường An Khánh,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10.803545994968, 106.7355160239585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w:t>
      </w:r>
      <w:r>
        <w:rPr>
          <w:bCs/>
          <w:color w:val="000000" w:themeColor="text1"/>
          <w:lang w:val="pt-BR"/>
        </w:rPr>
        <w:t xml:space="preserve">hận Quyền sử dụng đất, quyền sở hữu nhà ở và tài sản khác gắn liền với đất số: CM 296923, số vào sổ cấp GCN: CS 03907 do Sở Tài nguyên và Môi trường Thành phố Hồ Chí Minh cấp ngày 15/11/2018. Chủ sử dụng đất là ông Nguyễn Chí Trung và bà Lê Thị Việt Nghĩa.</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275/2025/1778/VFI-HĐTĐ.17.A ký ngày 08/12/2025 giữa Công ty Cổ phần Tập đoàn Gia Định với Công ty CP Thẩm định và Đầu tư Tài chính Hoa Sen</w:t>
      </w:r>
      <w:r>
        <w:rPr>
          <w:b/>
          <w:lang w:val="pt-BR"/>
        </w:rPr>
      </w:r>
      <w:r>
        <w:rPr>
          <w:b/>
          <w:lang w:val="pt-BR"/>
        </w:rPr>
      </w:r>
    </w:p>
    <w:p w14:paraId="7BDC3A25" w14:textId="77D2CF95">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jc w:val="both"/>
        <w:rPr>
          <w:b/>
          <w:bCs/>
          <w:iCs/>
        </w:rPr>
      </w:pPr>
      <w:r>
        <w:rPr>
          <w:lang w:val="pt-BR"/>
        </w:rPr>
        <w:tab/>
      </w:r>
      <w:r>
        <w:rPr>
          <w:b/>
          <w:bCs/>
          <w:shd w:val="clear" w:color="auto" w:fill="ffffff"/>
        </w:rPr>
        <w:t xml:space="preserve">Thị trường bất động sản TP.HCM và các vùng lân cận sẽ ra sao sau khi sáp nhập?</w:t>
      </w:r>
      <w:r>
        <w:rPr>
          <w:b/>
          <w:bCs/>
          <w:iCs/>
        </w:rPr>
      </w:r>
      <w:r>
        <w:rPr>
          <w:b/>
          <w:bCs/>
          <w:iCs/>
        </w:rPr>
      </w:r>
    </w:p>
    <w:p w14:paraId="494AB4E1">
      <w:pPr>
        <w:pBdr/>
        <w:tabs>
          <w:tab w:val="left" w:leader="none" w:pos="426"/>
        </w:tabs>
        <w:spacing w:after="120" w:before="120" w:line="276" w:lineRule="auto"/>
        <w:ind/>
        <w:jc w:val="both"/>
        <w:rPr/>
      </w:pPr>
      <w:r>
        <w:rPr>
          <w:shd w:val="clear" w:color="auto" w:fill="ffffff"/>
        </w:rPr>
        <w:t xml:space="preserve">Sau sáp nh</w:t>
      </w:r>
      <w:r>
        <w:rPr>
          <w:shd w:val="clear" w:color="auto" w:fill="ffffff"/>
        </w:rPr>
        <w:t xml:space="preserve">ập, thị trường bất động sản TP.HCM và vùng lân cận được dự báo sẽ chứng kiến những chuyển biến lớn, thúc đẩy dòng vốn dịch chuyển mạnh mẽ...</w:t>
      </w:r>
      <w:r/>
    </w:p>
    <w:p w14:paraId="6C60EBFB">
      <w:pPr>
        <w:pBdr/>
        <w:tabs>
          <w:tab w:val="left" w:leader="none" w:pos="426"/>
        </w:tabs>
        <w:spacing w:after="120" w:before="120" w:line="276" w:lineRule="auto"/>
        <w:ind/>
        <w:jc w:val="both"/>
        <w:rPr/>
      </w:pPr>
      <w:r>
        <w:rPr>
          <w:shd w:val="clear" w:color="auto" w:fill="ffffff"/>
        </w:rPr>
        <w:t xml:space="preserve">Trong đó, Bình Dương, với lợi thế hạ tầng đồng bộ, giao thông kết nối thuận tiện và tiềm năng đô thị hóa bền vững, </w:t>
      </w:r>
      <w:r>
        <w:rPr>
          <w:shd w:val="clear" w:color="auto" w:fill="ffffff"/>
        </w:rPr>
        <w:t xml:space="preserve">đang trở thành điểm đến đầu tư hấp dẫn, đặc biệt khi giá căn hộ nội đô TP.HCM đã chạm đỉnh.</w:t>
      </w:r>
      <w:r>
        <w:rPr>
          <w:shd w:val="clear" w:color="auto" w:fill="ffffff"/>
        </w:rPr>
      </w:r>
      <w:r/>
    </w:p>
    <w:p w14:paraId="274A1369">
      <w:pPr>
        <w:pBdr/>
        <w:tabs>
          <w:tab w:val="left" w:leader="none" w:pos="426"/>
        </w:tabs>
        <w:spacing w:after="120" w:before="120" w:line="276" w:lineRule="auto"/>
        <w:ind/>
        <w:jc w:val="both"/>
        <w:rPr>
          <w:b/>
          <w:bCs/>
        </w:rPr>
      </w:pPr>
      <w:r>
        <w:rPr>
          <w:b/>
          <w:bCs/>
          <w:shd w:val="clear" w:color="auto" w:fill="ffffff"/>
        </w:rPr>
        <w:t xml:space="preserve">DÒNG TIỀN ĐẦU TƯ CÓ ĐỔI HƯỚNG?</w:t>
      </w:r>
      <w:r>
        <w:rPr>
          <w:b/>
          <w:bCs/>
        </w:rPr>
      </w:r>
      <w:r>
        <w:rPr>
          <w:b/>
          <w:bCs/>
        </w:rPr>
      </w:r>
    </w:p>
    <w:p w14:paraId="0AD9D7DF">
      <w:pPr>
        <w:pBdr/>
        <w:tabs>
          <w:tab w:val="left" w:leader="none" w:pos="426"/>
        </w:tabs>
        <w:spacing w:after="120" w:before="120" w:line="276" w:lineRule="auto"/>
        <w:ind/>
        <w:jc w:val="both"/>
        <w:rPr/>
      </w:pPr>
      <w:r>
        <w:rPr>
          <w:shd w:val="clear" w:color="auto" w:fill="ffffff"/>
        </w:rPr>
        <w:t xml:space="preserve">Ghi nhận thực tế, quỹ đất trung tâm TP.HCM ngày càng khan hiếm và chi phí phát triển dự án tăng cao, giá căn hộ nội đô đã đạt mức kỷ </w:t>
      </w:r>
      <w:r>
        <w:rPr>
          <w:shd w:val="clear" w:color="auto" w:fill="ffffff"/>
        </w:rPr>
        <w:t xml:space="preserve">lục. Theo báo cáo của Savills, trong quý cuối năm 2024, giá căn hộ trung bình tại TP.HCM đạt 91 triệu đồng/m² (chưa gồm thuế phí), tăng 36% theo quý và 33% theo năm. Phần lớn nguồn cung mới thuộc phân khúc cao cấp, với giá trên 80 triệu đồng/m². Các dự án </w:t>
      </w:r>
      <w:r>
        <w:rPr>
          <w:shd w:val="clear" w:color="auto" w:fill="ffffff"/>
        </w:rPr>
        <w:t xml:space="preserve">hiện hữu cũng điều chỉnh giá, dao động từ 75 đến 450 triệu đồng/m².</w:t>
      </w:r>
      <w:r/>
    </w:p>
    <w:p w14:paraId="0055336B">
      <w:pPr>
        <w:pBdr/>
        <w:tabs>
          <w:tab w:val="left" w:leader="none" w:pos="426"/>
        </w:tabs>
        <w:spacing w:after="120" w:before="120" w:line="276" w:lineRule="auto"/>
        <w:ind/>
        <w:jc w:val="both"/>
        <w:rPr/>
      </w:pPr>
      <w:r>
        <w:rPr>
          <w:shd w:val="clear" w:color="auto" w:fill="ffffff"/>
        </w:rPr>
        <w:t xml:space="preserve">Ông Lê Hoàng Châu, Chủ tịch Hiệp hội Bất động sản TP.HCM (HoREA), nhận định đây là lần đầu tiên toàn bộ căn hộ mở bán đều thuộc phân khúc cao cấp. Thị trường không còn nguồn cung nhà ở tru</w:t>
      </w:r>
      <w:r>
        <w:rPr>
          <w:shd w:val="clear" w:color="auto" w:fill="ffffff"/>
        </w:rPr>
        <w:t xml:space="preserve">ng cấp hay bình dân có giá vừa túi tiền. Căn hộ giá 3 tỷ đồng được dự báo sẽ dần biến mất, tương tự phân khúc dưới 2 tỷ đồng đã không còn xuất hiện từ năm 2023.</w:t>
      </w:r>
      <w:r/>
    </w:p>
    <w:p w14:paraId="3647B11F">
      <w:pPr>
        <w:pBdr/>
        <w:tabs>
          <w:tab w:val="left" w:leader="none" w:pos="426"/>
        </w:tabs>
        <w:spacing w:after="120" w:before="120" w:line="276" w:lineRule="auto"/>
        <w:ind/>
        <w:jc w:val="both"/>
        <w:rPr>
          <w:sz w:val="2"/>
          <w:szCs w:val="2"/>
        </w:rPr>
      </w:pPr>
      <w:r>
        <w:rPr>
          <w:shd w:val="clear" w:color="auto" w:fill="ffffff"/>
        </w:rPr>
        <w:t xml:space="preserve">Với mức thu nhập trung bình hiện tại, rất ít người dân có thể tiếp cận căn hộ nội đô TP.HCM. Ch</w:t>
      </w:r>
      <w:r>
        <w:rPr>
          <w:shd w:val="clear" w:color="auto" w:fill="ffffff"/>
        </w:rPr>
        <w:t xml:space="preserve">ưa kể, mức giá cao như vậy khiến tỷ suất lợi nhuận cho thuê căn hộ hoặc bán lại không còn hấp dẫn.</w:t>
        <w:br/>
        <w:t xml:space="preserve">Trong bối cảnh giá căn hộ nội đô TP. HCM không còn dư địa tăng giá, nhiều nhà đầu tư chuyển hướng quan tâm đến đô thị liền kề như thành phố Thuận An - nơi có</w:t>
      </w:r>
      <w:r>
        <w:rPr>
          <w:shd w:val="clear" w:color="auto" w:fill="ffffff"/>
        </w:rPr>
        <w:t xml:space="preserve"> biên độ tăng giá rất lớn. Với mức giá còn thấp, hạ tầng phát triển mạnh và nhu cầu thực tế cao, bất động sản Bình Dương đang có tiềm năng tăng giá mạnh mẽ trong thời gian tới, đặc biệt khi có thông tin về khả năng sáp nhập địa phương này vào TP. HCM.</w:t>
        <w:br/>
        <w:t xml:space="preserve">Ông </w:t>
      </w:r>
      <w:r>
        <w:rPr>
          <w:shd w:val="clear" w:color="auto" w:fill="ffffff"/>
        </w:rPr>
        <w:t xml:space="preserve">Đinh Minh Tuấn, Giám đốc miền Nam của Batdongsan.com.vn, cho biết sau thông tin sáp nhập, mức độ quan tâm đến bất động sản Bình Dương tăng đáng kể, đặc biệt tại thành phố Thuận An với lượt tìm kiếm tăng 26%. Sự gia tăng này phản ánh tâm lý tích cực của nhà</w:t>
      </w:r>
      <w:r>
        <w:rPr>
          <w:shd w:val="clear" w:color="auto" w:fill="ffffff"/>
        </w:rPr>
        <w:t xml:space="preserve"> đầu tư về tiềm năng sáp nhập, đặc biệt tại các khu vực chiến lược gần TP.HCM, khiến giá cả và giao dịch tại đây sôi động hơn.</w:t>
        <w:br/>
      </w:r>
      <w:r>
        <w:rPr>
          <w:sz w:val="2"/>
          <w:szCs w:val="2"/>
        </w:rPr>
      </w:r>
      <w:r>
        <w:rPr>
          <w:sz w:val="2"/>
          <w:szCs w:val="2"/>
        </w:rPr>
      </w:r>
    </w:p>
    <w:p w14:paraId="280A8026">
      <w:pPr>
        <w:pBdr/>
        <w:tabs>
          <w:tab w:val="left" w:leader="none" w:pos="426"/>
        </w:tabs>
        <w:spacing w:after="120" w:before="120" w:line="276" w:lineRule="auto"/>
        <w:ind/>
        <w:jc w:val="both"/>
        <w:rPr>
          <w:b/>
          <w:bCs/>
        </w:rPr>
      </w:pPr>
      <w:r>
        <w:rPr>
          <w:b/>
          <w:bCs/>
          <w:shd w:val="clear" w:color="auto" w:fill="ffffff"/>
        </w:rPr>
        <w:t xml:space="preserve">BẤT ĐỘNG SẢN BÌNH DƯƠNG TRƯỚC BƯỚC NGOẶT LỚN</w:t>
      </w:r>
      <w:r>
        <w:rPr>
          <w:b/>
          <w:bCs/>
        </w:rPr>
      </w:r>
      <w:r>
        <w:rPr>
          <w:b/>
          <w:bCs/>
        </w:rPr>
      </w:r>
    </w:p>
    <w:p w14:paraId="7A0FED75">
      <w:pPr>
        <w:pBdr/>
        <w:tabs>
          <w:tab w:val="left" w:leader="none" w:pos="426"/>
        </w:tabs>
        <w:spacing w:after="120" w:before="120" w:line="276" w:lineRule="auto"/>
        <w:ind/>
        <w:jc w:val="both"/>
        <w:rPr/>
      </w:pPr>
      <w:r>
        <w:rPr>
          <w:shd w:val="clear" w:color="auto" w:fill="ffffff"/>
        </w:rPr>
        <w:t xml:space="preserve">Các chuyên gia nhận định Bình Dương đang đứng trước bước ngoặt lịch sử với thông ti</w:t>
      </w:r>
      <w:r>
        <w:rPr>
          <w:shd w:val="clear" w:color="auto" w:fill="ffffff"/>
        </w:rPr>
        <w:t xml:space="preserve">n sáp nhập vào TP.HCM. Là “thủ phủ công nghiệp” với tốc độ đô thị hóa nhanh, Bình Dương sở hữu hạ tầng giao thông phát triển, thu hút đầu tư trong và ngoài nước.</w:t>
      </w:r>
      <w:r/>
    </w:p>
    <w:p w14:paraId="3D60950F">
      <w:pPr>
        <w:pBdr/>
        <w:tabs>
          <w:tab w:val="left" w:leader="none" w:pos="426"/>
        </w:tabs>
        <w:spacing w:after="120" w:before="120" w:line="276" w:lineRule="auto"/>
        <w:ind/>
        <w:jc w:val="both"/>
        <w:rPr/>
      </w:pPr>
      <w:r>
        <w:rPr>
          <w:shd w:val="clear" w:color="auto" w:fill="ffffff"/>
        </w:rPr>
        <w:t xml:space="preserve">Nếu sáp nhập thành công, Bình Dương sẽ được nâng tầm vị thế, mở ra cơ hội bùng nổ giá trị bất </w:t>
      </w:r>
      <w:r>
        <w:rPr>
          <w:shd w:val="clear" w:color="auto" w:fill="ffffff"/>
        </w:rPr>
        <w:t xml:space="preserve">động sản nhờ quy hoạch đồng bộ, hạ tầng và chính sách phát triển đô thị. Điều này kích thích dòng vốn đầu tư đổ về, kéo theo sự gia tăng lực lượng lao động và chuyên gia nước ngoài, làm tăng nhu cầu nhà ở đáng kể.</w:t>
      </w:r>
      <w:r/>
    </w:p>
    <w:p w14:paraId="0E16CB38">
      <w:pPr>
        <w:pBdr/>
        <w:tabs>
          <w:tab w:val="left" w:leader="none" w:pos="426"/>
        </w:tabs>
        <w:spacing w:after="120" w:before="120" w:line="276" w:lineRule="auto"/>
        <w:ind/>
        <w:jc w:val="both"/>
        <w:rPr/>
      </w:pPr>
      <w:r>
        <w:rPr>
          <w:shd w:val="clear" w:color="auto" w:fill="ffffff"/>
        </w:rPr>
        <w:t xml:space="preserve">Tuy nhiên, không phải dự án nào cũng hưởng</w:t>
      </w:r>
      <w:r>
        <w:rPr>
          <w:shd w:val="clear" w:color="auto" w:fill="ffffff"/>
        </w:rPr>
        <w:t xml:space="preserve"> lợi nếu thiếu hỗ trợ hạ tầng. Những khu vực được đầu tư mạnh về giao thông và tiện ích đồng bộ sẽ có tiềm năng tăng giá rõ rệt. Nổi bật là khu vực Đông Bắc TP.HCM, đặc biệt thành phố Thuận An, với các tuyến giao thông huyết mạch như Quốc lộ 13 mở rộng lên</w:t>
      </w:r>
      <w:r>
        <w:rPr>
          <w:shd w:val="clear" w:color="auto" w:fill="ffffff"/>
        </w:rPr>
        <w:t xml:space="preserve"> 60m (dự kiến hoàn thành giai đoạn 2027-2028), cao tốc Mỹ Phước - Tân Vạn, Tỉnh lộ 743. Nhờ hạ tầng đồng bộ và kết nối thuận tiện với TP.HCM, khu vực này trở thành tâm điểm đầu tư, hứa hẹn mang lại giá trị gia tăng bền vững.</w:t>
      </w:r>
      <w:r/>
    </w:p>
    <w:p w14:paraId="388A6AD3">
      <w:pPr>
        <w:pBdr/>
        <w:tabs>
          <w:tab w:val="left" w:leader="none" w:pos="426"/>
        </w:tabs>
        <w:spacing w:after="120" w:before="120" w:line="276" w:lineRule="auto"/>
        <w:ind/>
        <w:jc w:val="both"/>
        <w:rPr/>
      </w:pPr>
      <w:r>
        <w:rPr>
          <w:shd w:val="clear" w:color="auto" w:fill="ffffff"/>
        </w:rPr>
        <w:t xml:space="preserve">Theo Hội Môi giới Bất động sản </w:t>
      </w:r>
      <w:r>
        <w:rPr>
          <w:shd w:val="clear" w:color="auto" w:fill="ffffff"/>
        </w:rPr>
        <w:t xml:space="preserve">Việt Nam (VARS), sáp nhập sẽ tác động tích cực đến thị trường bất động sản, giảm bớt thủ tục pháp lý, gia tăng nguồn cung. Tuy nhiên, để giá trị bất động sản tăng bền vững, cần nền tảng từ hạ tầng giao thông, kinh tế, xã hội, như mở thêm tuyến đường lớn, m</w:t>
      </w:r>
      <w:r>
        <w:rPr>
          <w:shd w:val="clear" w:color="auto" w:fill="ffffff"/>
        </w:rPr>
        <w:t xml:space="preserve">etro, trường học, hay khả năng tạo dòng tiền từ khai thác cho thuê.</w:t>
      </w:r>
      <w:r/>
    </w:p>
    <w:p w14:paraId="2F6DCEB4">
      <w:pPr>
        <w:pBdr/>
        <w:tabs>
          <w:tab w:val="left" w:leader="none" w:pos="426"/>
        </w:tabs>
        <w:spacing w:after="120" w:before="120" w:line="276" w:lineRule="auto"/>
        <w:ind/>
        <w:jc w:val="both"/>
        <w:rPr/>
      </w:pPr>
      <w:r>
        <w:rPr>
          <w:shd w:val="clear" w:color="auto" w:fill="ffffff"/>
        </w:rPr>
        <w:t xml:space="preserve">Do đó, nhà đầu tư cần tỉnh táo, tránh chạy theo tâm lý đám đông. Những khu vực có quy hoạch cụ thể, đang triển khai hạ tầng trọng điểm, sở hữu tiện ích ngoại khu đầy đủ và chính sách thu h</w:t>
      </w:r>
      <w:r>
        <w:rPr>
          <w:shd w:val="clear" w:color="auto" w:fill="ffffff"/>
        </w:rPr>
        <w:t xml:space="preserve">út dân cư sẽ là lựa chọn an toàn. Điều này giúp nhà đầu tư tránh gánh chi phí hạ tầng, tiện ích xung quanh và hạn chế rủi ro từ tin đồn đẩy giá.</w:t>
      </w:r>
      <w:r/>
    </w:p>
    <w:p w14:paraId="7281CF1F">
      <w:pPr>
        <w:pBdr/>
        <w:tabs>
          <w:tab w:val="left" w:leader="none" w:pos="426"/>
        </w:tabs>
        <w:spacing w:after="120" w:before="120" w:line="276" w:lineRule="auto"/>
        <w:ind/>
        <w:jc w:val="center"/>
        <w:rPr/>
      </w:pPr>
      <w:r>
        <w:rPr>
          <w:shd w:val="clear" w:color="auto" w:fill="ffffff"/>
        </w:rPr>
        <w:t xml:space="preserve">(Nguồn: https://vneconomy.vn/thi-truong-bat-dong-san-tp-hcm-va-cac-vung-lan-can-se-ra-sao-sau-khi-sap-nhap.htm)</w:t>
      </w:r>
      <w:r/>
    </w:p>
    <w:p w14:paraId="20BF0D54" w14:textId="312C63AB">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334"/>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9108"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và tài sản gắn liền với đất tại thửa đất số: 534, tờ bản đồ số: 53 (tài liệu đo năm 2003) có địa chỉ: Phường Thảo Điền, thành phố Hồ Chí Minh (nay là Phường An Khánh, thành phố Hồ Chí Minh) theo Giấy chứng </w:t>
            </w:r>
            <w:r>
              <w:rPr>
                <w:b/>
                <w:bCs/>
                <w:color w:val="000000"/>
              </w:rPr>
              <w:t xml:space="preserve">nhận Quyền sử dụng đất, quyền sở hữu nhà ở và tài sản khác gắn liền với đất số: CM 296923, số vào sổ cấp GCN: CS 03907 do Sở Tài nguyên và Môi trường Thành phố Hồ Chí Minh cấp ngày 15/11/2018. Chủ sử dụng đất là ông Nguyễn Chí Trung và bà Lê Thị Việt Nghĩa</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9108"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534</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334" w:type="dxa"/>
            <w:vAlign w:val="center"/>
            <w:textDirection w:val="lrTb"/>
            <w:noWrap w:val="false"/>
          </w:tcPr>
          <w:p w14:paraId="570D749A" w14:textId="090EF8B0">
            <w:pPr>
              <w:pBdr/>
              <w:spacing/>
              <w:ind/>
              <w:jc w:val="center"/>
              <w:rPr>
                <w:color w:val="ee0000"/>
              </w:rPr>
            </w:pPr>
            <w:r>
              <w:rPr>
                <w:color w:val="000000" w:themeColor="text1"/>
              </w:rPr>
              <w:t xml:space="preserve">53</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586" w:type="dxa"/>
            <w:vAlign w:val="center"/>
            <w:textDirection w:val="lrTb"/>
            <w:noWrap w:val="false"/>
          </w:tcPr>
          <w:p w14:paraId="6D25CC94">
            <w:pPr>
              <w:pBdr/>
              <w:spacing/>
              <w:ind/>
              <w:rPr>
                <w:b w:val="0"/>
                <w:bCs w:val="0"/>
              </w:rPr>
            </w:pPr>
            <w:r>
              <w:rPr>
                <w:b w:val="0"/>
                <w:bCs w:val="0"/>
              </w:rPr>
            </w:r>
            <w:r>
              <w:rPr>
                <w:b w:val="0"/>
                <w:bCs w:val="0"/>
                <w:color w:val="000000"/>
              </w:rPr>
              <w:t xml:space="preserve">Phường Thảo Điền, thành phố Hồ Chí Minh (nay là Phường An Khánh, thành phố Hồ Chí Minh)</w:t>
            </w:r>
            <w:r>
              <w:rPr>
                <w:b w:val="0"/>
                <w:bCs w:val="0"/>
              </w:rPr>
            </w:r>
            <w:r>
              <w:rPr>
                <w:b w:val="0"/>
                <w:bCs w:val="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519,2</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334"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334"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586" w:type="dxa"/>
            <w:vAlign w:val="center"/>
            <w:textDirection w:val="lrTb"/>
            <w:noWrap w:val="false"/>
          </w:tcPr>
          <w:p w14:paraId="13FD89A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Công nhận QSDĐ như giao đất có thu tiền sử dụng đất </w:t>
            </w: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586" w:type="dxa"/>
            <w:vAlign w:val="center"/>
            <w:textDirection w:val="lrTb"/>
            <w:noWrap w:val="false"/>
          </w:tcPr>
          <w:p w14:paraId="20A65A0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Căn cứ Giấy chứng nhận Quyền sử dụng đất, quyền sở hữu nhà ở và tài sản khác gắn liền với đất số: CM 296923, thửa đất có 32,52m² đất ở tại đô thị nằm trong lộ giới đường Đặng Hữu Phổ.</w:t>
            </w: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9108"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9108"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 Asphant</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334"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334" w:type="dxa"/>
            <w:vAlign w:val="center"/>
            <w:textDirection w:val="lrTb"/>
            <w:noWrap w:val="false"/>
          </w:tcPr>
          <w:p w14:paraId="42030CE5" w14:textId="216DA189">
            <w:pPr>
              <w:pBdr/>
              <w:spacing/>
              <w:ind/>
              <w:jc w:val="center"/>
              <w:rPr>
                <w:color w:val="000000"/>
              </w:rPr>
            </w:pPr>
            <w:r>
              <w:rPr>
                <w:color w:val="000000" w:themeColor="text1"/>
              </w:rPr>
              <w:t xml:space="preserve">6</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586" w:type="dxa"/>
            <w:vAlign w:val="center"/>
            <w:textDirection w:val="lrTb"/>
            <w:noWrap w:val="false"/>
          </w:tcPr>
          <w:p w14:paraId="4A838002" w14:textId="4079FCA5">
            <w:pPr>
              <w:pBdr/>
              <w:spacing/>
              <w:ind/>
              <w:jc w:val="both"/>
              <w:rPr>
                <w:color w:val="000000"/>
              </w:rPr>
            </w:pPr>
            <w:r>
              <w:rPr>
                <w:color w:val="000000" w:themeColor="text1"/>
              </w:rPr>
              <w:t xml:space="preserve">Tài sản nằm tại Số 15A đường Đặng Hữu Phổ, KP2, phường Thảo Điền, Quận 2, thành phố Hồ Chí Minh (nay là Phường An Khánh, thành phố Hồ Chí Minh)</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586" w:type="dxa"/>
            <w:vAlign w:val="center"/>
            <w:textDirection w:val="lrTb"/>
            <w:noWrap w:val="false"/>
          </w:tcPr>
          <w:p w14:paraId="7401FA63">
            <w:pPr>
              <w:numPr>
                <w:ilvl w:val="0"/>
                <w:numId w:val="39"/>
              </w:numPr>
              <w:pBdr>
                <w:top w:val="none" w:color="000000" w:sz="4" w:space="0"/>
                <w:left w:val="none" w:color="000000" w:sz="4" w:space="0"/>
                <w:bottom w:val="none" w:color="000000" w:sz="4" w:space="0"/>
                <w:right w:val="none" w:color="000000" w:sz="4" w:space="0"/>
              </w:pBdr>
              <w:spacing/>
              <w:ind w:right="0" w:hanging="360" w:left="360"/>
              <w:jc w:val="both"/>
              <w:rPr/>
            </w:pPr>
            <w:r>
              <w:rPr>
                <w:rFonts w:ascii="Times New Roman" w:hAnsi="Times New Roman" w:eastAsia="Times New Roman" w:cs="Times New Roman"/>
                <w:color w:val="000000"/>
                <w:sz w:val="24"/>
              </w:rPr>
              <w:t xml:space="preserve">Hướng Đông Nam: Tiếp giáp đường Đặng Hữu Phổ </w:t>
            </w:r>
            <w:r/>
          </w:p>
          <w:p w14:paraId="2D400F5D">
            <w:pPr>
              <w:numPr>
                <w:ilvl w:val="0"/>
                <w:numId w:val="39"/>
              </w:numPr>
              <w:pBdr>
                <w:top w:val="none" w:color="000000" w:sz="4" w:space="0"/>
                <w:left w:val="none" w:color="000000" w:sz="4" w:space="0"/>
                <w:bottom w:val="none" w:color="000000" w:sz="4" w:space="0"/>
                <w:right w:val="none" w:color="000000" w:sz="4" w:space="0"/>
              </w:pBdr>
              <w:spacing/>
              <w:ind w:right="0" w:hanging="360" w:left="360"/>
              <w:jc w:val="both"/>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9108"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10.803545994968</w:t>
            </w:r>
            <w:r>
              <w:rPr>
                <w:color w:val="000000"/>
              </w:rPr>
              <w:t xml:space="preserve">, </w:t>
            </w:r>
            <w:r>
              <w:rPr>
                <w:color w:val="000000"/>
              </w:rPr>
              <w:t xml:space="preserve">106.7355160239585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9108" w:type="dxa"/>
            <w:vAlign w:val="center"/>
            <w:textDirection w:val="lrTb"/>
            <w:noWrap w:val="false"/>
          </w:tcPr>
          <w:p w14:paraId="14AA8BFF" w14:textId="5CE6E439">
            <w:pPr>
              <w:pBdr/>
              <w:spacing/>
              <w:ind/>
              <w:jc w:val="center"/>
              <w:rPr>
                <w:color w:val="000000"/>
              </w:rPr>
            </w:pPr>
            <w:r>
              <w:rPr>
                <w:color w:val="000000"/>
              </w:rPr>
              <mc:AlternateContent>
                <mc:Choice Requires="wpg">
                  <w:drawing>
                    <wp:inline xmlns:wp="http://schemas.openxmlformats.org/drawingml/2006/wordprocessingDrawing" distT="0" distB="0" distL="0" distR="0">
                      <wp:extent cx="5211785" cy="3214792"/>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flipH="0" flipV="0">
                                <a:off x="0" y="0"/>
                                <a:ext cx="5211784" cy="32147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0.38pt;height:253.13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9108"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519,2</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334"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17,48</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334" w:type="dxa"/>
            <w:vAlign w:val="center"/>
            <w:textDirection w:val="lrTb"/>
            <w:noWrap w:val="false"/>
          </w:tcPr>
          <w:p w14:paraId="64840817" w14:textId="45BED4F5">
            <w:pPr>
              <w:pBdr/>
              <w:spacing/>
              <w:ind/>
              <w:jc w:val="center"/>
              <w:rPr>
                <w:color w:val="000000" w:themeColor="text1"/>
              </w:rPr>
            </w:pPr>
            <w:r>
              <w:rPr>
                <w:color w:val="000000" w:themeColor="text1"/>
              </w:rPr>
              <w:t xml:space="preserve">27,84</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334" w:type="dxa"/>
            <w:vAlign w:val="center"/>
            <w:textDirection w:val="lrTb"/>
            <w:noWrap w:val="false"/>
          </w:tcPr>
          <w:p w14:paraId="1FF80225" w14:textId="250AB9EA">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9108"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586"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586" w:type="dxa"/>
            <w:vAlign w:val="center"/>
            <w:textDirection w:val="lrTb"/>
            <w:noWrap w:val="false"/>
          </w:tcPr>
          <w:p w14:paraId="16BC0A31" w14:textId="70BF50FA">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334"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334"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9108"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9108" w:type="dxa"/>
            <w:textDirection w:val="lrTb"/>
            <w:noWrap w:val="false"/>
          </w:tcPr>
          <w:p w14:paraId="2ADB5D84">
            <w:pPr>
              <w:numPr>
                <w:ilvl w:val="0"/>
                <w:numId w:val="40"/>
              </w:numPr>
              <w:pBdr>
                <w:top w:val="none" w:color="000000" w:sz="4" w:space="0"/>
                <w:left w:val="none" w:color="000000" w:sz="4" w:space="0"/>
                <w:bottom w:val="none" w:color="000000" w:sz="4" w:space="0"/>
                <w:right w:val="none" w:color="000000" w:sz="4" w:space="0"/>
              </w:pBdr>
              <w:spacing/>
              <w:ind w:right="0" w:hanging="360" w:left="360"/>
              <w:jc w:val="both"/>
              <w:rPr/>
            </w:pPr>
            <w:r>
              <w:rPr>
                <w:rFonts w:ascii="Times New Roman" w:hAnsi="Times New Roman" w:eastAsia="Times New Roman" w:cs="Times New Roman"/>
                <w:color w:val="000000"/>
                <w:sz w:val="24"/>
              </w:rPr>
              <w:t xml:space="preserve">Tại thời điểm thẩm định giá, tổ thẩm định xác định có 01 công trình xây dựng trên đất là nhà biệt thự 3 tầng+ 1 tum, có diện tích xây dựng tầng 1 là 223,2m², tổng diện tích sàn là 811,2m²; khung chịu lực BTCT; tường bao xây gạch; sàn, mái BTCT đổ tại chỗ, </w:t>
            </w:r>
            <w:r>
              <w:rPr>
                <w:rFonts w:ascii="Times New Roman" w:hAnsi="Times New Roman" w:eastAsia="Times New Roman" w:cs="Times New Roman"/>
                <w:color w:val="000000"/>
                <w:sz w:val="24"/>
              </w:rPr>
              <w:t xml:space="preserve">không có tầng hầm. Công trình có kết cấu ổn định, bền vững, cũ theo thời gian sử dụng. Hiện tại nhà đang được sử dụng để ở.</w:t>
            </w:r>
            <w:r/>
          </w:p>
          <w:p w14:paraId="2B9C5174">
            <w:pPr>
              <w:numPr>
                <w:ilvl w:val="0"/>
                <w:numId w:val="40"/>
              </w:numPr>
              <w:pBdr>
                <w:top w:val="none" w:color="000000" w:sz="4" w:space="0"/>
                <w:left w:val="none" w:color="000000" w:sz="4" w:space="0"/>
                <w:bottom w:val="none" w:color="000000" w:sz="4" w:space="0"/>
                <w:right w:val="none" w:color="000000" w:sz="4" w:space="0"/>
              </w:pBdr>
              <w:spacing/>
              <w:ind w:right="0" w:hanging="360" w:left="360"/>
              <w:jc w:val="both"/>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rPr>
              <w:t xml:space="preserve">Công trình đã được chứng nhận trên Giấy chứng nhận Quyền sử dụng đất, quyền sở hữu nhà ở và tài sản khác gắn liền với đất số: CM 296923.</w:t>
            </w:r>
            <w:r/>
          </w:p>
        </w:tc>
      </w:tr>
    </w:tbl>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ayout w:type="fixed"/>
        <w:tblLook w:val="04A0" w:firstRow="1" w:lastRow="0" w:firstColumn="1" w:lastColumn="0" w:noHBand="0" w:noVBand="1"/>
      </w:tblPr>
      <w:tblGrid>
        <w:gridCol w:w="619"/>
        <w:gridCol w:w="1951"/>
        <w:gridCol w:w="2387"/>
        <w:gridCol w:w="2340"/>
        <w:gridCol w:w="1371"/>
        <w:gridCol w:w="1631"/>
      </w:tblGrid>
      <w:tr>
        <w:trPr>
          <w:jc w:val="center"/>
        </w:trPr>
        <w:tc>
          <w:tcPr>
            <w:tcBorders/>
            <w:tcW w:w="619" w:type="dxa"/>
            <w:vAlign w:val="center"/>
            <w:textDirection w:val="lrTb"/>
            <w:noWrap w:val="false"/>
          </w:tcPr>
          <w:p w14:paraId="6C984268" w14:textId="77777777">
            <w:pPr>
              <w:pBdr/>
              <w:spacing/>
              <w:ind/>
              <w:jc w:val="center"/>
              <w:rPr>
                <w:b/>
                <w:bCs/>
              </w:rPr>
            </w:pPr>
            <w:r>
              <w:rPr>
                <w:b/>
                <w:bCs/>
              </w:rPr>
              <w:t xml:space="preserve">TT</w:t>
            </w:r>
            <w:r>
              <w:rPr>
                <w:b/>
                <w:bCs/>
              </w:rPr>
            </w:r>
            <w:r>
              <w:rPr>
                <w:b/>
                <w:bCs/>
              </w:rPr>
            </w:r>
          </w:p>
        </w:tc>
        <w:tc>
          <w:tcPr>
            <w:tcBorders/>
            <w:tcW w:w="1951"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2387"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2340"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1631"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619" w:type="dxa"/>
            <w:vAlign w:val="center"/>
            <w:textDirection w:val="lrTb"/>
            <w:noWrap w:val="false"/>
          </w:tcPr>
          <w:p w14:paraId="26B17FEA" w14:textId="77777777">
            <w:pPr>
              <w:pBdr/>
              <w:spacing/>
              <w:ind/>
              <w:jc w:val="center"/>
              <w:rPr/>
            </w:pPr>
            <w:r>
              <w:t xml:space="preserve">1</w:t>
            </w:r>
            <w:r/>
          </w:p>
        </w:tc>
        <w:tc>
          <w:tcPr>
            <w:tcBorders/>
            <w:tcW w:w="1951" w:type="dxa"/>
            <w:vAlign w:val="center"/>
            <w:textDirection w:val="lrTb"/>
            <w:noWrap w:val="false"/>
          </w:tcPr>
          <w:p w14:paraId="02850E00" w14:textId="77777777">
            <w:pPr>
              <w:pBdr/>
              <w:spacing/>
              <w:ind/>
              <w:jc w:val="center"/>
              <w:rPr/>
            </w:pPr>
            <w:r>
              <w:t xml:space="preserve">Địa chỉ trên sổ</w:t>
            </w:r>
            <w:r/>
          </w:p>
        </w:tc>
        <w:tc>
          <w:tcPr>
            <w:tcBorders/>
            <w:tcW w:w="2387" w:type="dxa"/>
            <w:vAlign w:val="center"/>
            <w:textDirection w:val="lrTb"/>
            <w:noWrap w:val="false"/>
          </w:tcPr>
          <w:p w14:paraId="4576CF3F" w14:textId="77777777">
            <w:pPr>
              <w:pBdr/>
              <w:spacing/>
              <w:ind/>
              <w:jc w:val="center"/>
              <w:rPr/>
            </w:pPr>
            <w:r>
              <w:t xml:space="preserve">Phường Thảo Điền,  Quận 2, Thành phố Hồ Chí Minh</w:t>
            </w:r>
            <w:r/>
          </w:p>
        </w:tc>
        <w:tc>
          <w:tcPr>
            <w:tcBorders/>
            <w:tcW w:w="2340" w:type="dxa"/>
            <w:vAlign w:val="center"/>
            <w:textDirection w:val="lrTb"/>
            <w:noWrap w:val="false"/>
          </w:tcPr>
          <w:p w14:paraId="79F97508" w14:textId="77777777">
            <w:pPr>
              <w:pBdr/>
              <w:spacing/>
              <w:ind/>
              <w:jc w:val="center"/>
              <w:rPr/>
            </w:pPr>
            <w:r>
              <w:t xml:space="preserve">Phường Thảo Điền,  Quận 2, Thành phố Hồ Chí Minh ✔</w:t>
            </w:r>
            <w:r/>
          </w:p>
        </w:tc>
        <w:tc>
          <w:tcPr>
            <w:tcBorders/>
            <w:tcW w:w="1371" w:type="dxa"/>
            <w:vAlign w:val="center"/>
            <w:textDirection w:val="lrTb"/>
            <w:noWrap w:val="false"/>
          </w:tcPr>
          <w:p w14:paraId="6A3A9C64">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19" w:type="dxa"/>
            <w:vAlign w:val="center"/>
            <w:textDirection w:val="lrTb"/>
            <w:noWrap w:val="false"/>
          </w:tcPr>
          <w:p w14:paraId="26B17FEA" w14:textId="77777777">
            <w:pPr>
              <w:pBdr/>
              <w:spacing/>
              <w:ind/>
              <w:jc w:val="center"/>
              <w:rPr/>
            </w:pPr>
            <w:r>
              <w:t xml:space="preserve">2</w:t>
            </w:r>
            <w:r/>
          </w:p>
        </w:tc>
        <w:tc>
          <w:tcPr>
            <w:tcBorders/>
            <w:tcW w:w="1951" w:type="dxa"/>
            <w:vAlign w:val="center"/>
            <w:textDirection w:val="lrTb"/>
            <w:noWrap w:val="false"/>
          </w:tcPr>
          <w:p w14:paraId="02850E00" w14:textId="77777777">
            <w:pPr>
              <w:pBdr/>
              <w:spacing/>
              <w:ind/>
              <w:jc w:val="center"/>
              <w:rPr/>
            </w:pPr>
            <w:r>
              <w:t xml:space="preserve">Địa chỉ thực tế</w:t>
            </w:r>
            <w:r/>
          </w:p>
        </w:tc>
        <w:tc>
          <w:tcPr>
            <w:tcBorders/>
            <w:tcW w:w="2387" w:type="dxa"/>
            <w:vAlign w:val="center"/>
            <w:textDirection w:val="lrTb"/>
            <w:noWrap w:val="false"/>
          </w:tcPr>
          <w:p w14:paraId="4576CF3F" w14:textId="77777777">
            <w:pPr>
              <w:pBdr/>
              <w:spacing/>
              <w:ind/>
              <w:jc w:val="center"/>
              <w:rPr/>
            </w:pPr>
            <w:r>
              <w:t xml:space="preserve">Đường Đặng Hữu Phổ, phường An Khánh, TP HCM</w:t>
            </w:r>
            <w:r/>
          </w:p>
        </w:tc>
        <w:tc>
          <w:tcPr>
            <w:tcBorders/>
            <w:tcW w:w="2340" w:type="dxa"/>
            <w:vAlign w:val="center"/>
            <w:textDirection w:val="lrTb"/>
            <w:noWrap w:val="false"/>
          </w:tcPr>
          <w:p w14:paraId="79F97508" w14:textId="77777777">
            <w:pPr>
              <w:pBdr/>
              <w:spacing/>
              <w:ind/>
              <w:jc w:val="center"/>
              <w:rPr/>
            </w:pPr>
            <w:r>
              <w:t xml:space="preserve">Đường Đặng Hữu Phổ, phường An Khánh, TP HCM ✔</w:t>
            </w:r>
            <w:r/>
          </w:p>
        </w:tc>
        <w:tc>
          <w:tcPr>
            <w:tcBorders/>
            <w:tcW w:w="1371" w:type="dxa"/>
            <w:vAlign w:val="center"/>
            <w:textDirection w:val="lrTb"/>
            <w:noWrap w:val="false"/>
          </w:tcPr>
          <w:p w14:paraId="6A3A9C64">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19" w:type="dxa"/>
            <w:vAlign w:val="center"/>
            <w:textDirection w:val="lrTb"/>
            <w:noWrap w:val="false"/>
          </w:tcPr>
          <w:p w14:paraId="26B17FEA" w14:textId="77777777">
            <w:pPr>
              <w:pBdr/>
              <w:spacing/>
              <w:ind/>
              <w:jc w:val="center"/>
              <w:rPr/>
            </w:pPr>
            <w:r>
              <w:t xml:space="preserve">3</w:t>
            </w:r>
            <w:r/>
          </w:p>
        </w:tc>
        <w:tc>
          <w:tcPr>
            <w:tcBorders/>
            <w:tcW w:w="1951" w:type="dxa"/>
            <w:vAlign w:val="center"/>
            <w:textDirection w:val="lrTb"/>
            <w:noWrap w:val="false"/>
          </w:tcPr>
          <w:p w14:paraId="02850E00" w14:textId="77777777">
            <w:pPr>
              <w:pBdr/>
              <w:spacing/>
              <w:ind/>
              <w:jc w:val="center"/>
              <w:rPr/>
            </w:pPr>
            <w:r>
              <w:t xml:space="preserve">Pháp lý</w:t>
            </w:r>
            <w:r/>
          </w:p>
        </w:tc>
        <w:tc>
          <w:tcPr>
            <w:tcBorders/>
            <w:tcW w:w="2387"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2340"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19" w:type="dxa"/>
            <w:vAlign w:val="center"/>
            <w:textDirection w:val="lrTb"/>
            <w:noWrap w:val="false"/>
          </w:tcPr>
          <w:p w14:paraId="26B17FEA" w14:textId="77777777">
            <w:pPr>
              <w:pBdr/>
              <w:spacing/>
              <w:ind/>
              <w:jc w:val="center"/>
              <w:rPr/>
            </w:pPr>
            <w:r>
              <w:t xml:space="preserve">4</w:t>
            </w:r>
            <w:r/>
          </w:p>
        </w:tc>
        <w:tc>
          <w:tcPr>
            <w:tcBorders/>
            <w:tcW w:w="1951" w:type="dxa"/>
            <w:vAlign w:val="center"/>
            <w:textDirection w:val="lrTb"/>
            <w:noWrap w:val="false"/>
          </w:tcPr>
          <w:p w14:paraId="02850E00" w14:textId="77777777">
            <w:pPr>
              <w:pBdr/>
              <w:spacing/>
              <w:ind/>
              <w:jc w:val="center"/>
              <w:rPr/>
            </w:pPr>
            <w:r>
              <w:t xml:space="preserve">Loại đất</w:t>
            </w:r>
            <w:r/>
          </w:p>
        </w:tc>
        <w:tc>
          <w:tcPr>
            <w:tcBorders/>
            <w:tcW w:w="2387" w:type="dxa"/>
            <w:vAlign w:val="center"/>
            <w:textDirection w:val="lrTb"/>
            <w:noWrap w:val="false"/>
          </w:tcPr>
          <w:p w14:paraId="4576CF3F" w14:textId="77777777">
            <w:pPr>
              <w:pBdr/>
              <w:spacing/>
              <w:ind/>
              <w:jc w:val="center"/>
              <w:rPr/>
            </w:pPr>
            <w:r>
              <w:t xml:space="preserve">Đất ở tại đô thị</w:t>
            </w:r>
            <w:r/>
          </w:p>
        </w:tc>
        <w:tc>
          <w:tcPr>
            <w:tcBorders/>
            <w:tcW w:w="2340"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19" w:type="dxa"/>
            <w:vAlign w:val="center"/>
            <w:textDirection w:val="lrTb"/>
            <w:noWrap w:val="false"/>
          </w:tcPr>
          <w:p w14:paraId="26B17FEA" w14:textId="77777777">
            <w:pPr>
              <w:pBdr/>
              <w:spacing/>
              <w:ind/>
              <w:jc w:val="center"/>
              <w:rPr/>
            </w:pPr>
            <w:r>
              <w:t xml:space="preserve">5</w:t>
            </w:r>
            <w:r/>
          </w:p>
        </w:tc>
        <w:tc>
          <w:tcPr>
            <w:tcBorders/>
            <w:tcW w:w="1951" w:type="dxa"/>
            <w:vAlign w:val="center"/>
            <w:textDirection w:val="lrTb"/>
            <w:noWrap w:val="false"/>
          </w:tcPr>
          <w:p w14:paraId="02850E00" w14:textId="77777777">
            <w:pPr>
              <w:pBdr/>
              <w:spacing/>
              <w:ind/>
              <w:jc w:val="center"/>
              <w:rPr/>
            </w:pPr>
            <w:r>
              <w:t xml:space="preserve">Thời hạn sử dụng</w:t>
            </w:r>
            <w:r/>
          </w:p>
        </w:tc>
        <w:tc>
          <w:tcPr>
            <w:tcBorders/>
            <w:tcW w:w="2387" w:type="dxa"/>
            <w:vAlign w:val="center"/>
            <w:textDirection w:val="lrTb"/>
            <w:noWrap w:val="false"/>
          </w:tcPr>
          <w:p w14:paraId="4576CF3F" w14:textId="77777777">
            <w:pPr>
              <w:pBdr/>
              <w:spacing/>
              <w:ind/>
              <w:jc w:val="center"/>
              <w:rPr/>
            </w:pPr>
            <w:r>
              <w:t xml:space="preserve">Lâu dài</w:t>
            </w:r>
            <w:r/>
          </w:p>
        </w:tc>
        <w:tc>
          <w:tcPr>
            <w:tcBorders/>
            <w:tcW w:w="2340"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19" w:type="dxa"/>
            <w:vAlign w:val="center"/>
            <w:textDirection w:val="lrTb"/>
            <w:noWrap w:val="false"/>
          </w:tcPr>
          <w:p w14:paraId="26B17FEA" w14:textId="77777777">
            <w:pPr>
              <w:pBdr/>
              <w:spacing/>
              <w:ind/>
              <w:jc w:val="center"/>
              <w:rPr/>
            </w:pPr>
            <w:r>
              <w:t xml:space="preserve">6</w:t>
            </w:r>
            <w:r/>
          </w:p>
        </w:tc>
        <w:tc>
          <w:tcPr>
            <w:tcBorders/>
            <w:tcW w:w="1951" w:type="dxa"/>
            <w:vAlign w:val="center"/>
            <w:textDirection w:val="lrTb"/>
            <w:noWrap w:val="false"/>
          </w:tcPr>
          <w:p w14:paraId="02850E00" w14:textId="77777777">
            <w:pPr>
              <w:pBdr/>
              <w:spacing/>
              <w:ind/>
              <w:jc w:val="center"/>
              <w:rPr/>
            </w:pPr>
            <w:r>
              <w:t xml:space="preserve">Vị trí</w:t>
            </w:r>
            <w:r/>
          </w:p>
        </w:tc>
        <w:tc>
          <w:tcPr>
            <w:tcBorders/>
            <w:tcW w:w="2387" w:type="dxa"/>
            <w:vAlign w:val="center"/>
            <w:textDirection w:val="lrTb"/>
            <w:noWrap w:val="false"/>
          </w:tcPr>
          <w:p w14:paraId="4576CF3F" w14:textId="77777777">
            <w:pPr>
              <w:pBdr/>
              <w:spacing/>
              <w:ind/>
              <w:jc w:val="center"/>
              <w:rPr/>
            </w:pPr>
            <w:r>
              <w:t xml:space="preserve">VT1</w:t>
            </w:r>
            <w:r/>
          </w:p>
        </w:tc>
        <w:tc>
          <w:tcPr>
            <w:tcBorders/>
            <w:tcW w:w="2340"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F6A7BC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19" w:type="dxa"/>
            <w:vAlign w:val="center"/>
            <w:textDirection w:val="lrTb"/>
            <w:noWrap w:val="false"/>
          </w:tcPr>
          <w:p w14:paraId="26B17FEA" w14:textId="77777777">
            <w:pPr>
              <w:pBdr/>
              <w:spacing/>
              <w:ind/>
              <w:jc w:val="center"/>
              <w:rPr/>
            </w:pPr>
            <w:r>
              <w:t xml:space="preserve">7</w:t>
            </w:r>
            <w:r/>
          </w:p>
        </w:tc>
        <w:tc>
          <w:tcPr>
            <w:tcBorders/>
            <w:tcW w:w="1951" w:type="dxa"/>
            <w:vAlign w:val="center"/>
            <w:textDirection w:val="lrTb"/>
            <w:noWrap w:val="false"/>
          </w:tcPr>
          <w:p w14:paraId="02850E00" w14:textId="77777777">
            <w:pPr>
              <w:pBdr/>
              <w:spacing/>
              <w:ind/>
              <w:jc w:val="center"/>
              <w:rPr/>
            </w:pPr>
            <w:r>
              <w:t xml:space="preserve">Kết cấu mặt đường</w:t>
            </w:r>
            <w:r/>
          </w:p>
        </w:tc>
        <w:tc>
          <w:tcPr>
            <w:tcBorders/>
            <w:tcW w:w="2387" w:type="dxa"/>
            <w:vAlign w:val="center"/>
            <w:textDirection w:val="lrTb"/>
            <w:noWrap w:val="false"/>
          </w:tcPr>
          <w:p w14:paraId="4576CF3F" w14:textId="77777777">
            <w:pPr>
              <w:pBdr/>
              <w:spacing/>
              <w:ind/>
              <w:jc w:val="center"/>
              <w:rPr/>
            </w:pPr>
            <w:r>
              <w:t xml:space="preserve">Đường nhựa có vỉa hè</w:t>
            </w:r>
            <w:r/>
          </w:p>
        </w:tc>
        <w:tc>
          <w:tcPr>
            <w:tcBorders/>
            <w:tcW w:w="2340"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19" w:type="dxa"/>
            <w:vAlign w:val="center"/>
            <w:textDirection w:val="lrTb"/>
            <w:noWrap w:val="false"/>
          </w:tcPr>
          <w:p w14:paraId="26B17FEA" w14:textId="77777777">
            <w:pPr>
              <w:pBdr/>
              <w:spacing/>
              <w:ind/>
              <w:jc w:val="center"/>
              <w:rPr/>
            </w:pPr>
            <w:r>
              <w:t xml:space="preserve">8</w:t>
            </w:r>
            <w:r/>
          </w:p>
        </w:tc>
        <w:tc>
          <w:tcPr>
            <w:tcBorders/>
            <w:tcW w:w="1951" w:type="dxa"/>
            <w:vAlign w:val="center"/>
            <w:textDirection w:val="lrTb"/>
            <w:noWrap w:val="false"/>
          </w:tcPr>
          <w:p w14:paraId="02850E00" w14:textId="77777777">
            <w:pPr>
              <w:pBdr/>
              <w:spacing/>
              <w:ind/>
              <w:jc w:val="center"/>
              <w:rPr/>
            </w:pPr>
            <w:r>
              <w:t xml:space="preserve">Mặt cắt đường trước nhà</w:t>
            </w:r>
            <w:r/>
          </w:p>
        </w:tc>
        <w:tc>
          <w:tcPr>
            <w:tcBorders/>
            <w:tcW w:w="2387" w:type="dxa"/>
            <w:vAlign w:val="center"/>
            <w:textDirection w:val="lrTb"/>
            <w:noWrap w:val="false"/>
          </w:tcPr>
          <w:p w14:paraId="4576CF3F" w14:textId="77777777">
            <w:pPr>
              <w:pBdr/>
              <w:spacing/>
              <w:ind/>
              <w:jc w:val="center"/>
              <w:rPr/>
            </w:pPr>
            <w:r>
              <w:t xml:space="preserve">6</w:t>
            </w:r>
            <w:r/>
          </w:p>
        </w:tc>
        <w:tc>
          <w:tcPr>
            <w:tcBorders/>
            <w:tcW w:w="2340" w:type="dxa"/>
            <w:vAlign w:val="center"/>
            <w:textDirection w:val="lrTb"/>
            <w:noWrap w:val="false"/>
          </w:tcPr>
          <w:p w14:paraId="79F97508" w14:textId="77777777">
            <w:pPr>
              <w:pBdr/>
              <w:spacing/>
              <w:ind/>
              <w:jc w:val="center"/>
              <w:rPr/>
            </w:pPr>
            <w:r>
              <w:t xml:space="preserve">6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19" w:type="dxa"/>
            <w:vAlign w:val="center"/>
            <w:textDirection w:val="lrTb"/>
            <w:noWrap w:val="false"/>
          </w:tcPr>
          <w:p w14:paraId="26B17FEA" w14:textId="77777777">
            <w:pPr>
              <w:pBdr/>
              <w:spacing/>
              <w:ind/>
              <w:jc w:val="center"/>
              <w:rPr/>
            </w:pPr>
            <w:r>
              <w:t xml:space="preserve">9</w:t>
            </w:r>
            <w:r/>
          </w:p>
        </w:tc>
        <w:tc>
          <w:tcPr>
            <w:tcBorders/>
            <w:tcW w:w="1951" w:type="dxa"/>
            <w:vAlign w:val="center"/>
            <w:textDirection w:val="lrTb"/>
            <w:noWrap w:val="false"/>
          </w:tcPr>
          <w:p w14:paraId="02850E00" w14:textId="77777777">
            <w:pPr>
              <w:pBdr/>
              <w:spacing/>
              <w:ind/>
              <w:jc w:val="center"/>
              <w:rPr/>
            </w:pPr>
            <w:r>
              <w:t xml:space="preserve">Cơ sở hạ tầng kỹ thuật</w:t>
            </w:r>
            <w:r/>
          </w:p>
        </w:tc>
        <w:tc>
          <w:tcPr>
            <w:tcBorders/>
            <w:tcW w:w="2387" w:type="dxa"/>
            <w:vAlign w:val="center"/>
            <w:textDirection w:val="lrTb"/>
            <w:noWrap w:val="false"/>
          </w:tcPr>
          <w:p w14:paraId="4576CF3F" w14:textId="77777777">
            <w:pPr>
              <w:pBdr/>
              <w:spacing/>
              <w:ind/>
              <w:jc w:val="center"/>
              <w:rPr/>
            </w:pPr>
            <w:r>
              <w:t xml:space="preserve">Hạ tầng khu đô thị, khu phân lô/tái định cư</w:t>
            </w:r>
            <w:r/>
          </w:p>
        </w:tc>
        <w:tc>
          <w:tcPr>
            <w:tcBorders/>
            <w:tcW w:w="2340" w:type="dxa"/>
            <w:vAlign w:val="center"/>
            <w:textDirection w:val="lrTb"/>
            <w:noWrap w:val="false"/>
          </w:tcPr>
          <w:p w14:paraId="79F97508" w14:textId="77777777">
            <w:pPr>
              <w:pBdr/>
              <w:spacing/>
              <w:ind/>
              <w:jc w:val="center"/>
              <w:rPr/>
            </w:pPr>
            <w:r>
              <w:t xml:space="preserve">Hạ tầng khu đô thị, khu phân lô/tái định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19" w:type="dxa"/>
            <w:vAlign w:val="center"/>
            <w:textDirection w:val="lrTb"/>
            <w:noWrap w:val="false"/>
          </w:tcPr>
          <w:p w14:paraId="26B17FEA" w14:textId="77777777">
            <w:pPr>
              <w:pBdr/>
              <w:spacing/>
              <w:ind/>
              <w:jc w:val="center"/>
              <w:rPr/>
            </w:pPr>
            <w:r>
              <w:t xml:space="preserve">10</w:t>
            </w:r>
            <w:r/>
          </w:p>
        </w:tc>
        <w:tc>
          <w:tcPr>
            <w:tcBorders/>
            <w:tcW w:w="1951" w:type="dxa"/>
            <w:vAlign w:val="center"/>
            <w:textDirection w:val="lrTb"/>
            <w:noWrap w:val="false"/>
          </w:tcPr>
          <w:p w14:paraId="02850E00" w14:textId="77777777">
            <w:pPr>
              <w:pBdr/>
              <w:spacing/>
              <w:ind/>
              <w:jc w:val="center"/>
              <w:rPr/>
            </w:pPr>
            <w:r>
              <w:t xml:space="preserve">Môi trường, an ninh</w:t>
            </w:r>
            <w:r/>
          </w:p>
        </w:tc>
        <w:tc>
          <w:tcPr>
            <w:tcBorders/>
            <w:tcW w:w="2387" w:type="dxa"/>
            <w:vAlign w:val="center"/>
            <w:textDirection w:val="lrTb"/>
            <w:noWrap w:val="false"/>
          </w:tcPr>
          <w:p w14:paraId="4576CF3F" w14:textId="77777777">
            <w:pPr>
              <w:pBdr/>
              <w:spacing/>
              <w:ind/>
              <w:jc w:val="center"/>
              <w:rPr/>
            </w:pPr>
            <w:r>
              <w:t xml:space="preserve">Tốt</w:t>
            </w:r>
            <w:r/>
          </w:p>
        </w:tc>
        <w:tc>
          <w:tcPr>
            <w:tcBorders/>
            <w:tcW w:w="2340"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19" w:type="dxa"/>
            <w:vAlign w:val="center"/>
            <w:textDirection w:val="lrTb"/>
            <w:noWrap w:val="false"/>
          </w:tcPr>
          <w:p w14:paraId="26B17FEA" w14:textId="77777777">
            <w:pPr>
              <w:pBdr/>
              <w:spacing/>
              <w:ind/>
              <w:jc w:val="center"/>
              <w:rPr/>
            </w:pPr>
            <w:r>
              <w:t xml:space="preserve">11</w:t>
            </w:r>
            <w:r/>
          </w:p>
        </w:tc>
        <w:tc>
          <w:tcPr>
            <w:tcBorders/>
            <w:tcW w:w="1951" w:type="dxa"/>
            <w:vAlign w:val="center"/>
            <w:textDirection w:val="lrTb"/>
            <w:noWrap w:val="false"/>
          </w:tcPr>
          <w:p w14:paraId="02850E00" w14:textId="77777777">
            <w:pPr>
              <w:pBdr/>
              <w:spacing/>
              <w:ind/>
              <w:jc w:val="center"/>
              <w:rPr/>
            </w:pPr>
            <w:r>
              <w:t xml:space="preserve">Diện tích</w:t>
            </w:r>
            <w:r/>
          </w:p>
        </w:tc>
        <w:tc>
          <w:tcPr>
            <w:tcBorders/>
            <w:tcW w:w="2387" w:type="dxa"/>
            <w:vAlign w:val="center"/>
            <w:textDirection w:val="lrTb"/>
            <w:noWrap w:val="false"/>
          </w:tcPr>
          <w:p w14:paraId="587547A6">
            <w:pPr>
              <w:pBdr/>
              <w:spacing/>
              <w:ind/>
              <w:jc w:val="center"/>
              <w:rPr/>
            </w:pPr>
            <w:r>
              <w:t xml:space="preserve">519,2</w:t>
            </w:r>
            <w:r/>
          </w:p>
        </w:tc>
        <w:tc>
          <w:tcPr>
            <w:tcBorders/>
            <w:tcW w:w="2340" w:type="dxa"/>
            <w:vAlign w:val="center"/>
            <w:textDirection w:val="lrTb"/>
            <w:noWrap w:val="false"/>
          </w:tcPr>
          <w:p w14:paraId="79F97508" w14:textId="77777777">
            <w:pPr>
              <w:pBdr/>
              <w:spacing/>
              <w:ind/>
              <w:jc w:val="center"/>
              <w:rPr/>
            </w:pPr>
            <w:r>
              <w:t xml:space="preserve">519,2</w:t>
            </w:r>
            <w:r>
              <w:t xml:space="preserve">✔</w:t>
            </w:r>
            <w:r/>
          </w:p>
        </w:tc>
        <w:tc>
          <w:tcPr>
            <w:tcBorders/>
            <w:tcW w:w="1371" w:type="dxa"/>
            <w:vAlign w:val="center"/>
            <w:textDirection w:val="lrTb"/>
            <w:noWrap w:val="false"/>
          </w:tcPr>
          <w:p w14:paraId="758C16AE">
            <w:pPr>
              <w:pBdr/>
              <w:spacing/>
              <w:ind/>
              <w:jc w:val="center"/>
              <w:rPr/>
            </w:pPr>
            <w:r>
              <w:t xml:space="preserve">0</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19" w:type="dxa"/>
            <w:vAlign w:val="center"/>
            <w:textDirection w:val="lrTb"/>
            <w:noWrap w:val="false"/>
          </w:tcPr>
          <w:p w14:paraId="26B17FEA" w14:textId="77777777">
            <w:pPr>
              <w:pBdr/>
              <w:spacing/>
              <w:ind/>
              <w:jc w:val="center"/>
              <w:rPr/>
            </w:pPr>
            <w:r>
              <w:t xml:space="preserve">12</w:t>
            </w:r>
            <w:r/>
          </w:p>
        </w:tc>
        <w:tc>
          <w:tcPr>
            <w:tcBorders/>
            <w:tcW w:w="1951" w:type="dxa"/>
            <w:vAlign w:val="center"/>
            <w:textDirection w:val="lrTb"/>
            <w:noWrap w:val="false"/>
          </w:tcPr>
          <w:p w14:paraId="02850E00" w14:textId="77777777">
            <w:pPr>
              <w:pBdr/>
              <w:spacing/>
              <w:ind/>
              <w:jc w:val="center"/>
              <w:rPr/>
            </w:pPr>
            <w:r>
              <w:t xml:space="preserve">Mặt tiền</w:t>
            </w:r>
            <w:r/>
          </w:p>
        </w:tc>
        <w:tc>
          <w:tcPr>
            <w:tcBorders/>
            <w:tcW w:w="2387" w:type="dxa"/>
            <w:vAlign w:val="center"/>
            <w:textDirection w:val="lrTb"/>
            <w:noWrap w:val="false"/>
          </w:tcPr>
          <w:p w14:paraId="4576CF3F" w14:textId="77777777">
            <w:pPr>
              <w:pBdr/>
              <w:spacing/>
              <w:ind/>
              <w:jc w:val="center"/>
              <w:rPr/>
            </w:pPr>
            <w:r>
              <w:t xml:space="preserve">17,48</w:t>
            </w:r>
            <w:r/>
          </w:p>
        </w:tc>
        <w:tc>
          <w:tcPr>
            <w:tcBorders/>
            <w:tcW w:w="2340" w:type="dxa"/>
            <w:vAlign w:val="center"/>
            <w:textDirection w:val="lrTb"/>
            <w:noWrap w:val="false"/>
          </w:tcPr>
          <w:p w14:paraId="79F97508" w14:textId="77777777">
            <w:pPr>
              <w:pBdr/>
              <w:spacing/>
              <w:ind/>
              <w:jc w:val="center"/>
              <w:rPr/>
            </w:pPr>
            <w:r>
              <w:t xml:space="preserve">17,48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19" w:type="dxa"/>
            <w:vAlign w:val="center"/>
            <w:textDirection w:val="lrTb"/>
            <w:noWrap w:val="false"/>
          </w:tcPr>
          <w:p w14:paraId="26B17FEA" w14:textId="77777777">
            <w:pPr>
              <w:pBdr/>
              <w:spacing/>
              <w:ind/>
              <w:jc w:val="center"/>
              <w:rPr/>
            </w:pPr>
            <w:r>
              <w:t xml:space="preserve">13</w:t>
            </w:r>
            <w:r/>
          </w:p>
        </w:tc>
        <w:tc>
          <w:tcPr>
            <w:tcBorders/>
            <w:tcW w:w="1951" w:type="dxa"/>
            <w:vAlign w:val="center"/>
            <w:textDirection w:val="lrTb"/>
            <w:noWrap w:val="false"/>
          </w:tcPr>
          <w:p w14:paraId="02850E00" w14:textId="77777777">
            <w:pPr>
              <w:pBdr/>
              <w:spacing/>
              <w:ind/>
              <w:jc w:val="center"/>
              <w:rPr/>
            </w:pPr>
            <w:r>
              <w:t xml:space="preserve">Chiều sâu</w:t>
            </w:r>
            <w:r/>
          </w:p>
        </w:tc>
        <w:tc>
          <w:tcPr>
            <w:tcBorders/>
            <w:tcW w:w="2387" w:type="dxa"/>
            <w:vAlign w:val="center"/>
            <w:textDirection w:val="lrTb"/>
            <w:noWrap w:val="false"/>
          </w:tcPr>
          <w:p w14:paraId="4576CF3F" w14:textId="77777777">
            <w:pPr>
              <w:pBdr/>
              <w:spacing/>
              <w:ind/>
              <w:jc w:val="center"/>
              <w:rPr/>
            </w:pPr>
            <w:r>
              <w:t xml:space="preserve">27,84 ✔</w:t>
            </w:r>
            <w:r/>
          </w:p>
        </w:tc>
        <w:tc>
          <w:tcPr>
            <w:tcBorders/>
            <w:tcW w:w="2340" w:type="dxa"/>
            <w:vAlign w:val="center"/>
            <w:textDirection w:val="lrTb"/>
            <w:noWrap w:val="false"/>
          </w:tcPr>
          <w:p w14:paraId="79F97508" w14:textId="77777777">
            <w:pPr>
              <w:pBdr/>
              <w:spacing/>
              <w:ind/>
              <w:jc w:val="center"/>
              <w:rPr/>
            </w:pPr>
            <w:r>
              <w:t xml:space="preserve">27,84</w:t>
            </w:r>
            <w:r/>
          </w:p>
        </w:tc>
        <w:tc>
          <w:tcPr>
            <w:tcBorders/>
            <w:tcW w:w="1371" w:type="dxa"/>
            <w:vAlign w:val="center"/>
            <w:textDirection w:val="lrTb"/>
            <w:noWrap w:val="false"/>
          </w:tcPr>
          <w:p w14:paraId="00D175FB">
            <w:pPr>
              <w:pBdr/>
              <w:spacing/>
              <w:ind/>
              <w:jc w:val="center"/>
              <w:rPr/>
            </w:pPr>
            <w:r>
              <w:t xml:space="preserve">0</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19" w:type="dxa"/>
            <w:vAlign w:val="center"/>
            <w:textDirection w:val="lrTb"/>
            <w:noWrap w:val="false"/>
          </w:tcPr>
          <w:p w14:paraId="26B17FEA" w14:textId="77777777">
            <w:pPr>
              <w:pBdr/>
              <w:spacing/>
              <w:ind/>
              <w:jc w:val="center"/>
              <w:rPr/>
            </w:pPr>
            <w:r>
              <w:t xml:space="preserve">14</w:t>
            </w:r>
            <w:r/>
          </w:p>
        </w:tc>
        <w:tc>
          <w:tcPr>
            <w:tcBorders/>
            <w:tcW w:w="1951" w:type="dxa"/>
            <w:vAlign w:val="center"/>
            <w:textDirection w:val="lrTb"/>
            <w:noWrap w:val="false"/>
          </w:tcPr>
          <w:p w14:paraId="02850E00" w14:textId="77777777">
            <w:pPr>
              <w:pBdr/>
              <w:spacing/>
              <w:ind/>
              <w:jc w:val="center"/>
              <w:rPr/>
            </w:pPr>
            <w:r>
              <w:t xml:space="preserve">Mặt tiếp giáp</w:t>
            </w:r>
            <w:r/>
          </w:p>
        </w:tc>
        <w:tc>
          <w:tcPr>
            <w:tcBorders/>
            <w:tcW w:w="2387" w:type="dxa"/>
            <w:vAlign w:val="center"/>
            <w:textDirection w:val="lrTb"/>
            <w:noWrap w:val="false"/>
          </w:tcPr>
          <w:p w14:paraId="4576CF3F" w14:textId="77777777">
            <w:pPr>
              <w:pBdr/>
              <w:spacing/>
              <w:ind/>
              <w:jc w:val="center"/>
              <w:rPr/>
            </w:pPr>
            <w:r>
              <w:t xml:space="preserve">Tiếp giáp 1 mặt tiền</w:t>
            </w:r>
            <w:r/>
          </w:p>
        </w:tc>
        <w:tc>
          <w:tcPr>
            <w:tcBorders/>
            <w:tcW w:w="2340"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19" w:type="dxa"/>
            <w:vAlign w:val="center"/>
            <w:textDirection w:val="lrTb"/>
            <w:noWrap w:val="false"/>
          </w:tcPr>
          <w:p w14:paraId="26B17FEA" w14:textId="77777777">
            <w:pPr>
              <w:pBdr/>
              <w:spacing/>
              <w:ind/>
              <w:jc w:val="center"/>
              <w:rPr/>
            </w:pPr>
            <w:r>
              <w:t xml:space="preserve">15</w:t>
            </w:r>
            <w:r/>
          </w:p>
        </w:tc>
        <w:tc>
          <w:tcPr>
            <w:tcBorders/>
            <w:tcW w:w="1951" w:type="dxa"/>
            <w:vAlign w:val="center"/>
            <w:textDirection w:val="lrTb"/>
            <w:noWrap w:val="false"/>
          </w:tcPr>
          <w:p w14:paraId="02850E00" w14:textId="77777777">
            <w:pPr>
              <w:pBdr/>
              <w:spacing/>
              <w:ind/>
              <w:jc w:val="center"/>
              <w:rPr/>
            </w:pPr>
            <w:r>
              <w:t xml:space="preserve">Hình dạng thửa đất</w:t>
            </w:r>
            <w:r/>
          </w:p>
        </w:tc>
        <w:tc>
          <w:tcPr>
            <w:tcBorders/>
            <w:tcW w:w="2387" w:type="dxa"/>
            <w:vAlign w:val="center"/>
            <w:textDirection w:val="lrTb"/>
            <w:noWrap w:val="false"/>
          </w:tcPr>
          <w:p w14:paraId="4576CF3F" w14:textId="77777777">
            <w:pPr>
              <w:pBdr/>
              <w:spacing/>
              <w:ind/>
              <w:jc w:val="center"/>
              <w:rPr/>
            </w:pPr>
            <w:r>
              <w:t xml:space="preserve">Hình chữ nhật ✔</w:t>
            </w:r>
            <w:r/>
          </w:p>
        </w:tc>
        <w:tc>
          <w:tcPr>
            <w:tcBorders/>
            <w:tcW w:w="2340" w:type="dxa"/>
            <w:vAlign w:val="center"/>
            <w:textDirection w:val="lrTb"/>
            <w:noWrap w:val="false"/>
          </w:tcPr>
          <w:p w14:paraId="79F97508" w14:textId="77777777">
            <w:pPr>
              <w:pBdr/>
              <w:spacing/>
              <w:ind/>
              <w:jc w:val="center"/>
              <w:rPr/>
            </w:pPr>
            <w:r>
              <w:t xml:space="preserve">Hình chữ nhật</w:t>
            </w:r>
            <w:r/>
          </w:p>
        </w:tc>
        <w:tc>
          <w:tcPr>
            <w:tcBorders/>
            <w:tcW w:w="1371" w:type="dxa"/>
            <w:vAlign w:val="center"/>
            <w:textDirection w:val="lrTb"/>
            <w:noWrap w:val="false"/>
          </w:tcPr>
          <w:p w14:paraId="65D13AEE">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19" w:type="dxa"/>
            <w:vAlign w:val="center"/>
            <w:textDirection w:val="lrTb"/>
            <w:noWrap w:val="false"/>
          </w:tcPr>
          <w:p w14:paraId="26B17FEA" w14:textId="77777777">
            <w:pPr>
              <w:pBdr/>
              <w:spacing/>
              <w:ind/>
              <w:jc w:val="center"/>
              <w:rPr/>
            </w:pPr>
            <w:r>
              <w:t xml:space="preserve">19</w:t>
            </w:r>
            <w:r/>
          </w:p>
        </w:tc>
        <w:tc>
          <w:tcPr>
            <w:tcBorders/>
            <w:tcW w:w="1951" w:type="dxa"/>
            <w:vAlign w:val="center"/>
            <w:textDirection w:val="lrTb"/>
            <w:noWrap w:val="false"/>
          </w:tcPr>
          <w:p w14:paraId="02850E00" w14:textId="77777777">
            <w:pPr>
              <w:pBdr/>
              <w:spacing/>
              <w:ind/>
              <w:jc w:val="center"/>
              <w:rPr/>
            </w:pPr>
            <w:r>
              <w:t xml:space="preserve">Khả năng chuyển nhượng</w:t>
            </w:r>
            <w:r/>
          </w:p>
        </w:tc>
        <w:tc>
          <w:tcPr>
            <w:tcBorders/>
            <w:tcW w:w="2387" w:type="dxa"/>
            <w:vAlign w:val="center"/>
            <w:textDirection w:val="lrTb"/>
            <w:noWrap w:val="false"/>
          </w:tcPr>
          <w:p w14:paraId="4576CF3F" w14:textId="77777777">
            <w:pPr>
              <w:pBdr/>
              <w:spacing/>
              <w:ind/>
              <w:jc w:val="center"/>
              <w:rPr/>
            </w:pPr>
            <w:r>
              <w:t xml:space="preserve">Tốt </w:t>
            </w:r>
            <w:r/>
          </w:p>
        </w:tc>
        <w:tc>
          <w:tcPr>
            <w:tcBorders/>
            <w:tcW w:w="2340" w:type="dxa"/>
            <w:vAlign w:val="center"/>
            <w:textDirection w:val="lrTb"/>
            <w:noWrap w:val="false"/>
          </w:tcPr>
          <w:p w14:paraId="79F97508" w14:textId="77777777">
            <w:pPr>
              <w:pBdr/>
              <w:spacing/>
              <w:ind/>
              <w:jc w:val="center"/>
              <w:rPr/>
            </w:pPr>
            <w:r>
              <w:t xml:space="preserve">Tốt </w:t>
            </w:r>
            <w:r>
              <w:t xml:space="preserve">✔</w:t>
            </w:r>
            <w:r/>
          </w:p>
        </w:tc>
        <w:tc>
          <w:tcPr>
            <w:tcBorders/>
            <w:tcW w:w="1371" w:type="dxa"/>
            <w:vAlign w:val="center"/>
            <w:textDirection w:val="lrTb"/>
            <w:noWrap w:val="false"/>
          </w:tcPr>
          <w:p w14:paraId="006D37D6">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bl>
    <w:p w14:paraId="3A6E9CA5">
      <w:pPr>
        <w:pBdr/>
        <w:spacing w:line="235" w:lineRule="auto"/>
        <w:ind w:left="646"/>
        <w:jc w:val="both"/>
        <w:rPr>
          <w:u w:val="single"/>
        </w:rPr>
      </w:pPr>
      <w:r>
        <w:rPr>
          <w:u w:val="single"/>
        </w:rPr>
      </w:r>
      <w:r>
        <w:rPr>
          <w:u w:val="single"/>
        </w:rPr>
      </w:r>
      <w:r>
        <w:rPr>
          <w:u w:val="single"/>
        </w:rPr>
      </w:r>
    </w:p>
    <w:p w14:paraId="55834709">
      <w:pPr>
        <w:pBdr/>
        <w:spacing w:line="235" w:lineRule="auto"/>
        <w:ind w:left="646"/>
        <w:jc w:val="both"/>
        <w:rPr>
          <w:u w:val="single"/>
        </w:rPr>
      </w:pPr>
      <w:r>
        <w:rPr>
          <w:u w:val="single"/>
        </w:rPr>
      </w:r>
      <w:r>
        <w:rPr>
          <w:u w:val="single"/>
        </w:rPr>
      </w:r>
      <w:r>
        <w:rPr>
          <w:u w:val="single"/>
        </w:rPr>
      </w:r>
    </w:p>
    <w:p w14:paraId="20B90FDB">
      <w:pPr>
        <w:pBdr/>
        <w:spacing w:line="235" w:lineRule="auto"/>
        <w:ind w:left="646"/>
        <w:jc w:val="both"/>
        <w:rPr>
          <w:u w:val="single"/>
        </w:rPr>
      </w:pPr>
      <w:r>
        <w:rPr>
          <w:u w:val="single"/>
        </w:rPr>
      </w:r>
      <w:r>
        <w:rPr>
          <w:u w:val="single"/>
        </w:rPr>
      </w:r>
      <w:r>
        <w:rPr>
          <w:u w:val="single"/>
        </w:rPr>
      </w:r>
    </w:p>
    <w:p w14:paraId="2E747864">
      <w:pPr>
        <w:pBdr/>
        <w:spacing w:line="235" w:lineRule="auto"/>
        <w:ind w:left="646"/>
        <w:jc w:val="both"/>
        <w:rPr>
          <w:u w:val="single"/>
        </w:rPr>
      </w:pPr>
      <w:r>
        <w:rPr>
          <w:u w:val="single"/>
        </w:rPr>
      </w:r>
      <w:r>
        <w:rPr>
          <w:u w:val="single"/>
        </w:rPr>
      </w:r>
      <w:r>
        <w:rPr>
          <w:u w:val="single"/>
        </w:rPr>
      </w:r>
    </w:p>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4954"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3"/>
        <w:gridCol w:w="6360"/>
        <w:gridCol w:w="1247"/>
        <w:gridCol w:w="153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360" w:type="dxa"/>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247" w:type="dxa"/>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530" w:type="dxa"/>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360" w:type="dxa"/>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247" w:type="dxa"/>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360" w:type="dxa"/>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247" w:type="dxa"/>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360" w:type="dxa"/>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247" w:type="dxa"/>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360" w:type="dxa"/>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247" w:type="dxa"/>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360" w:type="dxa"/>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247" w:type="dxa"/>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360" w:type="dxa"/>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247" w:type="dxa"/>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360" w:type="dxa"/>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247" w:type="dxa"/>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360" w:type="dxa"/>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247" w:type="dxa"/>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360" w:type="dxa"/>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247" w:type="dxa"/>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4941"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3"/>
        <w:gridCol w:w="6302"/>
        <w:gridCol w:w="1280"/>
        <w:gridCol w:w="153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302" w:type="dxa"/>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280" w:type="dxa"/>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530" w:type="dxa"/>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80" w:type="dxa"/>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280" w:type="dxa"/>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280" w:type="dxa"/>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280" w:type="dxa"/>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80" w:type="dxa"/>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280" w:type="dxa"/>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280" w:type="dxa"/>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280" w:type="dxa"/>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280" w:type="dxa"/>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280" w:type="dxa"/>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280" w:type="dxa"/>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280" w:type="dxa"/>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280" w:type="dxa"/>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530" w:type="dxa"/>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280" w:type="dxa"/>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530" w:type="dxa"/>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280" w:type="dxa"/>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530" w:type="dxa"/>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280" w:type="dxa"/>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530" w:type="dxa"/>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280" w:type="dxa"/>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530" w:type="dxa"/>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80" w:type="dxa"/>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530" w:type="dxa"/>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80" w:type="dxa"/>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530" w:type="dxa"/>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80" w:type="dxa"/>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530" w:type="dxa"/>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80" w:type="dxa"/>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530" w:type="dxa"/>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280" w:type="dxa"/>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530" w:type="dxa"/>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280" w:type="dxa"/>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530" w:type="dxa"/>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280" w:type="dxa"/>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530" w:type="dxa"/>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280" w:type="dxa"/>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530" w:type="dxa"/>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302" w:type="dxa"/>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280" w:type="dxa"/>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530" w:type="dxa"/>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26F68535">
      <w:pPr>
        <w:pStyle w:val="1035"/>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Căn cứ Giấy chứng nhận Quyền sử dụng đất, quyền sở hữu nhà ở và tài sản khác gắn liền với đất số: CM 296923, thửa đất có 32,52m² đất ở tại đô thị nằm trong lộ giới đường Đặng Hữu Phổ. Theo yêu cầu từ phía khách hàng/ngân hàng, tổ thẩm định chỉ xác định giá</w:t>
      </w:r>
      <w:r>
        <w:rPr>
          <w:rFonts w:ascii="Times New Roman" w:hAnsi="Times New Roman" w:eastAsia="Times New Roman" w:cs="Times New Roman"/>
          <w:color w:val="000000"/>
          <w:sz w:val="24"/>
        </w:rPr>
        <w:t xml:space="preserve"> trị quyền sử dụng đất nằm ngoài lộ giới đường Đặng Hữu Phổ, không xác định giá trị của phần diện tích đất ở tại đô thị nằm trong lộ giới đường Đặng Hữu Phổ vào tổng giá trị. Kính đề nghị đơn vị sử dụng kết quả lưu ý</w:t>
      </w:r>
      <w:r>
        <w:rPr>
          <w:spacing w:val="-2"/>
          <w:highlight w:val="none"/>
          <w:lang w:val="pt-BR" w:bidi="pt-BR"/>
        </w:rPr>
        <w:t xml:space="preserve">.</w:t>
      </w:r>
      <w:r>
        <w:rPr>
          <w:spacing w:val="-2"/>
          <w:lang w:val="pt-BR"/>
        </w:rPr>
      </w:r>
      <w:r>
        <w:rPr>
          <w:spacing w:val="-2"/>
          <w:lang w:val="pt-BR"/>
        </w:rPr>
      </w:r>
    </w:p>
    <w:p w14:paraId="110EA7E9" w14:textId="2D24DC9A">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3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5"/>
        <w:pBdr/>
        <w:spacing w:after="120" w:before="120" w:line="276" w:lineRule="auto"/>
        <w:ind w:firstLine="357" w:left="0"/>
        <w:jc w:val="both"/>
        <w:rPr>
          <w:highlight w:val="none"/>
          <w:lang w:val="nl-NL"/>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highlight w:val="none"/>
          <w:lang w:val="nl-NL"/>
        </w:rPr>
      </w:r>
      <w:r>
        <w:rPr>
          <w:highlight w:val="none"/>
          <w:lang w:val="nl-NL"/>
        </w:rPr>
      </w:r>
    </w:p>
    <w:p w14:paraId="59D83576">
      <w:pPr>
        <w:pStyle w:val="1035"/>
        <w:pBdr/>
        <w:spacing w:after="120" w:before="120" w:line="276" w:lineRule="auto"/>
        <w:ind w:firstLine="357" w:left="0"/>
        <w:jc w:val="both"/>
        <w:rPr>
          <w:lang w:val="pt-BR"/>
        </w:rPr>
      </w:pPr>
      <w:r>
        <w:rPr>
          <w:lang w:val="pt-BR"/>
        </w:rPr>
      </w:r>
      <w:r>
        <w:rPr>
          <w:lang w:val="pt-BR"/>
        </w:rPr>
      </w:r>
      <w:r>
        <w:rPr>
          <w:lang w:val="pt-BR"/>
        </w:rPr>
      </w:r>
    </w:p>
    <w:p w14:paraId="595B0167">
      <w:pPr>
        <w:pStyle w:val="1035"/>
        <w:pBdr/>
        <w:spacing w:after="120" w:before="120" w:line="276" w:lineRule="auto"/>
        <w:ind w:firstLine="357" w:left="0"/>
        <w:jc w:val="both"/>
        <w:rPr>
          <w:lang w:val="pt-BR"/>
        </w:rPr>
      </w:pPr>
      <w:r>
        <w:rPr>
          <w:lang w:val="pt-BR"/>
        </w:rPr>
      </w:r>
      <w:r>
        <w:rPr>
          <w:lang w:val="pt-BR"/>
        </w:rPr>
      </w:r>
      <w:r>
        <w:rPr>
          <w:lang w:val="pt-BR"/>
        </w:rPr>
      </w:r>
    </w:p>
    <w:p w14:paraId="65B971E8">
      <w:pPr>
        <w:pStyle w:val="1035"/>
        <w:pBdr/>
        <w:spacing w:after="120" w:before="120" w:line="276" w:lineRule="auto"/>
        <w:ind w:firstLine="357" w:left="0"/>
        <w:jc w:val="both"/>
        <w:rPr>
          <w:lang w:val="pt-BR"/>
        </w:rPr>
      </w:pPr>
      <w:r>
        <w:rPr>
          <w:lang w:val="pt-BR"/>
        </w:rPr>
      </w:r>
      <w:r>
        <w:rPr>
          <w:lang w:val="pt-BR"/>
        </w:rPr>
      </w:r>
      <w:r>
        <w:rPr>
          <w:lang w:val="pt-BR"/>
        </w:rPr>
      </w:r>
    </w:p>
    <w:p w14:paraId="5A4DA717">
      <w:pPr>
        <w:pStyle w:val="1035"/>
        <w:pBdr/>
        <w:spacing w:after="120" w:before="120" w:line="276" w:lineRule="auto"/>
        <w:ind w:firstLine="357" w:left="0"/>
        <w:jc w:val="both"/>
        <w:rPr>
          <w:lang w:val="pt-BR"/>
        </w:rPr>
      </w:pPr>
      <w:r>
        <w:rPr>
          <w:lang w:val="pt-BR"/>
        </w:rPr>
      </w:r>
      <w:r>
        <w:rPr>
          <w:lang w:val="pt-BR"/>
        </w:rPr>
      </w:r>
      <w:r>
        <w:rPr>
          <w:lang w:val="pt-BR"/>
        </w:rPr>
      </w:r>
    </w:p>
    <w:p w14:paraId="79C24B75">
      <w:pPr>
        <w:pStyle w:val="1035"/>
        <w:pBdr/>
        <w:spacing w:after="120" w:before="120" w:line="276" w:lineRule="auto"/>
        <w:ind w:firstLine="357" w:left="0"/>
        <w:jc w:val="both"/>
        <w:rPr>
          <w:lang w:val="pt-BR"/>
        </w:rPr>
      </w:pPr>
      <w:r>
        <w:rPr>
          <w:lang w:val="pt-BR"/>
        </w:rPr>
      </w:r>
      <w:r>
        <w:rPr>
          <w:lang w:val="pt-BR"/>
        </w:rPr>
      </w:r>
      <w:r>
        <w:rPr>
          <w:lang w:val="pt-BR"/>
        </w:rPr>
      </w:r>
    </w:p>
    <w:p w14:paraId="0D9BE42B">
      <w:pPr>
        <w:pStyle w:val="1035"/>
        <w:pBdr/>
        <w:spacing w:after="120" w:before="120" w:line="276" w:lineRule="auto"/>
        <w:ind w:firstLine="357" w:left="0"/>
        <w:jc w:val="both"/>
        <w:rPr>
          <w:lang w:val="pt-BR"/>
        </w:rPr>
      </w:pPr>
      <w:r>
        <w:rPr>
          <w:highlight w:val="none"/>
          <w:lang w:val="pt-BR" w:bidi="pt-BR"/>
        </w:rPr>
      </w:r>
      <w:r>
        <w:rPr>
          <w:lang w:val="pt-BR"/>
        </w:rPr>
      </w:r>
      <w:r>
        <w:rPr>
          <w:lang w:val="pt-BR"/>
        </w:rPr>
      </w:r>
    </w:p>
    <w:p w14:paraId="2A05C283" w14:textId="4A078C0D">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Ind w:w="-358" w:type="dxa"/>
        <w:tblW w:w="0" w:type="auto"/>
        <w:tblBorders/>
        <w:tblLayout w:type="fixed"/>
        <w:tblLook w:val="04A0" w:firstRow="1" w:lastRow="0" w:firstColumn="1" w:lastColumn="0" w:noHBand="0" w:noVBand="1"/>
      </w:tblPr>
      <w:tblGrid>
        <w:gridCol w:w="632"/>
        <w:gridCol w:w="2041"/>
        <w:gridCol w:w="1951"/>
        <w:gridCol w:w="1876"/>
        <w:gridCol w:w="1908"/>
        <w:gridCol w:w="1980"/>
      </w:tblGrid>
      <w:tr>
        <w:trPr>
          <w:trHeight w:val="0"/>
          <w:tblHeader/>
        </w:trPr>
        <w:tc>
          <w:tcPr>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041" w:type="dxa"/>
            <w:vAlign w:val="center"/>
            <w:textDirection w:val="lrTb"/>
            <w:noWrap w:val="false"/>
          </w:tcPr>
          <w:p w14:paraId="279CB8C9" w14:textId="77777777">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951"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76"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908"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980"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41" w:type="dxa"/>
            <w:textDirection w:val="lrTb"/>
            <w:noWrap w:val="false"/>
          </w:tcPr>
          <w:p w14:paraId="50197F2B" w14:textId="77777777">
            <w:pPr>
              <w:pBdr/>
              <w:spacing/>
              <w:ind/>
              <w:jc w:val="both"/>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1"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6"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34A9397E" w14:textId="77777777">
            <w:pPr>
              <w:pBdr/>
              <w:spacing/>
              <w:ind/>
              <w:jc w:val="both"/>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Thảo Điền,  Quận 2,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Phường Thảo Điền,  Quận 2,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Số 67 đường số 47, phường Thảo Điền, Quận 2,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Số 08 đường Đặng Hữu Phổ, KP2, phường Thảo Điền, Quận 2, thành phố Hồ Chí Minh</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5AF4C6FF" w14:textId="77777777">
            <w:pPr>
              <w:pBdr/>
              <w:spacing/>
              <w:ind/>
              <w:jc w:val="both"/>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76470B3F" w14:textId="77777777">
            <w:pPr>
              <w:pBdr/>
              <w:spacing/>
              <w:ind/>
              <w:jc w:val="both"/>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0968361638</w:t>
            </w:r>
            <w:r>
              <w:rPr>
                <w:sz w:val="22"/>
                <w:szCs w:val="22"/>
              </w:rPr>
              <w:t xml:space="preserve"> </w:t>
            </w:r>
            <w:r>
              <w:rPr>
                <w:sz w:val="22"/>
                <w:szCs w:val="22"/>
              </w:rPr>
              <w:br/>
              <w:t xml:space="preserve">(</w:t>
            </w:r>
            <w:r>
              <w:rPr>
                <w:sz w:val="22"/>
                <w:szCs w:val="22"/>
              </w:rPr>
              <w:t xml:space="preserve">Hà</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0828054504</w:t>
            </w:r>
            <w:r>
              <w:rPr>
                <w:sz w:val="22"/>
                <w:szCs w:val="22"/>
              </w:rPr>
              <w:br/>
            </w:r>
            <w:r>
              <w:rPr>
                <w:sz w:val="22"/>
                <w:szCs w:val="22"/>
              </w:rPr>
              <w:t xml:space="preserve">(</w:t>
            </w:r>
            <w:r>
              <w:rPr>
                <w:sz w:val="22"/>
                <w:szCs w:val="22"/>
              </w:rPr>
              <w:t xml:space="preserve">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0968108368</w:t>
            </w:r>
            <w:r>
              <w:rPr>
                <w:sz w:val="22"/>
                <w:szCs w:val="22"/>
              </w:rPr>
              <w:br/>
            </w:r>
            <w:r>
              <w:rPr>
                <w:sz w:val="22"/>
                <w:szCs w:val="22"/>
              </w:rPr>
              <w:t xml:space="preserve">(</w:t>
            </w:r>
            <w:r>
              <w:rPr>
                <w:sz w:val="22"/>
                <w:szCs w:val="22"/>
              </w:rPr>
              <w:t xml:space="preserve">Minh</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273BD05D" w14:textId="77777777">
            <w:pPr>
              <w:pBdr/>
              <w:spacing/>
              <w:ind/>
              <w:jc w:val="both"/>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596889DA" w14:textId="77777777">
            <w:pPr>
              <w:pBdr/>
              <w:spacing/>
              <w:ind/>
              <w:jc w:val="both"/>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2EE65F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Số 15A đường Đặng Hữu Phổ, KP2, phường Thảo Điền, Quận 2, thành phố Hồ Chí Minh. Cách đường Võ Nguyên Giáp (Xa lộ Hà Nội) khoảng 350m.</w:t>
            </w: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299C2B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Số 12 đường số 49, KP2, phường Thảo Điền, Quận 2, thành phố Hồ Chí Minh. Cách đường Võ Nguyên Giáp (Xa lộ Hà Nội) khoảng 800m.</w:t>
            </w: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83F0A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Số 67 đường số 47, phường Thảo Điền, Quận 2, thành phố Hồ Chí Minh. Cách đường Võ Nguyên Giáp (Xa lộ Hà Nội) khoảng 1,2km.</w:t>
            </w: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1169C5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Số 08 đường Đặng Hữu Phổ, KP2, phường Thảo Điền, Quận 2, thành phố Hồ Chí Minh. Cách đường Võ Nguyên Giáp (Xa lộ Hà Nội) khoảng 380m.</w:t>
            </w: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486.68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591.1</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17.48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20.6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115.000.000.000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160.000.000.000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109.800.000.000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144.000.000.000</w:t>
            </w:r>
            <w:r>
              <w:rPr>
                <w:color w:val="000000"/>
                <w:sz w:val="22"/>
                <w:szCs w:val="22"/>
              </w:rPr>
            </w:r>
            <w:r>
              <w:rPr>
                <w:color w:val="000000"/>
                <w:sz w:val="22"/>
                <w:szCs w:val="22"/>
              </w:rPr>
            </w:r>
          </w:p>
        </w:tc>
      </w:tr>
      <w:tr>
        <w:trPr>
          <w:trHeight w:val="24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7969371C" w14:textId="77777777">
            <w:pPr>
              <w:pBdr/>
              <w:spacing/>
              <w:ind/>
              <w:jc w:val="both"/>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3F1FF4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796DE0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7CA43A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159B2747" w14:textId="77777777">
            <w:pPr>
              <w:pBdr/>
              <w:spacing/>
              <w:ind/>
              <w:jc w:val="both"/>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7BAAD9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289,5</w:t>
            </w: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3E6AF6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795,9</w:t>
            </w: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494502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286,1</w:t>
            </w: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23162618" w14:textId="77777777">
            <w:pPr>
              <w:pBdr/>
              <w:spacing/>
              <w:ind/>
              <w:jc w:val="both"/>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7DB41CF8" w14:textId="77777777">
            <w:pPr>
              <w:pBdr/>
              <w:spacing/>
              <w:ind/>
              <w:jc w:val="both"/>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59CA45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1.266.765.150</w:t>
            </w: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55AA3B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5.529.179.756</w:t>
            </w: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5A15AA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1.251.887.770</w:t>
            </w:r>
            <w:r/>
          </w:p>
        </w:tc>
      </w:tr>
      <w:tr>
        <w:trPr>
          <w:trHeight w:val="0"/>
        </w:trPr>
        <w:tc>
          <w:tcPr>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755466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2041" w:type="dxa"/>
            <w:vAlign w:val="center"/>
            <w:vMerge w:val="restart"/>
            <w:textDirection w:val="lrTb"/>
            <w:noWrap w:val="false"/>
          </w:tcPr>
          <w:p w14:paraId="3AE5463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Đơn giá xây dựng theo Quyết định số 409/QĐ-BXD ngày 11/04/2025 của Bộ Xây Dựng (đồng/m²)</w:t>
            </w:r>
            <w:r/>
          </w:p>
        </w:tc>
        <w:tc>
          <w:tcPr>
            <w:tcBorders>
              <w:top w:val="none" w:color="000000" w:sz="4" w:space="0"/>
              <w:left w:val="none" w:color="000000" w:sz="4" w:space="0"/>
              <w:bottom w:val="single" w:color="000000" w:sz="4" w:space="0"/>
              <w:right w:val="single" w:color="000000" w:sz="4" w:space="0"/>
            </w:tcBorders>
            <w:tcW w:w="1951" w:type="dxa"/>
            <w:vAlign w:val="center"/>
            <w:vMerge w:val="restart"/>
            <w:textDirection w:val="lrTb"/>
            <w:noWrap w:val="false"/>
          </w:tcPr>
          <w:p w14:paraId="5C355E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876" w:type="dxa"/>
            <w:vAlign w:val="center"/>
            <w:vMerge w:val="restart"/>
            <w:textDirection w:val="lrTb"/>
            <w:noWrap w:val="false"/>
          </w:tcPr>
          <w:p w14:paraId="193D2B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7.955.818</w:t>
            </w:r>
            <w:r/>
          </w:p>
        </w:tc>
        <w:tc>
          <w:tcPr>
            <w:tcBorders>
              <w:top w:val="none" w:color="000000" w:sz="4" w:space="0"/>
              <w:left w:val="none" w:color="000000" w:sz="4" w:space="0"/>
              <w:bottom w:val="single" w:color="000000" w:sz="4" w:space="0"/>
              <w:right w:val="single" w:color="000000" w:sz="4" w:space="0"/>
            </w:tcBorders>
            <w:tcW w:w="1908" w:type="dxa"/>
            <w:vAlign w:val="center"/>
            <w:vMerge w:val="restart"/>
            <w:textDirection w:val="lrTb"/>
            <w:noWrap w:val="false"/>
          </w:tcPr>
          <w:p w14:paraId="06F79C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9.995.796</w:t>
            </w:r>
            <w:r/>
          </w:p>
        </w:tc>
        <w:tc>
          <w:tcPr>
            <w:tcBorders>
              <w:top w:val="none" w:color="000000" w:sz="4" w:space="0"/>
              <w:left w:val="none" w:color="000000" w:sz="4" w:space="0"/>
              <w:bottom w:val="single" w:color="000000" w:sz="4" w:space="0"/>
              <w:right w:val="single" w:color="000000" w:sz="4" w:space="0"/>
            </w:tcBorders>
            <w:tcW w:w="1980" w:type="dxa"/>
            <w:vAlign w:val="center"/>
            <w:vMerge w:val="restart"/>
            <w:textDirection w:val="lrTb"/>
            <w:noWrap w:val="false"/>
          </w:tcPr>
          <w:p w14:paraId="23D6E2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7.955.818</w:t>
            </w:r>
            <w:r/>
          </w:p>
        </w:tc>
      </w:tr>
      <w:tr>
        <w:trPr>
          <w:trHeight w:val="0"/>
        </w:trPr>
        <w:tc>
          <w:tcPr>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415661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2041" w:type="dxa"/>
            <w:vAlign w:val="center"/>
            <w:vMerge w:val="restart"/>
            <w:textDirection w:val="lrTb"/>
            <w:noWrap w:val="false"/>
          </w:tcPr>
          <w:p w14:paraId="1AFEC02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951" w:type="dxa"/>
            <w:vAlign w:val="center"/>
            <w:vMerge w:val="restart"/>
            <w:textDirection w:val="lrTb"/>
            <w:noWrap w:val="false"/>
          </w:tcPr>
          <w:p w14:paraId="15A116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876" w:type="dxa"/>
            <w:vAlign w:val="center"/>
            <w:vMerge w:val="restart"/>
            <w:textDirection w:val="lrTb"/>
            <w:noWrap w:val="false"/>
          </w:tcPr>
          <w:p w14:paraId="27C936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w:t>
            </w:r>
            <w:r/>
          </w:p>
        </w:tc>
        <w:tc>
          <w:tcPr>
            <w:tcBorders>
              <w:top w:val="none" w:color="000000" w:sz="4" w:space="0"/>
              <w:left w:val="none" w:color="000000" w:sz="4" w:space="0"/>
              <w:bottom w:val="single" w:color="000000" w:sz="4" w:space="0"/>
              <w:right w:val="single" w:color="000000" w:sz="4" w:space="0"/>
            </w:tcBorders>
            <w:tcW w:w="1908" w:type="dxa"/>
            <w:vAlign w:val="center"/>
            <w:vMerge w:val="restart"/>
            <w:textDirection w:val="lrTb"/>
            <w:noWrap w:val="false"/>
          </w:tcPr>
          <w:p w14:paraId="71F59E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w:t>
            </w:r>
            <w:r/>
          </w:p>
        </w:tc>
        <w:tc>
          <w:tcPr>
            <w:tcBorders>
              <w:top w:val="none" w:color="000000" w:sz="4" w:space="0"/>
              <w:left w:val="none" w:color="000000" w:sz="4" w:space="0"/>
              <w:bottom w:val="single" w:color="000000" w:sz="4" w:space="0"/>
              <w:right w:val="single" w:color="000000" w:sz="4" w:space="0"/>
            </w:tcBorders>
            <w:tcW w:w="1980" w:type="dxa"/>
            <w:vAlign w:val="center"/>
            <w:vMerge w:val="restart"/>
            <w:textDirection w:val="lrTb"/>
            <w:noWrap w:val="false"/>
          </w:tcPr>
          <w:p w14:paraId="4A3648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w:t>
            </w: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43B29B4C" w14:textId="77777777">
            <w:pPr>
              <w:pBdr/>
              <w:spacing/>
              <w:ind/>
              <w:jc w:val="both"/>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06B3A8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102.233.234.850</w:t>
            </w: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5E3001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104.270.820.244</w:t>
            </w: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73934C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142.748.112.230</w:t>
            </w: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0DF1A8FE" w14:textId="77777777">
            <w:pPr>
              <w:pBdr/>
              <w:spacing/>
              <w:ind/>
              <w:jc w:val="both"/>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tcPr>
          <w:p w14:paraId="3A1D6D3E" w14:textId="37533F96">
            <w:pPr>
              <w:pBdr/>
              <w:spacing/>
              <w:ind/>
              <w:jc w:val="center"/>
              <w:rPr>
                <w:b/>
                <w:bCs/>
                <w:color w:val="000000"/>
                <w:sz w:val="22"/>
                <w:szCs w:val="22"/>
              </w:rPr>
            </w:pPr>
            <w:r>
              <w:rPr>
                <w:b/>
                <w:bCs/>
                <w:color w:val="000000" w:themeColor="text1"/>
                <w:sz w:val="22"/>
                <w:szCs w:val="22"/>
              </w:rPr>
              <w:t xml:space="preserve">251.805.997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tcPr>
          <w:p w14:paraId="15F4A4DD" w14:textId="0E55EC61">
            <w:pPr>
              <w:pBdr/>
              <w:spacing/>
              <w:ind/>
              <w:jc w:val="center"/>
              <w:rPr>
                <w:b/>
                <w:bCs/>
                <w:color w:val="000000"/>
                <w:sz w:val="22"/>
                <w:szCs w:val="22"/>
              </w:rPr>
            </w:pPr>
            <w:r>
              <w:rPr>
                <w:b/>
                <w:bCs/>
                <w:color w:val="000000" w:themeColor="text1"/>
                <w:sz w:val="22"/>
                <w:szCs w:val="22"/>
              </w:rPr>
              <w:t xml:space="preserve">234.754.599</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tcPr>
          <w:p w14:paraId="656574BF" w14:textId="1D080670">
            <w:pPr>
              <w:pBdr/>
              <w:spacing/>
              <w:ind/>
              <w:jc w:val="center"/>
              <w:rPr>
                <w:b/>
                <w:bCs/>
                <w:color w:val="000000"/>
                <w:sz w:val="22"/>
                <w:szCs w:val="22"/>
              </w:rPr>
            </w:pPr>
            <w:r>
              <w:rPr>
                <w:b/>
                <w:bCs/>
                <w:color w:val="000000" w:themeColor="text1"/>
                <w:sz w:val="22"/>
                <w:szCs w:val="22"/>
              </w:rPr>
              <w:t xml:space="preserve">241.495.707</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200038F7" w14:textId="77777777">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71CFBB89">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E8E1262">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62FD3343">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734CC0F0">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20D3C70">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67FB3151">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3CC781F1">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5AE87A5A">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2461C270">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3BF9F45">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251FF660">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236F60E2">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637181B0">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3ABA4F57">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6CD40662">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r>
      <w:tr>
        <w:trPr>
          <w:trHeight w:val="0"/>
        </w:trPr>
        <w:tc>
          <w:tcPr>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6" w:type="dxa"/>
            <w:vAlign w:val="center"/>
            <w:textDirection w:val="lrTb"/>
            <w:noWrap w:val="false"/>
          </w:tcPr>
          <w:p w14:paraId="4E27C53C">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c>
          <w:tcPr>
            <w:tcBorders>
              <w:top w:val="none" w:color="000000" w:sz="4" w:space="0"/>
              <w:left w:val="none" w:color="000000" w:sz="4" w:space="0"/>
              <w:bottom w:val="single" w:color="auto" w:sz="4" w:space="0"/>
              <w:right w:val="single" w:color="auto" w:sz="4" w:space="0"/>
            </w:tcBorders>
            <w:tcW w:w="1908" w:type="dxa"/>
            <w:vAlign w:val="center"/>
            <w:textDirection w:val="lrTb"/>
            <w:noWrap w:val="false"/>
          </w:tcPr>
          <w:p w14:paraId="6729CF10">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76141D4E">
            <w:pPr>
              <w:pBdr/>
              <w:spacing/>
              <w:ind/>
              <w:jc w:val="center"/>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2"/>
              </w:rPr>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432"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908"/>
        <w:gridCol w:w="1030"/>
        <w:gridCol w:w="1720"/>
        <w:gridCol w:w="1728"/>
        <w:gridCol w:w="1710"/>
        <w:gridCol w:w="1710"/>
      </w:tblGrid>
      <w:tr>
        <w:trPr>
          <w:trHeight w:val="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14:paraId="071259FD" w14:textId="77777777">
            <w:pPr>
              <w:pBdr/>
              <w:spacing/>
              <w:ind/>
              <w:jc w:val="both"/>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ĐVT</w:t>
            </w:r>
            <w:r>
              <w:rPr>
                <w:b/>
                <w:bCs/>
                <w:color w:val="000000"/>
                <w:sz w:val="22"/>
                <w:szCs w:val="22"/>
              </w:rPr>
            </w:r>
            <w:r>
              <w:rPr>
                <w:b/>
                <w:bCs/>
                <w:color w:val="000000"/>
                <w:sz w:val="22"/>
                <w:szCs w:val="22"/>
              </w:rPr>
            </w:r>
          </w:p>
        </w:tc>
        <w:tc>
          <w:tcPr>
            <w:shd w:val="clear" w:color="000000" w:fill="ffffff"/>
            <w:tcBorders/>
            <w:tcW w:w="1720"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14:paraId="1BF19773" w14:textId="77777777">
            <w:pPr>
              <w:pBdr/>
              <w:spacing/>
              <w:ind/>
              <w:jc w:val="both"/>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720"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17E66291" w14:textId="353C989D">
            <w:pPr>
              <w:pBdr/>
              <w:spacing/>
              <w:ind/>
              <w:jc w:val="center"/>
              <w:rPr>
                <w:b/>
                <w:bCs/>
                <w:color w:val="000000"/>
                <w:sz w:val="20"/>
                <w:szCs w:val="20"/>
              </w:rPr>
            </w:pPr>
            <w:r>
              <w:rPr>
                <w:b/>
                <w:bCs/>
                <w:color w:val="000000" w:themeColor="text1"/>
                <w:sz w:val="22"/>
                <w:szCs w:val="22"/>
              </w:rPr>
              <w:t xml:space="preserve">102.233.234.879</w:t>
            </w:r>
            <w:r>
              <w:rPr>
                <w:b/>
                <w:bCs/>
                <w:color w:val="000000"/>
                <w:sz w:val="20"/>
                <w:szCs w:val="20"/>
              </w:rPr>
            </w:r>
            <w:r>
              <w:rPr>
                <w:b/>
                <w:bCs/>
                <w:color w:val="000000"/>
                <w:sz w:val="20"/>
                <w:szCs w:val="20"/>
              </w:rPr>
            </w:r>
          </w:p>
        </w:tc>
        <w:tc>
          <w:tcPr>
            <w:shd w:val="clear" w:color="000000" w:fill="ffffff"/>
            <w:tcBorders/>
            <w:tcW w:w="1710" w:type="dxa"/>
            <w:vAlign w:val="center"/>
            <w:textDirection w:val="lrTb"/>
            <w:noWrap w:val="false"/>
          </w:tcPr>
          <w:p w14:paraId="7C6008AC" w14:textId="54A27B5B">
            <w:pPr>
              <w:pBdr/>
              <w:spacing/>
              <w:ind/>
              <w:jc w:val="center"/>
              <w:rPr>
                <w:b/>
                <w:bCs/>
                <w:color w:val="000000"/>
                <w:sz w:val="20"/>
                <w:szCs w:val="20"/>
              </w:rPr>
            </w:pPr>
            <w:r>
              <w:rPr>
                <w:b/>
                <w:bCs/>
                <w:color w:val="000000" w:themeColor="text1"/>
                <w:sz w:val="22"/>
                <w:szCs w:val="22"/>
              </w:rPr>
              <w:t xml:space="preserve">104.231.042.175</w:t>
            </w:r>
            <w:r>
              <w:rPr>
                <w:b/>
                <w:bCs/>
                <w:color w:val="000000"/>
                <w:sz w:val="20"/>
                <w:szCs w:val="20"/>
              </w:rPr>
            </w:r>
            <w:r>
              <w:rPr>
                <w:b/>
                <w:bCs/>
                <w:color w:val="000000"/>
                <w:sz w:val="20"/>
                <w:szCs w:val="20"/>
              </w:rPr>
            </w:r>
          </w:p>
        </w:tc>
        <w:tc>
          <w:tcPr>
            <w:shd w:val="clear" w:color="000000" w:fill="ffffff"/>
            <w:tcBorders/>
            <w:tcW w:w="1710" w:type="dxa"/>
            <w:vAlign w:val="center"/>
            <w:textDirection w:val="lrTb"/>
            <w:noWrap w:val="false"/>
          </w:tcPr>
          <w:p w14:paraId="0B39B0F0" w14:textId="2516D1F5">
            <w:pPr>
              <w:pBdr/>
              <w:spacing/>
              <w:ind/>
              <w:jc w:val="center"/>
              <w:rPr>
                <w:b/>
                <w:bCs/>
                <w:color w:val="000000"/>
                <w:sz w:val="20"/>
                <w:szCs w:val="20"/>
              </w:rPr>
            </w:pPr>
            <w:r>
              <w:rPr>
                <w:b/>
                <w:bCs/>
                <w:color w:val="000000" w:themeColor="text1"/>
                <w:sz w:val="22"/>
                <w:szCs w:val="22"/>
              </w:rPr>
              <w:t xml:space="preserve">142.748.112.259</w:t>
            </w:r>
            <w:r>
              <w:rPr>
                <w:b/>
                <w:bCs/>
                <w:color w:val="000000"/>
                <w:sz w:val="20"/>
                <w:szCs w:val="20"/>
              </w:rPr>
            </w:r>
            <w:r>
              <w:rPr>
                <w:b/>
                <w:bCs/>
                <w:color w:val="000000"/>
                <w:sz w:val="20"/>
                <w:szCs w:val="20"/>
              </w:rPr>
            </w:r>
          </w:p>
        </w:tc>
      </w:tr>
      <w:tr>
        <w:trPr>
          <w:trHeight w:val="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14:paraId="2B0EF503" w14:textId="77777777">
            <w:pPr>
              <w:pBdr/>
              <w:spacing/>
              <w:ind/>
              <w:jc w:val="both"/>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720"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46EF4903" w14:textId="3C8E6040">
            <w:pPr>
              <w:pBdr/>
              <w:spacing/>
              <w:ind/>
              <w:jc w:val="center"/>
              <w:rPr>
                <w:b/>
                <w:bCs/>
                <w:color w:val="000000"/>
                <w:sz w:val="22"/>
                <w:szCs w:val="22"/>
              </w:rPr>
            </w:pPr>
            <w:r>
              <w:rPr>
                <w:b/>
                <w:bCs/>
                <w:color w:val="000000" w:themeColor="text1"/>
                <w:sz w:val="22"/>
                <w:szCs w:val="22"/>
              </w:rPr>
              <w:t xml:space="preserve">251.805.997</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64D0E5A2" w14:textId="5E182E79">
            <w:pPr>
              <w:pBdr/>
              <w:spacing/>
              <w:ind/>
              <w:jc w:val="center"/>
              <w:rPr>
                <w:b/>
                <w:bCs/>
                <w:color w:val="000000"/>
                <w:sz w:val="22"/>
                <w:szCs w:val="22"/>
              </w:rPr>
            </w:pPr>
            <w:r>
              <w:rPr>
                <w:b/>
                <w:bCs/>
                <w:color w:val="000000" w:themeColor="text1"/>
                <w:sz w:val="22"/>
                <w:szCs w:val="22"/>
              </w:rPr>
              <w:t xml:space="preserve">234.754.599</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3D06671F" w14:textId="5C757A04">
            <w:pPr>
              <w:pBdr/>
              <w:spacing/>
              <w:ind/>
              <w:jc w:val="center"/>
              <w:rPr>
                <w:b/>
                <w:bCs/>
                <w:color w:val="000000"/>
                <w:sz w:val="22"/>
                <w:szCs w:val="22"/>
              </w:rPr>
            </w:pPr>
            <w:r>
              <w:rPr>
                <w:b/>
                <w:bCs/>
                <w:color w:val="000000" w:themeColor="text1"/>
                <w:sz w:val="22"/>
                <w:szCs w:val="22"/>
              </w:rPr>
              <w:t xml:space="preserve">241.495.707</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14:paraId="4743B60C" w14:textId="77777777">
            <w:pPr>
              <w:pBdr/>
              <w:spacing/>
              <w:ind/>
              <w:jc w:val="both"/>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0"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8"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10"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10"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0"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251.805.997</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234.754.599</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241.495.707</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val="0"/>
                <w:bCs w:val="0"/>
                <w:color w:val="000000"/>
                <w:sz w:val="22"/>
                <w:szCs w:val="22"/>
              </w:rPr>
            </w:pPr>
            <w:r>
              <w:rPr>
                <w:b w:val="0"/>
                <w:bCs w:val="0"/>
                <w:color w:val="000000" w:themeColor="text1"/>
                <w:sz w:val="22"/>
                <w:szCs w:val="22"/>
              </w:rPr>
              <w:t xml:space="preserve"> </w:t>
            </w:r>
            <w:r>
              <w:rPr>
                <w:b w:val="0"/>
                <w:bCs w:val="0"/>
                <w:color w:val="000000"/>
                <w:sz w:val="22"/>
                <w:szCs w:val="22"/>
              </w:rPr>
              <w:t xml:space="preserve"> </w:t>
            </w:r>
            <w:r>
              <w:rPr>
                <w:b w:val="0"/>
                <w:bCs w:val="0"/>
                <w:color w:val="000000"/>
                <w:sz w:val="22"/>
                <w:szCs w:val="22"/>
              </w:rPr>
            </w:r>
            <w:r>
              <w:rPr>
                <w:b w:val="0"/>
                <w:bCs w:val="0"/>
                <w:color w:val="000000"/>
                <w:sz w:val="22"/>
                <w:szCs w:val="22"/>
              </w:rPr>
            </w:r>
          </w:p>
        </w:tc>
        <w:tc>
          <w:tcPr>
            <w:shd w:val="clear" w:color="000000" w:fill="ffffff"/>
            <w:tcBorders/>
            <w:tcW w:w="1720" w:type="dxa"/>
            <w:vAlign w:val="center"/>
            <w:textDirection w:val="lrTb"/>
            <w:noWrap w:val="false"/>
          </w:tcPr>
          <w:p w14:paraId="6C30BE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Tài sản nằm tại Số 15A đường Đặng Hữu Phổ, KP2, phường Thảo Điền, Quận 2, thành phố Hồ Chí Minh. Cách đường Võ Nguyên Giáp (Xa lộ Hà Nội) khoảng 350m.</w:t>
            </w:r>
            <w:r>
              <w:rPr>
                <w:b w:val="0"/>
                <w:bCs w:val="0"/>
              </w:rPr>
            </w:r>
            <w:r>
              <w:rPr>
                <w:b w:val="0"/>
                <w:bCs w:val="0"/>
              </w:rPr>
            </w:r>
          </w:p>
        </w:tc>
        <w:tc>
          <w:tcPr>
            <w:shd w:val="clear" w:color="000000" w:fill="ffffff"/>
            <w:tcBorders/>
            <w:tcW w:w="1728" w:type="dxa"/>
            <w:vAlign w:val="center"/>
            <w:textDirection w:val="lrTb"/>
            <w:noWrap w:val="false"/>
          </w:tcPr>
          <w:p w14:paraId="284B37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Tài sản nằm tại Số 12 đường số 49, KP2, phường Thảo Điền, Quận 2, thành phố Hồ Chí Minh. Cách đường Võ Nguyên Giáp (Xa lộ Hà Nội) khoảng 800m.</w:t>
            </w:r>
            <w:r>
              <w:rPr>
                <w:b w:val="0"/>
                <w:bCs w:val="0"/>
              </w:rPr>
            </w:r>
            <w:r>
              <w:rPr>
                <w:b w:val="0"/>
                <w:bCs w:val="0"/>
              </w:rPr>
            </w:r>
          </w:p>
        </w:tc>
        <w:tc>
          <w:tcPr>
            <w:shd w:val="clear" w:color="000000" w:fill="ffffff"/>
            <w:tcBorders/>
            <w:tcW w:w="1710" w:type="dxa"/>
            <w:vAlign w:val="center"/>
            <w:textDirection w:val="lrTb"/>
            <w:noWrap w:val="false"/>
          </w:tcPr>
          <w:p w14:paraId="6E1218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Tài sản nằm tại Số 67 đường số 47, phường Thảo Điền, Quận 2, thành phố Hồ Chí Minh. Cách đường Võ Nguyên Giáp (Xa lộ Hà Nội) khoảng 1,2km.</w:t>
            </w:r>
            <w:r>
              <w:rPr>
                <w:b w:val="0"/>
                <w:bCs w:val="0"/>
              </w:rPr>
            </w:r>
            <w:r>
              <w:rPr>
                <w:b w:val="0"/>
                <w:bCs w:val="0"/>
              </w:rPr>
            </w:r>
          </w:p>
        </w:tc>
        <w:tc>
          <w:tcPr>
            <w:shd w:val="clear" w:color="000000" w:fill="ffffff"/>
            <w:tcBorders/>
            <w:tcW w:w="1710" w:type="dxa"/>
            <w:vAlign w:val="center"/>
            <w:textDirection w:val="lrTb"/>
            <w:noWrap w:val="false"/>
          </w:tcPr>
          <w:p w14:paraId="6A6F08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Tài sản nằm tại Số 08 đường Đặng Hữu Phổ, KP2, phường Thảo Điền, Quận 2, thành phố Hồ Chí Minh. Cách đường Võ Nguyên Giáp (Xa lộ Hà Nội) khoảng 380m.</w:t>
            </w:r>
            <w:r>
              <w:rPr>
                <w:b w:val="0"/>
                <w:bCs w:val="0"/>
              </w:rPr>
            </w:r>
            <w:r>
              <w:rPr>
                <w:b w:val="0"/>
                <w:bCs w:val="0"/>
              </w:rPr>
            </w:r>
          </w:p>
        </w:tc>
      </w:tr>
      <w:tr>
        <w:trPr>
          <w:trHeight w:val="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11.737.730</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14.489.742</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251.805.997</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246.492.329</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255.985.449</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0"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251.805.997</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246.492.329</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255.985.449</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0"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251.805.997</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246.492.329</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255.985.449</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0"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486.68</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406</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444</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591.1</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-22.662.540</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-16.432.822</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19.319.657</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229.143.457</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230.059.507</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275.305.106</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0"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17.48</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14</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22</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20.6</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10.072.240</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-9.390.184</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-4.829.914</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239.215.697</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220.669.323</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270.475.192</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0"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239.215.697</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220.669.323</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270.475.192</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0"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239.215.697</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220.669.323</w:t>
            </w:r>
            <w:r>
              <w:rPr>
                <w:color w:val="000000"/>
                <w:sz w:val="22"/>
                <w:szCs w:val="22"/>
              </w:rPr>
            </w:r>
            <w:r>
              <w:rPr>
                <w:color w:val="000000"/>
                <w:sz w:val="22"/>
                <w:szCs w:val="22"/>
              </w:rPr>
            </w:r>
          </w:p>
        </w:tc>
        <w:tc>
          <w:tcPr>
            <w:shd w:val="clear" w:color="000000" w:fill="ffffff"/>
            <w:tcBorders/>
            <w:tcW w:w="1710"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270.475.192</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08" w:type="dxa"/>
            <w:vAlign w:val="center"/>
            <w:textDirection w:val="lrTb"/>
            <w:noWrap/>
          </w:tcPr>
          <w:p w14:paraId="31426ECB" w14:textId="77777777">
            <w:pPr>
              <w:pBdr/>
              <w:spacing/>
              <w:ind/>
              <w:jc w:val="both"/>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720"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239.215.697</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220.669.323</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270.475.192</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3434652C" w14:textId="77777777">
            <w:pPr>
              <w:pBdr/>
              <w:spacing/>
              <w:ind/>
              <w:jc w:val="both"/>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720"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5148"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243.453.404</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3976DE35" w14:textId="77777777">
            <w:pPr>
              <w:pBdr/>
              <w:spacing/>
              <w:ind/>
              <w:jc w:val="both"/>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0"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-1.74%</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-9.36%</w:t>
            </w:r>
            <w:r>
              <w:rPr>
                <w:color w:val="000000"/>
                <w:sz w:val="22"/>
                <w:szCs w:val="22"/>
              </w:rPr>
            </w:r>
            <w:r>
              <w:rPr>
                <w:color w:val="000000"/>
                <w:sz w:val="22"/>
                <w:szCs w:val="22"/>
              </w:rPr>
            </w:r>
          </w:p>
        </w:tc>
        <w:tc>
          <w:tcPr>
            <w:shd w:val="clear" w:color="000000" w:fill="ffffff"/>
            <w:tcBorders/>
            <w:tcW w:w="1710"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11.1%</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14:paraId="47EE2BF7" w14:textId="77777777">
            <w:pPr>
              <w:pBdr/>
              <w:spacing/>
              <w:ind/>
              <w:jc w:val="both"/>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0"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0049CF51" w14:textId="77777777">
            <w:pPr>
              <w:pBdr/>
              <w:spacing/>
              <w:ind/>
              <w:jc w:val="both"/>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720"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32.734.780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37.560.736</w:t>
            </w:r>
            <w:r>
              <w:rPr>
                <w:b/>
                <w:bCs/>
                <w:color w:val="000000"/>
                <w:sz w:val="22"/>
                <w:szCs w:val="22"/>
              </w:rPr>
            </w:r>
            <w:r>
              <w:rPr>
                <w:b/>
                <w:bCs/>
                <w:color w:val="000000"/>
                <w:sz w:val="22"/>
                <w:szCs w:val="22"/>
              </w:rPr>
            </w:r>
          </w:p>
        </w:tc>
        <w:tc>
          <w:tcPr>
            <w:shd w:val="clear" w:color="000000" w:fill="ffffff"/>
            <w:tcBorders/>
            <w:tcW w:w="1710"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38.639.313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069AD6DB" w14:textId="77777777">
            <w:pPr>
              <w:pBdr/>
              <w:spacing/>
              <w:ind/>
              <w:jc w:val="both"/>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7D51D8B7" w14:textId="55439F0B">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710"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710"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DF39A1B" w14:textId="77777777">
            <w:pPr>
              <w:pBdr/>
              <w:spacing/>
              <w:ind/>
              <w:jc w:val="both"/>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720"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55D277CF" w14:textId="486BA53F">
            <w:pPr>
              <w:pBdr/>
              <w:spacing/>
              <w:ind/>
              <w:jc w:val="center"/>
              <w:rPr>
                <w:sz w:val="22"/>
                <w:szCs w:val="22"/>
              </w:rPr>
            </w:pPr>
            <w:r>
              <w:rPr>
                <w:color w:val="000000" w:themeColor="text1"/>
                <w:sz w:val="22"/>
                <w:szCs w:val="22"/>
              </w:rPr>
              <w:t xml:space="preserve">4% - 9%%</w:t>
            </w:r>
            <w:r>
              <w:rPr>
                <w:sz w:val="22"/>
                <w:szCs w:val="22"/>
              </w:rPr>
            </w:r>
            <w:r>
              <w:rPr>
                <w:sz w:val="22"/>
                <w:szCs w:val="22"/>
              </w:rPr>
            </w:r>
          </w:p>
        </w:tc>
        <w:tc>
          <w:tcPr>
            <w:shd w:val="clear" w:color="000000" w:fill="ffffff"/>
            <w:tcBorders/>
            <w:tcW w:w="1710" w:type="dxa"/>
            <w:vAlign w:val="center"/>
            <w:textDirection w:val="lrTb"/>
            <w:noWrap/>
          </w:tcPr>
          <w:p w14:paraId="064B2056" w14:textId="3084EC66">
            <w:pPr>
              <w:pBdr/>
              <w:spacing/>
              <w:ind/>
              <w:jc w:val="center"/>
              <w:rPr>
                <w:sz w:val="22"/>
                <w:szCs w:val="22"/>
              </w:rPr>
            </w:pPr>
            <w:r>
              <w:rPr>
                <w:color w:val="000000" w:themeColor="text1"/>
                <w:sz w:val="22"/>
                <w:szCs w:val="22"/>
              </w:rPr>
              <w:t xml:space="preserve">4% - 7%%</w:t>
            </w:r>
            <w:r>
              <w:rPr>
                <w:sz w:val="22"/>
                <w:szCs w:val="22"/>
              </w:rPr>
            </w:r>
            <w:r>
              <w:rPr>
                <w:sz w:val="22"/>
                <w:szCs w:val="22"/>
              </w:rPr>
            </w:r>
          </w:p>
        </w:tc>
        <w:tc>
          <w:tcPr>
            <w:shd w:val="clear" w:color="000000" w:fill="ffffff"/>
            <w:tcBorders/>
            <w:tcW w:w="1710" w:type="dxa"/>
            <w:vAlign w:val="center"/>
            <w:textDirection w:val="lrTb"/>
            <w:noWrap/>
          </w:tcPr>
          <w:p w14:paraId="0B243872" w14:textId="708B432C">
            <w:pPr>
              <w:pBdr/>
              <w:spacing/>
              <w:ind/>
              <w:jc w:val="center"/>
              <w:rPr>
                <w:sz w:val="22"/>
                <w:szCs w:val="22"/>
              </w:rPr>
            </w:pPr>
            <w:r>
              <w:rPr>
                <w:color w:val="000000" w:themeColor="text1"/>
                <w:sz w:val="22"/>
                <w:szCs w:val="22"/>
              </w:rPr>
              <w:t xml:space="preserve">2% - 8%%</w:t>
            </w:r>
            <w:r>
              <w:rPr>
                <w:sz w:val="22"/>
                <w:szCs w:val="22"/>
              </w:rPr>
            </w:r>
            <w:r>
              <w:rPr>
                <w:sz w:val="22"/>
                <w:szCs w:val="22"/>
              </w:rPr>
            </w:r>
          </w:p>
        </w:tc>
      </w:tr>
      <w:tr>
        <w:trPr>
          <w:trHeight w:val="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E2541DB" w14:textId="77777777">
            <w:pPr>
              <w:pBdr/>
              <w:spacing/>
              <w:ind/>
              <w:jc w:val="both"/>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720"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4B4723C4" w14:textId="005806D1">
            <w:pPr>
              <w:pBdr/>
              <w:spacing/>
              <w:ind/>
              <w:jc w:val="center"/>
              <w:rPr>
                <w:sz w:val="22"/>
                <w:szCs w:val="22"/>
              </w:rPr>
            </w:pPr>
            <w:r>
              <w:rPr>
                <w:color w:val="000000" w:themeColor="text1"/>
                <w:sz w:val="22"/>
                <w:szCs w:val="22"/>
              </w:rPr>
              <w:t xml:space="preserve">12.590.300</w:t>
            </w:r>
            <w:r>
              <w:rPr>
                <w:sz w:val="22"/>
                <w:szCs w:val="22"/>
              </w:rPr>
            </w:r>
            <w:r>
              <w:rPr>
                <w:sz w:val="22"/>
                <w:szCs w:val="22"/>
              </w:rPr>
            </w:r>
          </w:p>
        </w:tc>
        <w:tc>
          <w:tcPr>
            <w:shd w:val="clear" w:color="000000" w:fill="ffffff"/>
            <w:tcBorders/>
            <w:tcW w:w="1710" w:type="dxa"/>
            <w:vAlign w:val="center"/>
            <w:textDirection w:val="lrTb"/>
            <w:noWrap/>
          </w:tcPr>
          <w:p w14:paraId="0333FBBC" w14:textId="3BDC0531">
            <w:pPr>
              <w:pBdr/>
              <w:spacing/>
              <w:ind/>
              <w:jc w:val="center"/>
              <w:rPr>
                <w:sz w:val="22"/>
                <w:szCs w:val="22"/>
              </w:rPr>
            </w:pPr>
            <w:r>
              <w:rPr>
                <w:color w:val="000000" w:themeColor="text1"/>
                <w:sz w:val="22"/>
                <w:szCs w:val="22"/>
              </w:rPr>
              <w:t xml:space="preserve">14.085.276</w:t>
            </w:r>
            <w:r>
              <w:rPr>
                <w:sz w:val="22"/>
                <w:szCs w:val="22"/>
              </w:rPr>
            </w:r>
            <w:r>
              <w:rPr>
                <w:sz w:val="22"/>
                <w:szCs w:val="22"/>
              </w:rPr>
            </w:r>
          </w:p>
        </w:tc>
        <w:tc>
          <w:tcPr>
            <w:shd w:val="clear" w:color="000000" w:fill="ffffff"/>
            <w:tcBorders/>
            <w:tcW w:w="1710" w:type="dxa"/>
            <w:vAlign w:val="center"/>
            <w:textDirection w:val="lrTb"/>
            <w:noWrap/>
          </w:tcPr>
          <w:p w14:paraId="7C4D137D" w14:textId="18831E29">
            <w:pPr>
              <w:pBdr/>
              <w:spacing/>
              <w:ind/>
              <w:jc w:val="center"/>
              <w:rPr>
                <w:sz w:val="22"/>
                <w:szCs w:val="22"/>
              </w:rPr>
            </w:pPr>
            <w:r>
              <w:rPr>
                <w:color w:val="000000" w:themeColor="text1"/>
                <w:sz w:val="22"/>
                <w:szCs w:val="22"/>
              </w:rPr>
              <w:t xml:space="preserve">28.979.485</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-9.36</w:t>
      </w:r>
      <w:r>
        <w:t xml:space="preserve">% đến</w:t>
      </w:r>
      <w:r>
        <w:t xml:space="preserve"> </w:t>
      </w:r>
      <w:r>
        <w:t xml:space="preserve"> </w:t>
      </w:r>
      <w:r>
        <w:t xml:space="preserve">11.1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Ind w:w="-162" w:type="dxa"/>
        <w:tblW w:w="5101" w:type="pct"/>
        <w:tblBorders/>
        <w:tblLayout w:type="fixed"/>
        <w:tblLook w:val="04A0" w:firstRow="1" w:lastRow="0" w:firstColumn="1" w:lastColumn="0" w:noHBand="0" w:noVBand="1"/>
      </w:tblPr>
      <w:tblGrid>
        <w:gridCol w:w="648"/>
        <w:gridCol w:w="1980"/>
        <w:gridCol w:w="1890"/>
        <w:gridCol w:w="2430"/>
        <w:gridCol w:w="3060"/>
      </w:tblGrid>
      <w:tr>
        <w:trPr>
          <w:trHeight w:val="0"/>
        </w:trPr>
        <w:tc>
          <w:tcPr>
            <w:tcBorders>
              <w:top w:val="single" w:color="auto" w:sz="4" w:space="0"/>
              <w:left w:val="single" w:color="auto" w:sz="4" w:space="0"/>
              <w:bottom w:val="single" w:color="auto" w:sz="4" w:space="0"/>
              <w:right w:val="single" w:color="auto" w:sz="4" w:space="0"/>
            </w:tcBorders>
            <w:tcW w:w="648" w:type="dxa"/>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980" w:type="dxa"/>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430" w:type="dxa"/>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060" w:type="dxa"/>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7D05D63B" w14:textId="179A9FFA">
            <w:pPr>
              <w:pBdr/>
              <w:spacing/>
              <w:ind/>
              <w:jc w:val="center"/>
              <w:rPr>
                <w:color w:val="000000"/>
              </w:rPr>
            </w:pPr>
            <w:r>
              <w:rPr>
                <w:color w:val="000000"/>
              </w:rPr>
              <w:t xml:space="preserve">239.215.697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14:paraId="63F887FF" w14:textId="27EBD611">
            <w:pPr>
              <w:pBdr/>
              <w:spacing/>
              <w:ind/>
              <w:jc w:val="center"/>
              <w:rPr>
                <w:color w:val="000000"/>
              </w:rPr>
            </w:pPr>
            <w:r>
              <w:rPr>
                <w:color w:val="000000"/>
              </w:rPr>
              <w:t xml:space="preserve">33.5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14:paraId="50863780" w14:textId="04487ACD">
            <w:pPr>
              <w:pBdr/>
              <w:spacing/>
              <w:ind/>
              <w:jc w:val="center"/>
              <w:rPr>
                <w:color w:val="000000"/>
              </w:rPr>
            </w:pPr>
            <w:r>
              <w:rPr>
                <w:color w:val="000000"/>
              </w:rPr>
              <w:t xml:space="preserve">80.137.258</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1E19774E" w14:textId="57ED2A71">
            <w:pPr>
              <w:pBdr/>
              <w:spacing/>
              <w:ind/>
              <w:jc w:val="center"/>
              <w:rPr>
                <w:color w:val="000000"/>
              </w:rPr>
            </w:pPr>
            <w:r>
              <w:rPr>
                <w:color w:val="000000"/>
              </w:rPr>
              <w:t xml:space="preserve">220.669.323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14:paraId="5202BBF5" w14:textId="09572FCF">
            <w:pPr>
              <w:pBdr/>
              <w:spacing/>
              <w:ind/>
              <w:jc w:val="center"/>
              <w:rPr>
                <w:color w:val="000000"/>
              </w:rPr>
            </w:pPr>
            <w:r>
              <w:rPr>
                <w:color w:val="000000"/>
              </w:rPr>
              <w:t xml:space="preserve">34.5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14:paraId="4DF190ED" w14:textId="4522A33E">
            <w:pPr>
              <w:pBdr/>
              <w:spacing/>
              <w:ind/>
              <w:jc w:val="center"/>
              <w:rPr>
                <w:color w:val="000000"/>
              </w:rPr>
            </w:pPr>
            <w:r>
              <w:rPr>
                <w:color w:val="000000"/>
              </w:rPr>
              <w:t xml:space="preserve">76.130.916</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7B2D662B" w14:textId="0CCF9404">
            <w:pPr>
              <w:pBdr/>
              <w:spacing/>
              <w:ind/>
              <w:jc w:val="center"/>
              <w:rPr>
                <w:color w:val="000000"/>
              </w:rPr>
            </w:pPr>
            <w:r>
              <w:rPr>
                <w:color w:val="000000"/>
              </w:rPr>
              <w:t xml:space="preserve">270.475.192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14:paraId="17B586B8" w14:textId="6FCC735B">
            <w:pPr>
              <w:pBdr/>
              <w:spacing/>
              <w:ind/>
              <w:jc w:val="center"/>
              <w:rPr>
                <w:color w:val="000000"/>
              </w:rPr>
            </w:pPr>
            <w:r>
              <w:rPr>
                <w:color w:val="000000"/>
              </w:rPr>
              <w:t xml:space="preserve">32</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14:paraId="29FE0781" w14:textId="2B090D2D">
            <w:pPr>
              <w:pBdr/>
              <w:spacing/>
              <w:ind/>
              <w:jc w:val="center"/>
              <w:rPr>
                <w:color w:val="000000"/>
              </w:rPr>
            </w:pPr>
            <w:r>
              <w:rPr>
                <w:color w:val="000000"/>
              </w:rPr>
              <w:t xml:space="preserve">86.552.061</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948" w:type="dxa"/>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14:paraId="12E9451D" w14:textId="2DD49DDF">
            <w:pPr>
              <w:pBdr/>
              <w:spacing/>
              <w:ind/>
              <w:jc w:val="center"/>
              <w:rPr>
                <w:b/>
                <w:bCs/>
                <w:color w:val="000000"/>
              </w:rPr>
            </w:pPr>
            <w:r>
              <w:rPr>
                <w:b/>
                <w:bCs/>
                <w:color w:val="000000" w:themeColor="text1"/>
                <w:lang w:val="vi-VN"/>
              </w:rPr>
              <w:t xml:space="preserve">242.820.235</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948" w:type="dxa"/>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14:paraId="777CABCB" w14:textId="3D66B12D">
            <w:pPr>
              <w:pBdr/>
              <w:spacing/>
              <w:ind/>
              <w:jc w:val="center"/>
              <w:rPr>
                <w:b/>
                <w:bCs/>
                <w:color w:val="000000"/>
              </w:rPr>
            </w:pPr>
            <w:r>
              <w:rPr>
                <w:b/>
                <w:bCs/>
                <w:color w:val="000000" w:themeColor="text1"/>
                <w:lang w:val="vi-VN"/>
              </w:rPr>
              <w:t xml:space="preserve">242.800.000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242.800.000</w:t>
      </w:r>
      <w:r>
        <w:rPr>
          <w:b/>
          <w:bCs/>
          <w:color w:val="000000" w:themeColor="text1"/>
        </w:rPr>
        <w:t xml:space="preserve"> </w:t>
      </w:r>
      <w:r>
        <w:rPr>
          <w:b/>
          <w:bCs/>
        </w:rPr>
        <w:t xml:space="preserve">đồng/m².</w:t>
      </w:r>
      <w:r>
        <w:rPr>
          <w:b/>
          <w:bCs/>
        </w:rPr>
      </w:r>
      <w:r>
        <w:rPr>
          <w:b/>
          <w:bCs/>
        </w:rPr>
      </w:r>
    </w:p>
    <w:p w14:paraId="7CA7D420" w14:textId="77777777">
      <w:pPr>
        <w:pStyle w:val="1035"/>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5201A6B1">
      <w:pPr>
        <w:numPr>
          <w:ilvl w:val="0"/>
          <w:numId w:val="41"/>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b/>
          <w:color w:val="000000"/>
          <w:sz w:val="24"/>
        </w:rPr>
        <w:t xml:space="preserve">Xác định đơn giá xây mới của công trình xây dựng:</w:t>
      </w:r>
      <w:r/>
    </w:p>
    <w:p w14:paraId="4854620F">
      <w:pPr>
        <w:pBdr>
          <w:top w:val="none" w:color="000000" w:sz="4" w:space="0"/>
          <w:left w:val="none" w:color="000000" w:sz="4" w:space="0"/>
          <w:bottom w:val="none" w:color="000000" w:sz="4" w:space="0"/>
          <w:right w:val="none" w:color="000000" w:sz="4" w:space="0"/>
        </w:pBdr>
        <w:spacing w:after="120" w:before="120" w:line="288"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kiểu biệt thự từ 2 đến 3 tầng, kết cấu khung chịu lực BTCT; tường bao xây gạch; sàn, mái BTCT đổ tại chỗ không có tầng hầm, cân nhắc và xem xét với kết cấu của công trình xây dựng hiện</w:t>
      </w:r>
      <w:r>
        <w:rPr>
          <w:rFonts w:ascii="Times New Roman" w:hAnsi="Times New Roman" w:eastAsia="Times New Roman" w:cs="Times New Roman"/>
          <w:color w:val="000000"/>
          <w:sz w:val="24"/>
        </w:rPr>
        <w:t xml:space="preserve"> có, tổ thẩm định nhận thấy đơn giá vận dụng theo Quyết định số 409/QĐ-BXD ngày 11 tháng 04 năm 2025 của Bộ Xây dựng về việc công bố suất vốn đầu tư xây dựng và giá xây dựng tổng hợp bộ phận kết cấu công trình năm 2024 là khá phù hợp với thị trường, theo đ</w:t>
      </w:r>
      <w:r>
        <w:rPr>
          <w:rFonts w:ascii="Times New Roman" w:hAnsi="Times New Roman" w:eastAsia="Times New Roman" w:cs="Times New Roman"/>
          <w:color w:val="000000"/>
          <w:sz w:val="24"/>
        </w:rPr>
        <w:t xml:space="preserve">ó:</w:t>
      </w:r>
      <w:r>
        <w:rPr>
          <w:rFonts w:ascii="Times New Roman" w:hAnsi="Times New Roman" w:eastAsia="Times New Roman" w:cs="Times New Roman"/>
          <w:color w:val="000000"/>
          <w:spacing w:val="3"/>
          <w:sz w:val="24"/>
          <w:highlight w:val="white"/>
        </w:rPr>
        <w:t xml:space="preserve"> </w:t>
      </w:r>
      <w:r/>
    </w:p>
    <w:p w14:paraId="5397480C">
      <w:pPr>
        <w:numPr>
          <w:ilvl w:val="0"/>
          <w:numId w:val="42"/>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i/>
          <w:color w:val="000000"/>
          <w:spacing w:val="-4"/>
          <w:sz w:val="24"/>
        </w:rPr>
        <w:t xml:space="preserve">Suất vốn đầu tư của công trình Nhà kiểu biệt thự là 10.334.000 đồng/m², có kết cấu tương tự tài sản thẩm định.</w:t>
      </w:r>
      <w:r/>
    </w:p>
    <w:p w14:paraId="705DE49B">
      <w:pPr>
        <w:numPr>
          <w:ilvl w:val="0"/>
          <w:numId w:val="42"/>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i/>
          <w:color w:val="000000"/>
          <w:sz w:val="24"/>
        </w:rPr>
        <w:t xml:space="preserve">Hệ số điều chỉnh vùng cho suất vốn đầu tư Vùng 8 – Thành phố Hồ Chí Minh là: 1,064.</w:t>
      </w:r>
      <w:r/>
    </w:p>
    <w:p w14:paraId="695D09EE">
      <w:pPr>
        <w:pBdr>
          <w:top w:val="none" w:color="000000" w:sz="4" w:space="0"/>
          <w:left w:val="none" w:color="000000" w:sz="4" w:space="0"/>
          <w:bottom w:val="none" w:color="000000" w:sz="4" w:space="0"/>
          <w:right w:val="none" w:color="000000" w:sz="4" w:space="0"/>
        </w:pBdr>
        <w:spacing w:after="120" w:before="120" w:line="288" w:lineRule="auto"/>
        <w:ind w:right="0" w:firstLine="284" w:left="0"/>
        <w:jc w:val="both"/>
        <w:rPr/>
      </w:pPr>
      <w:r>
        <w:rPr>
          <w:rFonts w:ascii="Times New Roman" w:hAnsi="Times New Roman" w:eastAsia="Times New Roman" w:cs="Times New Roman"/>
          <w:color w:val="000000"/>
          <w:spacing w:val="3"/>
          <w:sz w:val="24"/>
          <w:highlight w:val="white"/>
        </w:rPr>
        <w:t xml:space="preserve">Do đó, Tổ thẩm định xác định đơn giá xây mới của công trình là:</w:t>
      </w:r>
      <w:r/>
    </w:p>
    <w:p w14:paraId="162B231E">
      <w:pPr>
        <w:pBdr>
          <w:top w:val="none" w:color="000000" w:sz="4" w:space="0"/>
          <w:left w:val="none" w:color="000000" w:sz="4" w:space="0"/>
          <w:bottom w:val="none" w:color="000000" w:sz="4" w:space="0"/>
          <w:right w:val="none" w:color="000000" w:sz="4" w:space="0"/>
        </w:pBdr>
        <w:spacing w:after="120" w:before="120" w:line="288" w:lineRule="auto"/>
        <w:ind w:right="0" w:firstLine="284" w:left="0"/>
        <w:jc w:val="both"/>
        <w:rPr/>
      </w:pPr>
      <w:r>
        <w:rPr>
          <w:rFonts w:ascii="Times New Roman" w:hAnsi="Times New Roman" w:eastAsia="Times New Roman" w:cs="Times New Roman"/>
          <w:b/>
          <w:color w:val="000000"/>
          <w:sz w:val="24"/>
        </w:rPr>
        <w:t xml:space="preserve"> (10.334.000 đồng/m² x 1,064)/1,1</w:t>
      </w:r>
      <w:r>
        <w:rPr>
          <w:rFonts w:ascii="Times New Roman" w:hAnsi="Times New Roman" w:eastAsia="Times New Roman" w:cs="Times New Roman"/>
          <w:b/>
          <w:color w:val="000000"/>
          <w:spacing w:val="3"/>
          <w:sz w:val="24"/>
          <w:highlight w:val="white"/>
        </w:rPr>
        <w:t xml:space="preserve"> =</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b/>
          <w:color w:val="000000"/>
          <w:sz w:val="24"/>
        </w:rPr>
        <w:t xml:space="preserve">9.995.796 </w:t>
      </w:r>
      <w:r>
        <w:rPr>
          <w:rFonts w:ascii="Times New Roman" w:hAnsi="Times New Roman" w:eastAsia="Times New Roman" w:cs="Times New Roman"/>
          <w:b/>
          <w:color w:val="000000"/>
          <w:spacing w:val="3"/>
          <w:sz w:val="24"/>
          <w:highlight w:val="white"/>
        </w:rPr>
        <w:t xml:space="preserve">đồng/m²</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b/>
          <w:i/>
          <w:color w:val="000000"/>
          <w:spacing w:val="3"/>
          <w:sz w:val="24"/>
          <w:highlight w:val="white"/>
        </w:rPr>
        <w:t xml:space="preserve">(đơn giá không bao gồm VAT).</w:t>
      </w:r>
      <w:r/>
    </w:p>
    <w:p w14:paraId="0DB59AE5">
      <w:pPr>
        <w:numPr>
          <w:ilvl w:val="0"/>
          <w:numId w:val="43"/>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b/>
          <w:color w:val="000000"/>
          <w:sz w:val="24"/>
        </w:rPr>
        <w:t xml:space="preserve">Xác định tỷ lệ hao mòn của công trình:</w:t>
      </w:r>
      <w:r/>
    </w:p>
    <w:p w14:paraId="3D4DC196">
      <w:pPr>
        <w:pBdr>
          <w:top w:val="none" w:color="000000" w:sz="4" w:space="0"/>
          <w:left w:val="none" w:color="000000" w:sz="4" w:space="0"/>
          <w:bottom w:val="none" w:color="000000" w:sz="4" w:space="0"/>
          <w:right w:val="none" w:color="000000" w:sz="4" w:space="0"/>
        </w:pBdr>
        <w:spacing w:after="120" w:before="120" w:line="288" w:lineRule="auto"/>
        <w:ind w:right="0" w:firstLine="0" w:left="-76"/>
        <w:jc w:val="both"/>
        <w:rPr/>
      </w:pPr>
      <w:r>
        <w:rPr>
          <w:rFonts w:ascii="Times New Roman" w:hAnsi="Times New Roman" w:eastAsia="Times New Roman" w:cs="Times New Roman"/>
          <w:color w:val="000000"/>
          <w:sz w:val="24"/>
        </w:rPr>
        <w:t xml:space="preserve">Trong quá trình khảo sát và thực hiện thẩm định giá, chúng tôi không được cung cấp thời điểm hoàn thành công trình xây dựng. Do không có đủ cơ sở để xác định tỷ lệ hao mòn công trình theo tuổi đời, tổ thẩm định vận dụng phương pháp chuyên gia để xác định t</w:t>
      </w:r>
      <w:r>
        <w:rPr>
          <w:rFonts w:ascii="Times New Roman" w:hAnsi="Times New Roman" w:eastAsia="Times New Roman" w:cs="Times New Roman"/>
          <w:color w:val="000000"/>
          <w:sz w:val="24"/>
        </w:rPr>
        <w:t xml:space="preserve">ỷ lệ hao mòn công trình như sau:</w:t>
      </w:r>
      <w:r/>
    </w:p>
    <w:p w14:paraId="31DF4DEE">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Văn bản số 1326/BXD-QLN do Bộ Xây dựng ban hành ngày 08/8/2011 về việc hướng dẫn kiểm kê, đánh giá lại giá trị tài sản cố định là nhà, vật kiến trúc như sau: Tỷ lệ chất lượng còn lại của nhà, vật kiến trúc được xác định căn cứ vào tỷ lệ chất lượng còn</w:t>
      </w:r>
      <w:r>
        <w:rPr>
          <w:rFonts w:ascii="Times New Roman" w:hAnsi="Times New Roman" w:eastAsia="Times New Roman" w:cs="Times New Roman"/>
          <w:color w:val="000000"/>
          <w:sz w:val="24"/>
        </w:rPr>
        <w:t xml:space="preserve"> lại của các kết cấu chính (nếu là nhà thì kết cấu chính gồm: móng, khung, cột, tường, nền, sàn, kết cấu đỡ mái và mái) tạo nên nhà đó và tỷ lệ giá trị của các kết cấu chính đó so với tổng giá trị của nhà hoặc vật kiến trúc.</w:t>
      </w:r>
      <w:r/>
    </w:p>
    <w:p w14:paraId="577BA3B7">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Công thức tính như sau:</w:t>
      </w:r>
      <w:r/>
    </w:p>
    <w:tbl>
      <w:tblPr>
        <w:tblStyle w:val="1039"/>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05"/>
        <w:gridCol w:w="476"/>
        <w:gridCol w:w="657"/>
        <w:gridCol w:w="2581"/>
        <w:gridCol w:w="525"/>
        <w:gridCol w:w="3110"/>
      </w:tblGrid>
      <w:tr>
        <w:trPr>
          <w:trHeight w:val="968"/>
        </w:trPr>
        <w:tc>
          <w:tcPr>
            <w:tcBorders/>
            <w:tcMar>
              <w:left w:w="108" w:type="dxa"/>
              <w:top w:w="0" w:type="dxa"/>
              <w:right w:w="108" w:type="dxa"/>
              <w:bottom w:w="0" w:type="dxa"/>
            </w:tcMar>
            <w:tcW w:w="2005" w:type="dxa"/>
            <w:vAlign w:val="center"/>
            <w:vMerge w:val="restart"/>
            <w:textDirection w:val="lrTb"/>
            <w:noWrap w:val="false"/>
          </w:tcPr>
          <w:p w14:paraId="0E46AFFD">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476" w:type="dxa"/>
            <w:vAlign w:val="center"/>
            <w:vMerge w:val="restart"/>
            <w:textDirection w:val="lrTb"/>
            <w:noWrap w:val="false"/>
          </w:tcPr>
          <w:p w14:paraId="46F24B48">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657" w:type="dxa"/>
            <w:vAlign w:val="center"/>
            <w:textDirection w:val="lrTb"/>
            <w:noWrap w:val="false"/>
          </w:tcPr>
          <w:p w14:paraId="733F9E0A">
            <w:pPr>
              <w:pBdr/>
              <w:spacing w:after="0" w:before="0" w:line="240" w:lineRule="auto"/>
              <w:ind/>
              <w:rPr/>
            </w:pPr>
            <w:r/>
            <w:r/>
          </w:p>
        </w:tc>
        <w:tc>
          <w:tcPr>
            <w:tcBorders>
              <w:bottom w:val="single" w:color="000000" w:sz="8" w:space="0"/>
            </w:tcBorders>
            <w:tcMar>
              <w:left w:w="108" w:type="dxa"/>
              <w:top w:w="0" w:type="dxa"/>
              <w:right w:w="108" w:type="dxa"/>
              <w:bottom w:w="0" w:type="dxa"/>
            </w:tcMar>
            <w:tcW w:w="2581" w:type="dxa"/>
            <w:vAlign w:val="center"/>
            <w:textDirection w:val="lrTb"/>
            <w:noWrap w:val="false"/>
          </w:tcPr>
          <w:p w14:paraId="4899BE7F">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525" w:type="dxa"/>
            <w:vAlign w:val="center"/>
            <w:textDirection w:val="lrTb"/>
            <w:noWrap w:val="false"/>
          </w:tcPr>
          <w:p w14:paraId="343BBDAD">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3110" w:type="dxa"/>
            <w:vAlign w:val="center"/>
            <w:textDirection w:val="lrTb"/>
            <w:noWrap w:val="false"/>
          </w:tcPr>
          <w:p w14:paraId="0CCC8CBF">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c>
          <w:tcPr>
            <w:tcBorders/>
            <w:vMerge w:val="continue"/>
            <w:textDirection w:val="lrTb"/>
            <w:noWrap w:val="false"/>
          </w:tcPr>
          <w:p w14:paraId="6A073703">
            <w:pPr>
              <w:pBdr/>
              <w:spacing/>
              <w:ind/>
              <w:rPr/>
            </w:pPr>
            <w:r/>
            <w:r/>
          </w:p>
        </w:tc>
        <w:tc>
          <w:tcPr>
            <w:tcBorders/>
            <w:vMerge w:val="continue"/>
            <w:textDirection w:val="lrTb"/>
            <w:noWrap w:val="false"/>
          </w:tcPr>
          <w:p w14:paraId="6762C003">
            <w:pPr>
              <w:pBdr/>
              <w:spacing/>
              <w:ind/>
              <w:rPr/>
            </w:pPr>
            <w:r/>
            <w:r/>
          </w:p>
        </w:tc>
        <w:tc>
          <w:tcPr>
            <w:gridSpan w:val="4"/>
            <w:tcBorders/>
            <w:tcMar>
              <w:left w:w="108" w:type="dxa"/>
              <w:top w:w="0" w:type="dxa"/>
              <w:right w:w="108" w:type="dxa"/>
              <w:bottom w:w="0" w:type="dxa"/>
            </w:tcMar>
            <w:tcW w:w="6873" w:type="dxa"/>
            <w:vAlign w:val="center"/>
            <w:textDirection w:val="lrTb"/>
            <w:noWrap w:val="false"/>
          </w:tcPr>
          <w:p w14:paraId="22FCC6A0">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14:paraId="1FEF7A51">
      <w:pPr>
        <w:numPr>
          <w:ilvl w:val="0"/>
          <w:numId w:val="43"/>
        </w:numPr>
        <w:pBdr>
          <w:top w:val="none" w:color="000000" w:sz="4" w:space="0"/>
          <w:left w:val="none" w:color="000000" w:sz="4" w:space="0"/>
          <w:bottom w:val="none" w:color="000000" w:sz="4" w:space="0"/>
          <w:right w:val="none" w:color="000000" w:sz="4" w:space="0"/>
        </w:pBdr>
        <w:spacing w:after="120"/>
        <w:ind/>
        <w:rPr/>
      </w:pPr>
      <w:r>
        <w:rPr>
          <w:rFonts w:ascii="Times New Roman" w:hAnsi="Times New Roman" w:eastAsia="Times New Roman" w:cs="Times New Roman"/>
          <w:i/>
          <w:color w:val="000000"/>
          <w:sz w:val="24"/>
        </w:rPr>
        <w:t xml:space="preserve">Trong đó:</w:t>
      </w:r>
      <w:r/>
    </w:p>
    <w:p w14:paraId="0DAFCA61">
      <w:pPr>
        <w:numPr>
          <w:ilvl w:val="0"/>
          <w:numId w:val="43"/>
        </w:numPr>
        <w:pBdr>
          <w:top w:val="none" w:color="000000" w:sz="4" w:space="0"/>
          <w:left w:val="none" w:color="000000" w:sz="4" w:space="0"/>
          <w:bottom w:val="none" w:color="000000" w:sz="4" w:space="0"/>
          <w:right w:val="none" w:color="000000" w:sz="4" w:space="0"/>
        </w:pBdr>
        <w:spacing w:after="120"/>
        <w:ind/>
        <w:rPr/>
      </w:pPr>
      <w:r>
        <w:rPr>
          <w:rFonts w:ascii="Times New Roman" w:hAnsi="Times New Roman" w:eastAsia="Times New Roman" w:cs="Times New Roman"/>
          <w:color w:val="000000"/>
          <w:sz w:val="24"/>
        </w:rPr>
        <w:t xml:space="preserve">i: số thứ tự của kết cấu chính</w:t>
      </w:r>
      <w:r/>
    </w:p>
    <w:p w14:paraId="60C9FBE5">
      <w:pPr>
        <w:numPr>
          <w:ilvl w:val="0"/>
          <w:numId w:val="43"/>
        </w:numPr>
        <w:pBdr>
          <w:top w:val="none" w:color="000000" w:sz="4" w:space="0"/>
          <w:left w:val="none" w:color="000000" w:sz="4" w:space="0"/>
          <w:bottom w:val="none" w:color="000000" w:sz="4" w:space="0"/>
          <w:right w:val="none" w:color="000000" w:sz="4" w:space="0"/>
        </w:pBdr>
        <w:spacing w:after="120"/>
        <w:ind/>
        <w:rPr/>
      </w:pPr>
      <w:r>
        <w:rPr>
          <w:rFonts w:ascii="Times New Roman" w:hAnsi="Times New Roman" w:eastAsia="Times New Roman" w:cs="Times New Roman"/>
          <w:color w:val="000000"/>
          <w:sz w:val="24"/>
        </w:rPr>
        <w:t xml:space="preserve">n: số các kết cấu chính.</w:t>
      </w:r>
      <w:r/>
    </w:p>
    <w:tbl>
      <w:tblPr>
        <w:tblStyle w:val="1039"/>
        <w:tblInd w:w="0" w:type="dxa"/>
        <w:tblW w:w="5064"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8"/>
        <w:gridCol w:w="1908"/>
        <w:gridCol w:w="2160"/>
        <w:gridCol w:w="2250"/>
        <w:gridCol w:w="2970"/>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8" w:type="dxa"/>
            <w:vAlign w:val="center"/>
            <w:textDirection w:val="lrTb"/>
            <w:noWrap w:val="false"/>
          </w:tcPr>
          <w:p w14:paraId="5742AB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8" w:type="dxa"/>
            <w:vAlign w:val="center"/>
            <w:textDirection w:val="lrTb"/>
            <w:noWrap w:val="false"/>
          </w:tcPr>
          <w:p w14:paraId="0B8D6B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14:paraId="59AE2A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14:paraId="3538A1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hao mòn các kết cấu chính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70" w:type="dxa"/>
            <w:vAlign w:val="center"/>
            <w:textDirection w:val="lrTb"/>
            <w:noWrap w:val="false"/>
          </w:tcPr>
          <w:p w14:paraId="6DEBED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hao mòn các kết cấu chính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8" w:type="dxa"/>
            <w:vAlign w:val="center"/>
            <w:textDirection w:val="lrTb"/>
            <w:noWrap w:val="false"/>
          </w:tcPr>
          <w:p w14:paraId="20E2BC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8" w:type="dxa"/>
            <w:vAlign w:val="center"/>
            <w:textDirection w:val="lrTb"/>
            <w:noWrap w:val="false"/>
          </w:tcPr>
          <w:p w14:paraId="23F266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14:paraId="5D268A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14:paraId="2C60F8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70" w:type="dxa"/>
            <w:vAlign w:val="center"/>
            <w:textDirection w:val="lrTb"/>
            <w:noWrap w:val="false"/>
          </w:tcPr>
          <w:p w14:paraId="595D1A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8" w:type="dxa"/>
            <w:vAlign w:val="center"/>
            <w:textDirection w:val="lrTb"/>
            <w:noWrap/>
          </w:tcPr>
          <w:p w14:paraId="79A64C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8" w:type="dxa"/>
            <w:vAlign w:val="center"/>
            <w:textDirection w:val="lrTb"/>
            <w:noWrap/>
          </w:tcPr>
          <w:p w14:paraId="1309E7A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tcPr>
          <w:p w14:paraId="0E3D33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14:paraId="162348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70" w:type="dxa"/>
            <w:vAlign w:val="center"/>
            <w:textDirection w:val="lrTb"/>
            <w:noWrap w:val="false"/>
          </w:tcPr>
          <w:p w14:paraId="229177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8" w:type="dxa"/>
            <w:vAlign w:val="center"/>
            <w:textDirection w:val="lrTb"/>
            <w:noWrap/>
          </w:tcPr>
          <w:p w14:paraId="723E2A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8" w:type="dxa"/>
            <w:vAlign w:val="center"/>
            <w:textDirection w:val="lrTb"/>
            <w:noWrap/>
          </w:tcPr>
          <w:p w14:paraId="2141941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tcPr>
          <w:p w14:paraId="423E0D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14:paraId="22F77E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70" w:type="dxa"/>
            <w:vAlign w:val="center"/>
            <w:textDirection w:val="lrTb"/>
            <w:noWrap w:val="false"/>
          </w:tcPr>
          <w:p w14:paraId="5D733A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8" w:type="dxa"/>
            <w:vAlign w:val="center"/>
            <w:textDirection w:val="lrTb"/>
            <w:noWrap/>
          </w:tcPr>
          <w:p w14:paraId="214732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8" w:type="dxa"/>
            <w:vAlign w:val="center"/>
            <w:textDirection w:val="lrTb"/>
            <w:noWrap/>
          </w:tcPr>
          <w:p w14:paraId="3E8CE56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tcPr>
          <w:p w14:paraId="5C14BC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14:paraId="18276A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70" w:type="dxa"/>
            <w:vAlign w:val="center"/>
            <w:textDirection w:val="lrTb"/>
            <w:noWrap w:val="false"/>
          </w:tcPr>
          <w:p w14:paraId="66BE02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8" w:type="dxa"/>
            <w:vAlign w:val="center"/>
            <w:textDirection w:val="lrTb"/>
            <w:noWrap/>
          </w:tcPr>
          <w:p w14:paraId="60C99F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8" w:type="dxa"/>
            <w:vAlign w:val="center"/>
            <w:textDirection w:val="lrTb"/>
            <w:noWrap/>
          </w:tcPr>
          <w:p w14:paraId="5BEDD2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tcPr>
          <w:p w14:paraId="39D96F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14:paraId="09EBF5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70" w:type="dxa"/>
            <w:vAlign w:val="center"/>
            <w:textDirection w:val="lrTb"/>
            <w:noWrap w:val="false"/>
          </w:tcPr>
          <w:p w14:paraId="73403C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8" w:type="dxa"/>
            <w:vAlign w:val="center"/>
            <w:textDirection w:val="lrTb"/>
            <w:noWrap/>
          </w:tcPr>
          <w:p w14:paraId="7F4062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8" w:type="dxa"/>
            <w:vAlign w:val="center"/>
            <w:textDirection w:val="lrTb"/>
            <w:noWrap/>
          </w:tcPr>
          <w:p w14:paraId="647A14A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tcPr>
          <w:p w14:paraId="1B6D04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14:paraId="2AF3B4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70" w:type="dxa"/>
            <w:vAlign w:val="center"/>
            <w:textDirection w:val="lrTb"/>
            <w:noWrap w:val="false"/>
          </w:tcPr>
          <w:p w14:paraId="3C0758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8" w:type="dxa"/>
            <w:vAlign w:val="center"/>
            <w:textDirection w:val="lrTb"/>
            <w:noWrap/>
          </w:tcPr>
          <w:p w14:paraId="72A973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8" w:type="dxa"/>
            <w:vAlign w:val="center"/>
            <w:textDirection w:val="lrTb"/>
            <w:noWrap/>
          </w:tcPr>
          <w:p w14:paraId="3B8DBE4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tcPr>
          <w:p w14:paraId="6DBCC9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14:paraId="665C31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70" w:type="dxa"/>
            <w:vAlign w:val="center"/>
            <w:textDirection w:val="lrTb"/>
            <w:noWrap w:val="false"/>
          </w:tcPr>
          <w:p w14:paraId="52A32E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8" w:type="dxa"/>
            <w:vAlign w:val="center"/>
            <w:textDirection w:val="lrTb"/>
            <w:noWrap w:val="false"/>
          </w:tcPr>
          <w:p w14:paraId="75C5B4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8" w:type="dxa"/>
            <w:vAlign w:val="center"/>
            <w:textDirection w:val="lrTb"/>
            <w:noWrap w:val="false"/>
          </w:tcPr>
          <w:p w14:paraId="5F281A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 (g)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14:paraId="12EA0D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56%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0" w:type="dxa"/>
            <w:vAlign w:val="center"/>
            <w:textDirection w:val="lrTb"/>
            <w:noWrap w:val="false"/>
          </w:tcPr>
          <w:p w14:paraId="5BFD9C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70" w:type="dxa"/>
            <w:vAlign w:val="center"/>
            <w:textDirection w:val="lrTb"/>
            <w:noWrap w:val="false"/>
          </w:tcPr>
          <w:p w14:paraId="28B63C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15%</w:t>
            </w:r>
            <w:r/>
          </w:p>
        </w:tc>
      </w:tr>
    </w:tbl>
    <w:p w14:paraId="5301209F">
      <w:pPr>
        <w:pBdr>
          <w:top w:val="none" w:color="000000" w:sz="4" w:space="0"/>
          <w:left w:val="none" w:color="000000" w:sz="4" w:space="0"/>
          <w:bottom w:val="none" w:color="000000" w:sz="4" w:space="0"/>
          <w:right w:val="none" w:color="000000" w:sz="4" w:space="0"/>
        </w:pBdr>
        <w:tabs>
          <w:tab w:val="left" w:leader="none" w:pos="993"/>
        </w:tabs>
        <w:spacing w:after="120" w:before="120" w:line="340" w:lineRule="atLeast"/>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color w:val="000000"/>
          <w:sz w:val="24"/>
        </w:rPr>
        <w:t xml:space="preserve">15</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85%</w:t>
      </w:r>
      <w:r/>
    </w:p>
    <w:p w14:paraId="107D7FD7">
      <w:pPr>
        <w:numPr>
          <w:ilvl w:val="0"/>
          <w:numId w:val="43"/>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b/>
          <w:color w:val="000000"/>
          <w:sz w:val="24"/>
        </w:rPr>
        <w:t xml:space="preserve">Xác định giá trị công trình xây dựng: </w:t>
      </w:r>
      <w:r>
        <w:rPr>
          <w:rFonts w:ascii="Times New Roman" w:hAnsi="Times New Roman" w:eastAsia="Times New Roman" w:cs="Times New Roman"/>
          <w:color w:val="000000"/>
          <w:sz w:val="24"/>
        </w:rPr>
        <w:t xml:space="preserve">Theo phương pháp chi phí thay thế đã được đề cập ở trên, giá trị tài sản được tính theo công thức:</w:t>
      </w:r>
      <w:r/>
    </w:p>
    <w:p w14:paraId="48E53717">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i/>
          <w:color w:val="000000"/>
          <w:sz w:val="24"/>
        </w:rPr>
        <w:t xml:space="preserve">Chi phí thay thế = Diện tích sàn x Đơn giá xây dựng x Hệ số vùng </w:t>
      </w:r>
      <w:r/>
    </w:p>
    <w:p w14:paraId="55227A1B">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i/>
          <w:color w:val="000000"/>
          <w:sz w:val="24"/>
        </w:rPr>
        <w:t xml:space="preserve">Giá trị hao mòn = Chi phí thay thế x Tỷ lệ hao mòn</w:t>
      </w:r>
      <w:r/>
    </w:p>
    <w:tbl>
      <w:tblPr>
        <w:tblStyle w:val="1039"/>
        <w:tblInd w:w="-162"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757"/>
        <w:gridCol w:w="1084"/>
        <w:gridCol w:w="2307"/>
        <w:gridCol w:w="1626"/>
        <w:gridCol w:w="1631"/>
        <w:gridCol w:w="1630"/>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57" w:type="dxa"/>
            <w:vAlign w:val="center"/>
            <w:textDirection w:val="lrTb"/>
            <w:noWrap w:val="false"/>
          </w:tcPr>
          <w:p w14:paraId="31A23788">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Tên công trình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84" w:type="dxa"/>
            <w:vAlign w:val="center"/>
            <w:textDirection w:val="lrTb"/>
            <w:noWrap w:val="false"/>
          </w:tcPr>
          <w:p w14:paraId="1DB77F06">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Diện tích sàn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7" w:type="dxa"/>
            <w:vAlign w:val="center"/>
            <w:textDirection w:val="lrTb"/>
            <w:noWrap w:val="false"/>
          </w:tcPr>
          <w:p w14:paraId="088D63D1">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 Đơn giá XD mới x hệ số vùng cho suất vốn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6" w:type="dxa"/>
            <w:vAlign w:val="center"/>
            <w:textDirection w:val="lrTb"/>
            <w:noWrap w:val="false"/>
          </w:tcPr>
          <w:p w14:paraId="64F8FE5E">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Giá trị công trình xây mới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1" w:type="dxa"/>
            <w:vAlign w:val="center"/>
            <w:textDirection w:val="lrTb"/>
            <w:noWrap w:val="false"/>
          </w:tcPr>
          <w:p w14:paraId="4CE7D4E4">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Giá trị hao mòn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7A2FE7F9">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Giá trị thẩm định (Đồng)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57" w:type="dxa"/>
            <w:vAlign w:val="center"/>
            <w:textDirection w:val="lrTb"/>
            <w:noWrap w:val="false"/>
          </w:tcPr>
          <w:p w14:paraId="2EE26583">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84" w:type="dxa"/>
            <w:vAlign w:val="center"/>
            <w:textDirection w:val="lrTb"/>
            <w:noWrap w:val="false"/>
          </w:tcPr>
          <w:p w14:paraId="7E667F35">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7" w:type="dxa"/>
            <w:vAlign w:val="center"/>
            <w:textDirection w:val="lrTb"/>
            <w:noWrap w:val="false"/>
          </w:tcPr>
          <w:p w14:paraId="4696CC70">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6" w:type="dxa"/>
            <w:vAlign w:val="center"/>
            <w:textDirection w:val="lrTb"/>
            <w:noWrap w:val="false"/>
          </w:tcPr>
          <w:p w14:paraId="0F47D36B">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(3)= (1)x(2)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1" w:type="dxa"/>
            <w:vAlign w:val="center"/>
            <w:textDirection w:val="lrTb"/>
            <w:noWrap w:val="false"/>
          </w:tcPr>
          <w:p w14:paraId="52F23FB2">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64DE4B2C">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(5)=(3) – (4)</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57" w:type="dxa"/>
            <w:vAlign w:val="center"/>
            <w:textDirection w:val="lrTb"/>
            <w:noWrap/>
          </w:tcPr>
          <w:p w14:paraId="0956EBA9">
            <w:pPr>
              <w:pBdr>
                <w:top w:val="none" w:color="000000" w:sz="4" w:space="0"/>
                <w:left w:val="none" w:color="000000" w:sz="4" w:space="0"/>
                <w:bottom w:val="none" w:color="000000" w:sz="4" w:space="0"/>
                <w:right w:val="none" w:color="000000" w:sz="4" w:space="0"/>
              </w:pBdr>
              <w:spacing w:line="239" w:lineRule="atLeast"/>
              <w:ind w:right="0" w:firstLine="0" w:left="0"/>
              <w:jc w:val="both"/>
              <w:rPr/>
            </w:pPr>
            <w:r>
              <w:rPr>
                <w:rFonts w:ascii="Times New Roman" w:hAnsi="Times New Roman" w:eastAsia="Times New Roman" w:cs="Times New Roman"/>
                <w:color w:val="000000"/>
                <w:sz w:val="24"/>
              </w:rPr>
              <w:t xml:space="preserve">Nhà biệt thự</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84" w:type="dxa"/>
            <w:vAlign w:val="center"/>
            <w:textDirection w:val="lrTb"/>
            <w:noWrap/>
          </w:tcPr>
          <w:p w14:paraId="29F0ABDD">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811,2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7" w:type="dxa"/>
            <w:vAlign w:val="center"/>
            <w:textDirection w:val="lrTb"/>
            <w:noWrap/>
          </w:tcPr>
          <w:p w14:paraId="5C39C585">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9.995.796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6" w:type="dxa"/>
            <w:vAlign w:val="center"/>
            <w:textDirection w:val="lrTb"/>
            <w:noWrap/>
          </w:tcPr>
          <w:p w14:paraId="333BF4F6">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8.108.590.010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1" w:type="dxa"/>
            <w:vAlign w:val="center"/>
            <w:textDirection w:val="lrTb"/>
            <w:noWrap/>
          </w:tcPr>
          <w:p w14:paraId="2E58B1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1.216.288.502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4DE362A6">
            <w:pPr>
              <w:pBdr>
                <w:top w:val="none" w:color="000000" w:sz="4" w:space="0"/>
                <w:left w:val="none" w:color="000000" w:sz="4" w:space="0"/>
                <w:bottom w:val="none" w:color="000000" w:sz="4" w:space="0"/>
                <w:right w:val="none" w:color="000000" w:sz="4" w:space="0"/>
              </w:pBdr>
              <w:spacing w:line="239" w:lineRule="atLeast"/>
              <w:ind w:right="0" w:firstLine="0" w:left="0"/>
              <w:jc w:val="right"/>
              <w:rPr/>
            </w:pPr>
            <w:r>
              <w:rPr>
                <w:rFonts w:ascii="Times New Roman" w:hAnsi="Times New Roman" w:eastAsia="Times New Roman" w:cs="Times New Roman"/>
                <w:color w:val="000000"/>
                <w:sz w:val="24"/>
              </w:rPr>
              <w:t xml:space="preserve">6.892.301.509</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57" w:type="dxa"/>
            <w:vAlign w:val="bottom"/>
            <w:textDirection w:val="lrTb"/>
            <w:noWrap/>
          </w:tcPr>
          <w:p w14:paraId="236F97D4">
            <w:pPr>
              <w:pBdr>
                <w:top w:val="none" w:color="000000" w:sz="4" w:space="0"/>
                <w:left w:val="none" w:color="000000" w:sz="4" w:space="0"/>
                <w:bottom w:val="none" w:color="000000" w:sz="4" w:space="0"/>
                <w:right w:val="none" w:color="000000" w:sz="4" w:space="0"/>
              </w:pBdr>
              <w:spacing w:line="239" w:lineRule="atLeast"/>
              <w:ind w:right="0" w:firstLine="0" w:left="0"/>
              <w:rPr/>
            </w:pPr>
            <w:r>
              <w:rPr>
                <w:rFonts w:ascii="Times New Roman" w:hAnsi="Times New Roman" w:eastAsia="Times New Roman" w:cs="Times New Roman"/>
                <w:b/>
                <w:color w:val="000000"/>
                <w:sz w:val="24"/>
              </w:rPr>
              <w:t xml:space="preserve">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84" w:type="dxa"/>
            <w:vAlign w:val="bottom"/>
            <w:textDirection w:val="lrTb"/>
            <w:noWrap/>
          </w:tcPr>
          <w:p w14:paraId="4B382DB0">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7" w:type="dxa"/>
            <w:vAlign w:val="bottom"/>
            <w:textDirection w:val="lrTb"/>
            <w:noWrap/>
          </w:tcPr>
          <w:p w14:paraId="3EFFB3CB">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6" w:type="dxa"/>
            <w:vAlign w:val="bottom"/>
            <w:textDirection w:val="lrTb"/>
            <w:noWrap/>
          </w:tcPr>
          <w:p w14:paraId="2F2CBBB4">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1" w:type="dxa"/>
            <w:vAlign w:val="bottom"/>
            <w:textDirection w:val="lrTb"/>
            <w:noWrap/>
          </w:tcPr>
          <w:p w14:paraId="794A529C">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2CA207BD">
            <w:pPr>
              <w:pBdr>
                <w:top w:val="none" w:color="000000" w:sz="4" w:space="0"/>
                <w:left w:val="none" w:color="000000" w:sz="4" w:space="0"/>
                <w:bottom w:val="none" w:color="000000" w:sz="4" w:space="0"/>
                <w:right w:val="none" w:color="000000" w:sz="4" w:space="0"/>
              </w:pBdr>
              <w:spacing w:line="239" w:lineRule="atLeast"/>
              <w:ind w:right="0" w:firstLine="0" w:left="0"/>
              <w:jc w:val="right"/>
              <w:rPr/>
            </w:pPr>
            <w:r>
              <w:rPr>
                <w:rFonts w:ascii="Times New Roman" w:hAnsi="Times New Roman" w:eastAsia="Times New Roman" w:cs="Times New Roman"/>
                <w:b/>
                <w:color w:val="000000"/>
                <w:sz w:val="24"/>
              </w:rPr>
              <w:t xml:space="preserve">6.892.301.509</w:t>
            </w:r>
            <w:r/>
          </w:p>
        </w:tc>
      </w:tr>
    </w:tbl>
    <w:p w14:paraId="4B506B03" w14:textId="49B8E0F8">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p w14:paraId="57032FF6">
      <w:pPr>
        <w:pStyle w:val="1035"/>
        <w:pBdr/>
        <w:tabs>
          <w:tab w:val="left" w:leader="none" w:pos="993"/>
        </w:tabs>
        <w:spacing w:after="120" w:before="120" w:line="276" w:lineRule="auto"/>
        <w:ind w:left="0"/>
        <w:jc w:val="both"/>
        <w:rPr/>
      </w:pPr>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8"/>
        <w:gridCol w:w="2718"/>
        <w:gridCol w:w="1350"/>
        <w:gridCol w:w="1545"/>
        <w:gridCol w:w="1620"/>
        <w:gridCol w:w="2070"/>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8" w:type="dxa"/>
            <w:vAlign w:val="center"/>
            <w:textDirection w:val="lrTb"/>
            <w:noWrap w:val="false"/>
          </w:tcPr>
          <w:p w14:paraId="6896D9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718" w:type="dxa"/>
            <w:vAlign w:val="center"/>
            <w:textDirection w:val="lrTb"/>
            <w:noWrap w:val="false"/>
          </w:tcPr>
          <w:p w14:paraId="62A962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50" w:type="dxa"/>
            <w:vAlign w:val="center"/>
            <w:textDirection w:val="lrTb"/>
            <w:noWrap w:val="false"/>
          </w:tcPr>
          <w:p w14:paraId="6CE00F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45" w:type="dxa"/>
            <w:vAlign w:val="center"/>
            <w:textDirection w:val="lrTb"/>
            <w:noWrap w:val="false"/>
          </w:tcPr>
          <w:p w14:paraId="441397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Đơn giá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0" w:type="dxa"/>
            <w:vAlign w:val="center"/>
            <w:textDirection w:val="lrTb"/>
            <w:noWrap w:val="false"/>
          </w:tcPr>
          <w:p w14:paraId="301723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Hệ số/</w:t>
              <w:br/>
              <w:t xml:space="preserve"> CLCL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0" w:type="dxa"/>
            <w:vAlign w:val="center"/>
            <w:textDirection w:val="lrTb"/>
            <w:noWrap w:val="false"/>
          </w:tcPr>
          <w:p w14:paraId="76E950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Thành tiền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8" w:type="dxa"/>
            <w:vAlign w:val="center"/>
            <w:textDirection w:val="lrTb"/>
            <w:noWrap w:val="false"/>
          </w:tcPr>
          <w:p w14:paraId="0827F8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33" w:type="dxa"/>
            <w:vAlign w:val="center"/>
            <w:textDirection w:val="lrTb"/>
            <w:noWrap w:val="false"/>
          </w:tcPr>
          <w:p w14:paraId="4824D7EB">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Quyền sử dụng đất và tài sản gắn liền với đất tại thửa đất số: 534, tờ bản đồ số: 53 (tài liệu đo năm 2003) có địa chỉ: Phường Thảo Điền, thành phố Hồ Chí Minh (nay là Phường An Khánh, thành phố Hồ Chí Minh) theo Giấy chứng nhận Quyền sử dụng đất, quyền sở</w:t>
            </w:r>
            <w:r>
              <w:rPr>
                <w:rFonts w:ascii="Times New Roman" w:hAnsi="Times New Roman" w:eastAsia="Times New Roman" w:cs="Times New Roman"/>
                <w:b/>
                <w:color w:val="000000"/>
                <w:sz w:val="24"/>
              </w:rPr>
              <w:t xml:space="preserve"> hữu nhà ở và tài sản khác gắn liền với đất số: CM 296923, số vào sổ cấp GCN: CS 03907 do Sở Tài nguyên và Môi trường Thành phố Hồ Chí Minh cấp ngày 15/11/2018. Chủ sử dụng đất là ông Nguyễn Chí Trung và bà Lê Thị Việt Nghĩa.</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0" w:type="dxa"/>
            <w:vAlign w:val="center"/>
            <w:textDirection w:val="lrTb"/>
            <w:noWrap w:val="false"/>
          </w:tcPr>
          <w:p w14:paraId="60364AD2">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8" w:type="dxa"/>
            <w:vAlign w:val="center"/>
            <w:textDirection w:val="lrTb"/>
            <w:noWrap w:val="false"/>
          </w:tcPr>
          <w:p w14:paraId="754803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718" w:type="dxa"/>
            <w:vAlign w:val="center"/>
            <w:textDirection w:val="lrTb"/>
            <w:noWrap w:val="false"/>
          </w:tcPr>
          <w:p w14:paraId="6D0BC117">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Đất ở tại đô thị không thuộc lộ giới</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50" w:type="dxa"/>
            <w:vAlign w:val="center"/>
            <w:textDirection w:val="lrTb"/>
            <w:noWrap/>
          </w:tcPr>
          <w:p w14:paraId="33F1877B">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486,68</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45" w:type="dxa"/>
            <w:vAlign w:val="center"/>
            <w:textDirection w:val="lrTb"/>
            <w:noWrap w:val="false"/>
          </w:tcPr>
          <w:p w14:paraId="35D1CE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242.800.000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0" w:type="dxa"/>
            <w:vAlign w:val="center"/>
            <w:textDirection w:val="lrTb"/>
            <w:noWrap w:val="false"/>
          </w:tcPr>
          <w:p w14:paraId="563996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0" w:type="dxa"/>
            <w:vAlign w:val="center"/>
            <w:textDirection w:val="lrTb"/>
            <w:noWrap w:val="false"/>
          </w:tcPr>
          <w:p w14:paraId="544AB544">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118.165.904.000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8" w:type="dxa"/>
            <w:vAlign w:val="center"/>
            <w:textDirection w:val="lrTb"/>
            <w:noWrap w:val="false"/>
          </w:tcPr>
          <w:p w14:paraId="5E29B8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718" w:type="dxa"/>
            <w:vAlign w:val="center"/>
            <w:textDirection w:val="lrTb"/>
            <w:noWrap w:val="false"/>
          </w:tcPr>
          <w:p w14:paraId="6D90430B">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Nhà biệt thự</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50" w:type="dxa"/>
            <w:vAlign w:val="center"/>
            <w:textDirection w:val="lrTb"/>
            <w:noWrap/>
          </w:tcPr>
          <w:p w14:paraId="5D3EF97F">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811,2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45" w:type="dxa"/>
            <w:vAlign w:val="center"/>
            <w:textDirection w:val="lrTb"/>
            <w:noWrap w:val="false"/>
          </w:tcPr>
          <w:p w14:paraId="2D1196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9.995.796</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0" w:type="dxa"/>
            <w:vAlign w:val="center"/>
            <w:textDirection w:val="lrTb"/>
            <w:noWrap w:val="false"/>
          </w:tcPr>
          <w:p w14:paraId="4FC0B2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85%</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0" w:type="dxa"/>
            <w:vAlign w:val="center"/>
            <w:textDirection w:val="lrTb"/>
            <w:noWrap w:val="false"/>
          </w:tcPr>
          <w:p w14:paraId="066520CB">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6.892.301.509</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881" w:type="dxa"/>
            <w:vAlign w:val="center"/>
            <w:textDirection w:val="lrTb"/>
            <w:noWrap/>
          </w:tcPr>
          <w:p w14:paraId="28E8876C">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0" w:type="dxa"/>
            <w:vAlign w:val="top"/>
            <w:textDirection w:val="lrTb"/>
            <w:noWrap/>
          </w:tcPr>
          <w:p w14:paraId="764F6325">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125.058.205.509</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881" w:type="dxa"/>
            <w:vAlign w:val="center"/>
            <w:textDirection w:val="lrTb"/>
            <w:noWrap/>
          </w:tcPr>
          <w:p w14:paraId="3335A6F4">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0" w:type="dxa"/>
            <w:vAlign w:val="top"/>
            <w:textDirection w:val="lrTb"/>
            <w:noWrap/>
          </w:tcPr>
          <w:p w14:paraId="2363F20F">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125.000.000.000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51" w:type="dxa"/>
            <w:vAlign w:val="center"/>
            <w:textDirection w:val="lrTb"/>
            <w:noWrap w:val="false"/>
          </w:tcPr>
          <w:p w14:paraId="2C37E1B7">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(Bằng chữ: Một trăm hai mươi lăm tỷ đồng chẵn./.)</w:t>
            </w:r>
            <w:r>
              <w:rPr>
                <w:rFonts w:ascii="Times New Roman" w:hAnsi="Times New Roman" w:eastAsia="Times New Roman" w:cs="Times New Roman"/>
                <w:sz w:val="24"/>
              </w:rPr>
            </w:r>
            <w:r>
              <w:rPr>
                <w:rFonts w:ascii="Times New Roman" w:hAnsi="Times New Roman" w:eastAsia="Times New Roman" w:cs="Times New Roman"/>
                <w:sz w:val="24"/>
              </w:rPr>
            </w:r>
          </w:p>
        </w:tc>
      </w:tr>
    </w:tbl>
    <w:p w14:paraId="187E2E91" w14:textId="56B58432">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45646401">
      <w:pPr>
        <w:pStyle w:val="1035"/>
        <w:numPr>
          <w:ilvl w:val="0"/>
          <w:numId w:val="5"/>
        </w:numPr>
        <w:pBdr/>
        <w:spacing w:after="120" w:before="120" w:line="288" w:lineRule="auto"/>
        <w:ind/>
        <w:jc w:val="both"/>
        <w:rPr>
          <w:lang w:val="vi-VN"/>
        </w:rPr>
      </w:pPr>
      <w:r>
        <w:rPr>
          <w:highlight w:val="none"/>
          <w:lang w:val="vi-VN" w:bidi="vi-VN"/>
        </w:rPr>
      </w:r>
      <w:r>
        <w:rPr>
          <w:rFonts w:ascii="Times New Roman" w:hAnsi="Times New Roman" w:eastAsia="Times New Roman" w:cs="Times New Roman"/>
          <w:color w:val="000000"/>
          <w:sz w:val="24"/>
        </w:rPr>
        <w:t xml:space="preserve">Căn cứ Giấy chứng nhận Quyền sử dụng đất, quyền sở hữu nhà ở và tài sản khác gắn liền với đất số: CM 296923, thửa đất có 32,52m² đất ở tại đô thị nằm trong lộ giới đường Đặng Hữu Phổ. Theo yêu cầu từ phía khách hàng/ ngân hàng, tổ thẩm định chỉ xác định gi</w:t>
      </w:r>
      <w:r>
        <w:rPr>
          <w:rFonts w:ascii="Times New Roman" w:hAnsi="Times New Roman" w:eastAsia="Times New Roman" w:cs="Times New Roman"/>
          <w:color w:val="000000"/>
          <w:sz w:val="24"/>
        </w:rPr>
        <w:t xml:space="preserve">á trị quyền sử dụng đất nằm ngoài lộ giới đường Đặng Hữu Phổ, không xác định giá trị của phần diện tích đất ở tại đô thị nằm trong lộ giới đường Đặng Hữu Phổvào tổng giá trị. Kính đề nghị đơn vị sử dụng kết quả lưu ý.</w:t>
      </w:r>
      <w:r>
        <w:rPr>
          <w:lang w:val="vi-VN"/>
        </w:rPr>
      </w:r>
      <w:r>
        <w:rPr>
          <w:lang w:val="vi-VN"/>
        </w:rPr>
      </w:r>
    </w:p>
    <w:p w14:paraId="5F9C87DF" w14:textId="660E13BF">
      <w:pPr>
        <w:pStyle w:val="103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275/2025/1778/VFI-CT.17.A</w:t>
      </w:r>
      <w:r>
        <w:rPr>
          <w:color w:val="ff0000"/>
          <w:lang w:val="vi-VN"/>
        </w:rPr>
        <w:t xml:space="preserve"> </w:t>
      </w:r>
      <w:r>
        <w:rPr>
          <w:color w:val="000000" w:themeColor="text1"/>
        </w:rPr>
        <w:t xml:space="preserve">ngày 11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2838A8CA" w14:textId="77777777">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tbl>
      <w:tblPr>
        <w:tblW w:w="4917" w:type="pct"/>
        <w:tblBorders/>
        <w:tblLayout w:type="fixed"/>
        <w:tblLook w:val="01E0" w:firstRow="1" w:lastRow="1" w:firstColumn="1" w:lastColumn="1" w:noHBand="0" w:noVBand="0"/>
      </w:tblPr>
      <w:tblGrid>
        <w:gridCol w:w="4428"/>
        <w:gridCol w:w="5220"/>
      </w:tblGrid>
      <w:tr>
        <w:trPr>
          <w:trHeight w:val="20"/>
        </w:trPr>
        <w:tc>
          <w:tcPr>
            <w:tcBorders/>
            <w:tcW w:w="4428" w:type="dxa"/>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20" w:type="dxa"/>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8" w:type="dxa"/>
            <w:vAlign w:val="center"/>
            <w:textDirection w:val="lrTb"/>
            <w:noWrap w:val="false"/>
          </w:tcPr>
          <w:p w14:paraId="20F76375">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14:paraId="5D720745">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1D81F2C0">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01BFE982">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2E542B64">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2476DDB8" w14:textId="77777777">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220" w:type="dxa"/>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8" w:type="dxa"/>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220" w:type="dxa"/>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816"/>
      </w:tblGrid>
      <w:tr>
        <w:trPr>
          <w:trHeight w:val="20"/>
        </w:trPr>
        <w:tc>
          <w:tcPr>
            <w:tcBorders/>
            <w:tcW w:w="4816"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816"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816"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275/2025/1778/VFI-BC.17.A</w:t>
      </w:r>
      <w:r>
        <w:rPr>
          <w:i/>
          <w:lang w:val="pt-BR"/>
        </w:rPr>
        <w:t xml:space="preserve"> </w:t>
      </w:r>
      <w:r>
        <w:rPr>
          <w:i/>
          <w:lang w:val="pt-BR"/>
        </w:rPr>
        <w:t xml:space="preserve">11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2393141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25814" cy="181936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38271" name=""/>
                              <pic:cNvPicPr>
                                <a:picLocks noChangeAspect="1"/>
                              </pic:cNvPicPr>
                              <pic:nvPr/>
                            </pic:nvPicPr>
                            <pic:blipFill rotWithShape="1">
                              <a:blip r:embed="rId16"/>
                              <a:stretch/>
                            </pic:blipFill>
                            <pic:spPr bwMode="auto">
                              <a:xfrm flipH="0" flipV="0">
                                <a:off x="0" y="0"/>
                                <a:ext cx="2425813" cy="18193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1.01pt;height:143.26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27273" cy="189545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777668" name=""/>
                              <pic:cNvPicPr>
                                <a:picLocks noChangeAspect="1"/>
                              </pic:cNvPicPr>
                              <pic:nvPr/>
                            </pic:nvPicPr>
                            <pic:blipFill rotWithShape="1">
                              <a:blip r:embed="rId20"/>
                              <a:stretch/>
                            </pic:blipFill>
                            <pic:spPr bwMode="auto">
                              <a:xfrm flipH="0" flipV="0">
                                <a:off x="0" y="0"/>
                                <a:ext cx="2527272" cy="18954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00pt;height:149.2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24294" cy="189322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27543" name=""/>
                              <pic:cNvPicPr>
                                <a:picLocks noChangeAspect="1"/>
                              </pic:cNvPicPr>
                              <pic:nvPr/>
                            </pic:nvPicPr>
                            <pic:blipFill rotWithShape="1">
                              <a:blip r:embed="rId21"/>
                              <a:stretch/>
                            </pic:blipFill>
                            <pic:spPr bwMode="auto">
                              <a:xfrm flipH="0" flipV="0">
                                <a:off x="0" y="0"/>
                                <a:ext cx="2524293" cy="18932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8.76pt;height:149.07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7F0B40CB">
      <w:pPr>
        <w:pBdr/>
        <w:spacing w:after="200" w:line="276" w:lineRule="auto"/>
        <w:ind/>
        <w:rPr/>
      </w:pPr>
      <w:r>
        <w:rPr>
          <w:highlight w:val="none"/>
        </w:rPr>
      </w:r>
      <w:r>
        <w:rPr>
          <w:highlight w:val="none"/>
        </w:rPr>
      </w:r>
      <w:r/>
    </w:p>
    <w:p w14:paraId="7E20472F">
      <w:pPr>
        <w:pBdr/>
        <w:spacing w:after="200" w:line="276" w:lineRule="auto"/>
        <w:ind/>
        <w:rPr>
          <w:highlight w:val="none"/>
        </w:rPr>
      </w:pPr>
      <w:r>
        <w:rPr>
          <w:highlight w:val="none"/>
        </w:rPr>
      </w:r>
      <w:r>
        <w:rPr>
          <w:highlight w:val="none"/>
        </w:rPr>
      </w:r>
      <w:r>
        <w:rPr>
          <w:highlight w:val="none"/>
        </w:rPr>
      </w:r>
    </w:p>
    <w:p w14:paraId="3BB3ED75">
      <w:pPr>
        <w:pBdr/>
        <w:spacing w:after="200" w:line="276" w:lineRule="auto"/>
        <w:ind/>
        <w:rPr>
          <w:highlight w:val="none"/>
        </w:rPr>
      </w:pPr>
      <w:r>
        <w:rPr>
          <w:highlight w:val="none"/>
        </w:rPr>
      </w:r>
      <w:r>
        <w:rPr>
          <w:highlight w:val="none"/>
        </w:rPr>
      </w:r>
      <w:r>
        <w:rPr>
          <w:highlight w:val="none"/>
        </w:rPr>
      </w:r>
    </w:p>
    <w:p w14:paraId="3A31B8FF">
      <w:pPr>
        <w:pBdr/>
        <w:spacing w:after="200" w:line="276" w:lineRule="auto"/>
        <w:ind/>
        <w:rPr>
          <w:highlight w:val="none"/>
        </w:rPr>
      </w:pPr>
      <w:r>
        <w:rPr>
          <w:highlight w:val="none"/>
        </w:rPr>
      </w:r>
      <w:r>
        <w:rPr>
          <w:highlight w:val="none"/>
        </w:rPr>
      </w:r>
      <w:r>
        <w:rPr>
          <w:highlight w:val="none"/>
        </w:rPr>
      </w:r>
    </w:p>
    <w:p w14:paraId="2A56E957">
      <w:pPr>
        <w:pBdr/>
        <w:spacing w:after="200" w:line="276" w:lineRule="auto"/>
        <w:ind/>
        <w:rPr>
          <w:highlight w:val="none"/>
        </w:rPr>
      </w:pPr>
      <w:r>
        <w:rPr>
          <w:highlight w:val="none"/>
        </w:rPr>
      </w:r>
      <w:r>
        <w:rPr>
          <w:highlight w:val="none"/>
        </w:rPr>
      </w:r>
      <w:r>
        <w:rPr>
          <w:highlight w:val="none"/>
        </w:rPr>
      </w:r>
    </w:p>
    <w:p w14:paraId="37412123" w14:textId="77777777">
      <w:pPr>
        <w:pBdr/>
        <w:spacing w:after="200" w:line="276" w:lineRule="auto"/>
        <w:ind/>
        <w:jc w:val="center"/>
        <w:rPr/>
      </w:pPr>
      <w:r>
        <mc:AlternateContent>
          <mc:Choice Requires="wpg">
            <w:drawing>
              <wp:inline xmlns:wp="http://schemas.openxmlformats.org/drawingml/2006/wordprocessingDrawing" distT="0" distB="0" distL="0" distR="0">
                <wp:extent cx="6229350" cy="435287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1541" name=""/>
                        <pic:cNvPicPr>
                          <a:picLocks noChangeAspect="1"/>
                        </pic:cNvPicPr>
                        <pic:nvPr/>
                      </pic:nvPicPr>
                      <pic:blipFill rotWithShape="1">
                        <a:blip r:embed="rId22"/>
                        <a:stretch/>
                      </pic:blipFill>
                      <pic:spPr bwMode="auto">
                        <a:xfrm>
                          <a:off x="0" y="0"/>
                          <a:ext cx="6229349" cy="43528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90.50pt;height:342.75pt;mso-wrap-distance-left:0.00pt;mso-wrap-distance-top:0.00pt;mso-wrap-distance-right:0.00pt;mso-wrap-distance-bottom:0.00pt;z-index:1;" stroked="false">
                <v:imagedata r:id="rId22" o:title=""/>
                <o:lock v:ext="edit" rotation="t"/>
              </v:shape>
            </w:pict>
          </mc:Fallback>
        </mc:AlternateContent>
      </w:r>
      <w:r>
        <w:rPr>
          <w:highlight w:val="none"/>
        </w:rPr>
      </w:r>
      <w:r/>
    </w:p>
    <w:p w14:paraId="01C52F30">
      <w:pPr>
        <w:pBdr/>
        <w:spacing w:after="200" w:line="276" w:lineRule="auto"/>
        <w:ind/>
        <w:jc w:val="center"/>
        <w:rPr/>
      </w:pPr>
      <w:r>
        <mc:AlternateContent>
          <mc:Choice Requires="wpg">
            <w:drawing>
              <wp:inline xmlns:wp="http://schemas.openxmlformats.org/drawingml/2006/wordprocessingDrawing" distT="0" distB="0" distL="0" distR="0">
                <wp:extent cx="6229350" cy="440254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311797" name=""/>
                        <pic:cNvPicPr>
                          <a:picLocks noChangeAspect="1"/>
                        </pic:cNvPicPr>
                        <pic:nvPr/>
                      </pic:nvPicPr>
                      <pic:blipFill rotWithShape="1">
                        <a:blip r:embed="rId23"/>
                        <a:stretch/>
                      </pic:blipFill>
                      <pic:spPr bwMode="auto">
                        <a:xfrm>
                          <a:off x="0" y="0"/>
                          <a:ext cx="6229349" cy="44025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90.50pt;height:346.66pt;mso-wrap-distance-left:0.00pt;mso-wrap-distance-top:0.00pt;mso-wrap-distance-right:0.00pt;mso-wrap-distance-bottom:0.00pt;z-index:1;" stroked="false">
                <v:imagedata r:id="rId23" o:title=""/>
                <o:lock v:ext="edit" rotation="t"/>
              </v:shape>
            </w:pict>
          </mc:Fallback>
        </mc:AlternateContent>
      </w:r>
      <w:r>
        <w:rPr>
          <w:highlight w:val="none"/>
        </w:rPr>
      </w:r>
      <w:r/>
    </w:p>
    <w:p w14:paraId="7A8CE90B">
      <w:pPr>
        <w:pBdr/>
        <w:spacing w:after="200" w:line="276" w:lineRule="auto"/>
        <w:ind/>
        <w:jc w:val="center"/>
        <w:rPr>
          <w:highlight w:val="none"/>
        </w:rPr>
      </w:pPr>
      <w:r>
        <w:rPr>
          <w:highlight w:val="none"/>
        </w:rPr>
      </w:r>
      <w:r>
        <w:rPr>
          <w:highlight w:val="none"/>
        </w:rPr>
      </w:r>
      <w:r>
        <w:rPr>
          <w:highlight w:val="none"/>
        </w:rPr>
      </w:r>
    </w:p>
    <w:p w14:paraId="382A2508">
      <w:pPr>
        <w:pBdr/>
        <w:spacing w:after="200" w:line="276" w:lineRule="auto"/>
        <w:ind/>
        <w:jc w:val="center"/>
        <w:rPr>
          <w:highlight w:val="none"/>
        </w:rPr>
      </w:pPr>
      <w:r>
        <w:rPr>
          <w:highlight w:val="none"/>
        </w:rPr>
      </w:r>
      <w:r>
        <w:rPr>
          <w:highlight w:val="none"/>
        </w:rPr>
      </w:r>
      <w:r>
        <w:rPr>
          <w:highlight w:val="none"/>
        </w:rPr>
      </w:r>
    </w:p>
    <w:p w14:paraId="486E8362">
      <w:pPr>
        <w:pBdr/>
        <w:spacing w:after="200" w:line="276" w:lineRule="auto"/>
        <w:ind/>
        <w:jc w:val="center"/>
        <w:rPr>
          <w:highlight w:val="none"/>
        </w:rPr>
      </w:pPr>
      <w:r>
        <w:rPr>
          <w:highlight w:val="none"/>
        </w:rPr>
      </w:r>
      <w:r>
        <w:rPr>
          <w:highlight w:val="none"/>
        </w:rPr>
      </w:r>
      <w:r>
        <w:rPr>
          <w:highlight w:val="none"/>
        </w:rPr>
      </w:r>
    </w:p>
    <w:p w14:paraId="4CB393C9">
      <w:pPr>
        <w:pBdr/>
        <w:spacing w:after="200" w:line="276" w:lineRule="auto"/>
        <w:ind/>
        <w:jc w:val="center"/>
        <w:rPr/>
      </w:pPr>
      <w:r>
        <mc:AlternateContent>
          <mc:Choice Requires="wpg">
            <w:drawing>
              <wp:inline xmlns:wp="http://schemas.openxmlformats.org/drawingml/2006/wordprocessingDrawing" distT="0" distB="0" distL="0" distR="0">
                <wp:extent cx="5714414" cy="868626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13937" name=""/>
                        <pic:cNvPicPr>
                          <a:picLocks noChangeAspect="1"/>
                        </pic:cNvPicPr>
                        <pic:nvPr/>
                      </pic:nvPicPr>
                      <pic:blipFill rotWithShape="1">
                        <a:blip r:embed="rId24"/>
                        <a:stretch/>
                      </pic:blipFill>
                      <pic:spPr bwMode="auto">
                        <a:xfrm flipH="0" flipV="0">
                          <a:off x="0" y="0"/>
                          <a:ext cx="5714413" cy="86862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49.95pt;height:683.96pt;mso-wrap-distance-left:0.00pt;mso-wrap-distance-top:0.00pt;mso-wrap-distance-right:0.00pt;mso-wrap-distance-bottom:0.00pt;z-index:1;" stroked="false">
                <v:imagedata r:id="rId24" o:title=""/>
                <o:lock v:ext="edit" rotation="t"/>
              </v:shape>
            </w:pict>
          </mc:Fallback>
        </mc:AlternateContent>
      </w:r>
      <w:r>
        <w:rPr>
          <w:highlight w:val="none"/>
        </w:rPr>
      </w:r>
      <w:r/>
    </w:p>
    <w:p w14:paraId="381E0833">
      <w:pPr>
        <w:pBdr/>
        <w:spacing w:after="200" w:line="276" w:lineRule="auto"/>
        <w:ind/>
        <w:jc w:val="center"/>
        <w:rPr>
          <w:highlight w:val="none"/>
        </w:rPr>
      </w:pPr>
      <w:r>
        <w:rPr>
          <w:highlight w:val="none"/>
        </w:rPr>
      </w:r>
      <w:r>
        <w:rPr>
          <w:highlight w:val="none"/>
        </w:rPr>
      </w:r>
      <w:r>
        <w:rPr>
          <w:highlight w:val="none"/>
        </w:rPr>
      </w:r>
    </w:p>
    <w:p w14:paraId="69B80833">
      <w:pPr>
        <w:pBdr/>
        <w:spacing w:after="200" w:line="276" w:lineRule="auto"/>
        <w:ind/>
        <w:jc w:val="center"/>
        <w:rPr>
          <w:highlight w:val="none"/>
        </w:rPr>
      </w:pPr>
      <w:r>
        <mc:AlternateContent>
          <mc:Choice Requires="wpg">
            <w:drawing>
              <wp:inline xmlns:wp="http://schemas.openxmlformats.org/drawingml/2006/wordprocessingDrawing" distT="0" distB="0" distL="0" distR="0">
                <wp:extent cx="6105865" cy="891486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347058" name=""/>
                        <pic:cNvPicPr>
                          <a:picLocks noChangeAspect="1"/>
                        </pic:cNvPicPr>
                        <pic:nvPr/>
                      </pic:nvPicPr>
                      <pic:blipFill rotWithShape="1">
                        <a:blip r:embed="rId25"/>
                        <a:stretch/>
                      </pic:blipFill>
                      <pic:spPr bwMode="auto">
                        <a:xfrm flipH="0" flipV="0">
                          <a:off x="0" y="0"/>
                          <a:ext cx="6105864" cy="89148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80.78pt;height:701.96pt;mso-wrap-distance-left:0.00pt;mso-wrap-distance-top:0.00pt;mso-wrap-distance-right:0.00pt;mso-wrap-distance-bottom:0.00pt;z-index:1;" stroked="false">
                <v:imagedata r:id="rId25" o:title=""/>
                <o:lock v:ext="edit" rotation="t"/>
              </v:shape>
            </w:pict>
          </mc:Fallback>
        </mc:AlternateContent>
      </w:r>
      <w:r>
        <w:br w:type="page" w:clear="all"/>
      </w:r>
      <w:r>
        <w:rPr>
          <w:highlight w:val="none"/>
        </w:rPr>
      </w:r>
      <w:r>
        <w:rPr>
          <w:highlight w:val="none"/>
        </w:rP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275/2025/1778/VFI-BC.17.A</w:t>
      </w:r>
      <w:r>
        <w:rPr>
          <w:i/>
          <w:lang w:val="pt-BR"/>
        </w:rPr>
        <w:t xml:space="preserve"> </w:t>
      </w:r>
      <w:r>
        <w:rPr>
          <w:i/>
          <w:lang w:val="pt-BR"/>
        </w:rPr>
        <w:t xml:space="preserve">11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50" w:type="dxa"/>
        <w:tblBorders/>
        <w:tblLayout w:type="fixed"/>
        <w:tblLook w:val="04A0" w:firstRow="1" w:lastRow="0" w:firstColumn="1" w:lastColumn="0" w:noHBand="0" w:noVBand="1"/>
      </w:tblPr>
      <w:tblGrid>
        <w:gridCol w:w="632"/>
        <w:gridCol w:w="3078"/>
        <w:gridCol w:w="594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78"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40"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0968361638</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115.000.000.000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103.500.000.000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(406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03C6ED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Tài sản nằm tại Số 12 đường số 49, KP2, phường Thảo Điền, Quận 2, thành phố Hồ Chí Minh. Cách đường Võ Nguyên Giáp (Xa lộ Hà Nội) khoảng 800m.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406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18"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89601" cy="3639406"/>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889601" cy="363940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7.53pt;height:286.57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13983" cy="5075697"/>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3113982" cy="50756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45.20pt;height:399.66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701"/>
      </w:tblGrid>
      <w:tr>
        <w:trPr>
          <w:trHeight w:val="298"/>
        </w:trPr>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16A92D88">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701" w:type="dxa"/>
            <w:vAlign w:val="center"/>
            <w:textDirection w:val="lrTb"/>
            <w:noWrap/>
          </w:tcPr>
          <w:p w14:paraId="56E75CE4" w14:textId="53B79766">
            <w:pPr>
              <w:pBdr/>
              <w:spacing/>
              <w:ind/>
              <w:jc w:val="center"/>
              <w:rPr>
                <w:b/>
                <w:bCs/>
              </w:rPr>
            </w:pPr>
            <w:r>
              <w:rPr>
                <w:b/>
                <w:bCs/>
              </w:rPr>
              <w:t xml:space="preserve">Trần Sơn Tùng</w:t>
            </w:r>
            <w:r>
              <w:rPr>
                <w:b/>
                <w:bCs/>
              </w:rPr>
            </w:r>
            <w:r>
              <w:rPr>
                <w:b/>
                <w:bCs/>
              </w:rPr>
            </w:r>
          </w:p>
        </w:tc>
      </w:tr>
      <w:tr>
        <w:trPr>
          <w:trHeight w:val="298"/>
        </w:trPr>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740" w:type="dxa"/>
        <w:tblBorders/>
        <w:tblLayout w:type="fixed"/>
        <w:tblLook w:val="04A0" w:firstRow="1" w:lastRow="0" w:firstColumn="1" w:lastColumn="0" w:noHBand="0" w:noVBand="1"/>
      </w:tblPr>
      <w:tblGrid>
        <w:gridCol w:w="632"/>
        <w:gridCol w:w="3168"/>
        <w:gridCol w:w="594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168"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40"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0828054504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122.000.000.000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109.800.000.000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(444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05596E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Tài sản nằm tại Số 67 đường số 47, phường Thảo Điền, Quận 2, thành phố Hồ Chí Minh. Cách đường Võ Nguyên Giáp (Xa lộ Hà Nội) khoảng 1,2km.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444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08"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62130" cy="4069304"/>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4862130" cy="40693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82.84pt;height:320.42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55081" cy="4652835"/>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555080" cy="46528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1.19pt;height:366.3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776" w:type="dxa"/>
            <w:vAlign w:val="center"/>
            <w:textDirection w:val="lrTb"/>
            <w:noWrap/>
          </w:tcPr>
          <w:p w14:paraId="799E55DA" w14:textId="0F7B3065">
            <w:pPr>
              <w:pBdr/>
              <w:spacing/>
              <w:ind/>
              <w:jc w:val="center"/>
              <w:rPr>
                <w:b/>
                <w:bCs/>
              </w:rPr>
            </w:pPr>
            <w:r>
              <w:rPr>
                <w:b/>
                <w:bCs/>
              </w:rPr>
              <w:t xml:space="preserve">Trần Sơn Tùng</w:t>
            </w:r>
            <w:r>
              <w:rPr>
                <w:b/>
                <w:bCs/>
              </w:rPr>
            </w:r>
            <w:r>
              <w:rPr>
                <w:b/>
                <w:bCs/>
              </w:rPr>
            </w:r>
          </w:p>
          <w:p w14:paraId="2FFCC431" w14:textId="77777777">
            <w:pPr>
              <w:pBdr/>
              <w:spacing/>
              <w:ind/>
              <w:jc w:val="center"/>
              <w:rPr>
                <w:b/>
                <w:bCs/>
              </w:rPr>
            </w:pPr>
            <w:r>
              <w:rPr>
                <w:b/>
                <w:bCs/>
              </w:rPr>
            </w:r>
            <w:r>
              <w:rPr>
                <w:b/>
                <w:bCs/>
              </w:rPr>
            </w:r>
            <w:r>
              <w:rPr>
                <w:b/>
                <w:bCs/>
              </w:rP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740" w:type="dxa"/>
        <w:tblBorders/>
        <w:tblLayout w:type="fixed"/>
        <w:tblLook w:val="04A0" w:firstRow="1" w:lastRow="0" w:firstColumn="1" w:lastColumn="0" w:noHBand="0" w:noVBand="1"/>
      </w:tblPr>
      <w:tblGrid>
        <w:gridCol w:w="632"/>
        <w:gridCol w:w="2988"/>
        <w:gridCol w:w="612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88"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20"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0968108368</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160.000.000.000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144.000.000.000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(591.1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Số 08 đường Đặng Hữu Phổ, KP2, phường Thảo Điền, Quận 2, thành phố Hồ </w:t>
            </w:r>
            <w:r>
              <w:rPr>
                <w:color w:val="000000" w:themeColor="text1"/>
                <w:sz w:val="22"/>
                <w:szCs w:val="22"/>
              </w:rPr>
              <w:t xml:space="preserve">Chí Minh, đường Tài sản nằm tại Số 08 đường Đặng Hữu Phổ, KP2, phường Thảo Điền, Quận 2, thành phố Hồ Chí Minh. Cách đường Võ Nguyên Giáp (Xa lộ Hà Nội) khoảng 380m., độ rộng đường trước mặt tài sản 6m, mặt tiền 20.6m, 10.80297611083951, 106.73461718627964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591.1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20.6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08"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13799" cy="3505715"/>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4813798" cy="35057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79.04pt;height:276.04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12231" cy="4576635"/>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612230" cy="45766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5.69pt;height:360.36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776" w:type="dxa"/>
            <w:vAlign w:val="center"/>
            <w:textDirection w:val="lrTb"/>
            <w:noWrap/>
          </w:tcPr>
          <w:p w14:paraId="7EB5AFD9">
            <w:pPr>
              <w:pBdr/>
              <w:spacing/>
              <w:ind/>
              <w:jc w:val="center"/>
              <w:rPr>
                <w:b/>
                <w:bCs/>
              </w:rPr>
            </w:pPr>
            <w:r>
              <w:rPr>
                <w:b/>
                <w:bCs/>
              </w:rPr>
              <w:t xml:space="preserve">Trần Sơn Tùng</w:t>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566"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7E7EF10"/>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3B4D6258"/>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1DCC21A6"/>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6E1990EB"/>
    <w:lvl w:ilvl="0">
      <w:isLgl w:val="false"/>
      <w:lvlJc w:val="left"/>
      <w:lvlText w:val=""/>
      <w:numFmt w:val="bullet"/>
      <w:pPr>
        <w:pBdr/>
        <w:spacing/>
        <w:ind w:hanging="360" w:left="1440"/>
      </w:pPr>
      <w:rPr>
        <w:rFonts w:hint="default" w:ascii="Wingdings" w:hAnsi="Wingdings" w:eastAsia="Wingdings" w:cs="Wingdings"/>
      </w:rPr>
      <w:start w:val="1"/>
      <w:suff w:val="tab"/>
    </w:lvl>
    <w:lvl w:ilvl="1">
      <w:isLgl w:val="false"/>
      <w:lvlJc w:val="left"/>
      <w:lvlText w:val="o"/>
      <w:numFmt w:val="bullet"/>
      <w:pPr>
        <w:pBdr/>
        <w:spacing/>
        <w:ind w:hanging="360" w:left="2160"/>
      </w:pPr>
      <w:rPr>
        <w:rFonts w:hint="default" w:ascii="Courier New" w:hAnsi="Courier New" w:eastAsia="Courier New" w:cs="Courier New"/>
      </w:rPr>
      <w:start w:val="1"/>
      <w:suff w:val="tab"/>
    </w:lvl>
    <w:lvl w:ilvl="2">
      <w:isLgl w:val="false"/>
      <w:lvlJc w:val="left"/>
      <w:lvlText w:val=""/>
      <w:numFmt w:val="bullet"/>
      <w:pPr>
        <w:pBdr/>
        <w:spacing/>
        <w:ind w:hanging="360" w:left="2880"/>
      </w:pPr>
      <w:rPr>
        <w:rFonts w:hint="default" w:ascii="Wingdings" w:hAnsi="Wingdings" w:eastAsia="Wingdings" w:cs="Wingdings"/>
      </w:rPr>
      <w:start w:val="1"/>
      <w:suff w:val="tab"/>
    </w:lvl>
    <w:lvl w:ilvl="3">
      <w:isLgl w:val="false"/>
      <w:lvlJc w:val="left"/>
      <w:lvlText w:val=""/>
      <w:numFmt w:val="bullet"/>
      <w:pPr>
        <w:pBdr/>
        <w:spacing/>
        <w:ind w:hanging="360" w:left="3600"/>
      </w:pPr>
      <w:rPr>
        <w:rFonts w:hint="default" w:ascii="Symbol" w:hAnsi="Symbol" w:eastAsia="Symbol" w:cs="Symbol"/>
      </w:rPr>
      <w:start w:val="1"/>
      <w:suff w:val="tab"/>
    </w:lvl>
    <w:lvl w:ilvl="4">
      <w:isLgl w:val="false"/>
      <w:lvlJc w:val="left"/>
      <w:lvlText w:val="o"/>
      <w:numFmt w:val="bullet"/>
      <w:pPr>
        <w:pBdr/>
        <w:spacing/>
        <w:ind w:hanging="360" w:left="4320"/>
      </w:pPr>
      <w:rPr>
        <w:rFonts w:hint="default" w:ascii="Courier New" w:hAnsi="Courier New" w:eastAsia="Courier New" w:cs="Courier New"/>
      </w:rPr>
      <w:start w:val="1"/>
      <w:suff w:val="tab"/>
    </w:lvl>
    <w:lvl w:ilvl="5">
      <w:isLgl w:val="false"/>
      <w:lvlJc w:val="left"/>
      <w:lvlText w:val=""/>
      <w:numFmt w:val="bullet"/>
      <w:pPr>
        <w:pBdr/>
        <w:spacing/>
        <w:ind w:hanging="360" w:left="5040"/>
      </w:pPr>
      <w:rPr>
        <w:rFonts w:hint="default" w:ascii="Wingdings" w:hAnsi="Wingdings" w:eastAsia="Wingdings" w:cs="Wingdings"/>
      </w:rPr>
      <w:start w:val="1"/>
      <w:suff w:val="tab"/>
    </w:lvl>
    <w:lvl w:ilvl="6">
      <w:isLgl w:val="false"/>
      <w:lvlJc w:val="left"/>
      <w:lvlText w:val=""/>
      <w:numFmt w:val="bullet"/>
      <w:pPr>
        <w:pBdr/>
        <w:spacing/>
        <w:ind w:hanging="360" w:left="5760"/>
      </w:pPr>
      <w:rPr>
        <w:rFonts w:hint="default" w:ascii="Symbol" w:hAnsi="Symbol" w:eastAsia="Symbol" w:cs="Symbol"/>
      </w:rPr>
      <w:start w:val="1"/>
      <w:suff w:val="tab"/>
    </w:lvl>
    <w:lvl w:ilvl="7">
      <w:isLgl w:val="false"/>
      <w:lvlJc w:val="left"/>
      <w:lvlText w:val="o"/>
      <w:numFmt w:val="bullet"/>
      <w:pPr>
        <w:pBdr/>
        <w:spacing/>
        <w:ind w:hanging="360" w:left="6480"/>
      </w:pPr>
      <w:rPr>
        <w:rFonts w:hint="default" w:ascii="Courier New" w:hAnsi="Courier New" w:eastAsia="Courier New" w:cs="Courier New"/>
      </w:rPr>
      <w:start w:val="1"/>
      <w:suff w:val="tab"/>
    </w:lvl>
    <w:lvl w:ilvl="8">
      <w:isLgl w:val="false"/>
      <w:lvlJc w:val="left"/>
      <w:lvlText w:val=""/>
      <w:numFmt w:val="bullet"/>
      <w:pPr>
        <w:pBdr/>
        <w:spacing/>
        <w:ind w:hanging="360" w:left="7200"/>
      </w:pPr>
      <w:rPr>
        <w:rFonts w:hint="default" w:ascii="Wingdings" w:hAnsi="Wingdings" w:eastAsia="Wingdings" w:cs="Wingdings"/>
      </w:rPr>
      <w:start w:val="1"/>
      <w:suff w:val="tab"/>
    </w:lvl>
  </w:abstractNum>
  <w:abstractNum w:abstractNumId="41">
    <w:nsid w:val="7B9A87C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 Id="rId28" Type="http://schemas.openxmlformats.org/officeDocument/2006/relationships/image" Target="media/image16.jpg"/><Relationship Id="rId29" Type="http://schemas.openxmlformats.org/officeDocument/2006/relationships/image" Target="media/image17.jpg"/><Relationship Id="rId30" Type="http://schemas.openxmlformats.org/officeDocument/2006/relationships/image" Target="media/image18.jpg"/><Relationship Id="rId31"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272</cp:revision>
  <dcterms:created xsi:type="dcterms:W3CDTF">2025-09-15T09:58:00Z</dcterms:created>
  <dcterms:modified xsi:type="dcterms:W3CDTF">2025-12-23T23:48:51Z</dcterms:modified>
</cp:coreProperties>
</file>