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275/2025/1830/VFI-CT.53.A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1775, tờ bản đồ số: 1 có địa chỉ: xóm Môn, xã Bắc Phong, huyện Cao Phong, tỉnh Hòa Bình( Nay là xã T</w:t>
                            </w:r>
                            <w:r>
                              <w:rPr>
                                <w:color w:val="000000"/>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275/2025/1830/VFI-CT.53.A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1775, tờ bản đồ số: 1 có địa chỉ: xóm Môn, xã Bắc Phong, huyện Cao Phong, tỉnh Hòa Bình( Nay là xã T</w:t>
                      </w:r>
                      <w:r>
                        <w:rPr>
                          <w:color w:val="000000"/>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275/2025/1830/VFI-CT.53.A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275/2025/1830/VFI-HĐTĐ.53.A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color w:val="000000" w:themeColor="text1"/>
          <w:spacing w:val="-4"/>
        </w:rPr>
        <w:t xml:space="preserve">ÔNG TỪ QUANG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22"/>
        <w:gridCol w:w="439"/>
        <w:gridCol w:w="6993"/>
      </w:tblGrid>
      <w:tr>
        <w:trPr>
          <w:trHeight w:val="20"/>
        </w:trPr>
        <w:tc>
          <w:tcPr>
            <w:tcBorders/>
            <w:tcMar>
              <w:left w:w="108" w:type="dxa"/>
              <w:top w:w="0" w:type="dxa"/>
              <w:right w:w="108" w:type="dxa"/>
              <w:bottom w:w="0" w:type="dxa"/>
            </w:tcMar>
            <w:tcW w:w="1922" w:type="dxa"/>
            <w:vAlign w:val="center"/>
            <w:textDirection w:val="lrTb"/>
            <w:noWrap w:val="false"/>
          </w:tcPr>
          <w:p w14:paraId="00C7F03D">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39" w:type="dxa"/>
            <w:vAlign w:val="center"/>
            <w:textDirection w:val="lrTb"/>
            <w:noWrap w:val="false"/>
          </w:tcPr>
          <w:p w14:paraId="27190D66">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0D6D0351">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b/>
                <w:color w:val="000000"/>
                <w:sz w:val="24"/>
              </w:rPr>
              <w:t xml:space="preserve">ÔNG TỪ QUANG HÀ</w:t>
            </w:r>
            <w:r/>
          </w:p>
        </w:tc>
      </w:tr>
      <w:tr>
        <w:trPr>
          <w:trHeight w:val="20"/>
        </w:trPr>
        <w:tc>
          <w:tcPr>
            <w:tcBorders/>
            <w:tcMar>
              <w:left w:w="108" w:type="dxa"/>
              <w:top w:w="0" w:type="dxa"/>
              <w:right w:w="108" w:type="dxa"/>
              <w:bottom w:w="0" w:type="dxa"/>
            </w:tcMar>
            <w:tcW w:w="1922" w:type="dxa"/>
            <w:vAlign w:val="center"/>
            <w:textDirection w:val="lrTb"/>
            <w:noWrap w:val="false"/>
          </w:tcPr>
          <w:p w14:paraId="5D5AD128">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439" w:type="dxa"/>
            <w:vAlign w:val="center"/>
            <w:textDirection w:val="lrTb"/>
            <w:noWrap w:val="false"/>
          </w:tcPr>
          <w:p w14:paraId="18DC3D35">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7D7D49FA">
            <w:pPr>
              <w:pBdr>
                <w:top w:val="none" w:color="000000" w:sz="4" w:space="0"/>
                <w:left w:val="none" w:color="000000" w:sz="4" w:space="0"/>
                <w:bottom w:val="none" w:color="000000" w:sz="4" w:space="0"/>
                <w:right w:val="none" w:color="000000" w:sz="4" w:space="0"/>
              </w:pBdr>
              <w:spacing w:after="80" w:before="80"/>
              <w:ind w:right="0" w:firstLine="0" w:left="0"/>
              <w:rPr/>
            </w:pPr>
            <w:r>
              <w:rPr>
                <w:rFonts w:ascii="Times New Roman" w:hAnsi="Times New Roman" w:eastAsia="Times New Roman" w:cs="Times New Roman"/>
                <w:color w:val="000000"/>
                <w:sz w:val="24"/>
              </w:rPr>
              <w:t xml:space="preserve">040370819</w:t>
            </w:r>
            <w:r/>
          </w:p>
        </w:tc>
      </w:tr>
      <w:tr>
        <w:trPr>
          <w:trHeight w:val="20"/>
        </w:trPr>
        <w:tc>
          <w:tcPr>
            <w:tcBorders/>
            <w:tcMar>
              <w:left w:w="108" w:type="dxa"/>
              <w:top w:w="0" w:type="dxa"/>
              <w:right w:w="108" w:type="dxa"/>
              <w:bottom w:w="0" w:type="dxa"/>
            </w:tcMar>
            <w:tcW w:w="1922" w:type="dxa"/>
            <w:vAlign w:val="center"/>
            <w:textDirection w:val="lrTb"/>
            <w:noWrap w:val="false"/>
          </w:tcPr>
          <w:p w14:paraId="6F5B9547">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439" w:type="dxa"/>
            <w:vAlign w:val="center"/>
            <w:textDirection w:val="lrTb"/>
            <w:noWrap w:val="false"/>
          </w:tcPr>
          <w:p w14:paraId="403D1985">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4A62B0F7">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Khu 1, thị trấn Cao Phong, huyện Cao Phong, Tỉnh Hòa Bình</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2046"/>
        <w:gridCol w:w="425"/>
        <w:gridCol w:w="7201"/>
      </w:tblGrid>
      <w:tr>
        <w:trPr>
          <w:trHeight w:val="20"/>
        </w:trPr>
        <w:tc>
          <w:tcPr>
            <w:tcBorders/>
            <w:tcW w:w="2046"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425"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201"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659"/>
        </w:trPr>
        <w:tc>
          <w:tcPr>
            <w:tcBorders/>
            <w:tcW w:w="2046"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425"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201"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425"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201"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425"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201"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425"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201"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425"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201"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046"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425"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201"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425"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201"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1775, tờ bản đồ số: 1 có địa chỉ: xóm Môn, xã Bắc Phong, huyện Cao Phong, tỉnh Hòa Bình( Nay là xã T</w:t>
      </w:r>
      <w:r>
        <w:rPr>
          <w:color w:val="000000" w:themeColor="text1"/>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1775, tờ bản đồ số: 1 có địa chỉ: xóm Môn, xã Bắc Phong, huyện Cao Phong, tỉnh Hòa Bình( Nay là xã T</w:t>
            </w:r>
            <w:r>
              <w:rPr>
                <w:color w:val="000000"/>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rừng sản xuất</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31671</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25.000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791.775.000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791.775.000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791.800.000</w:t>
            </w:r>
            <w:r>
              <w:rPr>
                <w:b/>
                <w:bCs/>
                <w:color w:val="000000"/>
              </w:rPr>
            </w:r>
            <w:r>
              <w:rPr>
                <w:b/>
                <w:bCs/>
                <w:color w:val="000000"/>
              </w:rPr>
            </w:r>
          </w:p>
        </w:tc>
      </w:tr>
      <w:tr>
        <w:trPr>
          <w:trHeight w:val="386"/>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trăm chín mươi mốt triệu, tám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275/2025/1830/VFI-BC.53.A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22"/>
        <w:gridCol w:w="439"/>
        <w:gridCol w:w="6993"/>
      </w:tblGrid>
      <w:tr>
        <w:trPr>
          <w:trHeight w:val="20"/>
        </w:trPr>
        <w:tc>
          <w:tcPr>
            <w:tcBorders/>
            <w:tcMar>
              <w:left w:w="108" w:type="dxa"/>
              <w:top w:w="0" w:type="dxa"/>
              <w:right w:w="108" w:type="dxa"/>
              <w:bottom w:w="0" w:type="dxa"/>
            </w:tcMar>
            <w:tcW w:w="1922" w:type="dxa"/>
            <w:vAlign w:val="center"/>
            <w:textDirection w:val="lrTb"/>
            <w:noWrap w:val="false"/>
          </w:tcPr>
          <w:p w14:paraId="7BC3D79C">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39" w:type="dxa"/>
            <w:vAlign w:val="center"/>
            <w:textDirection w:val="lrTb"/>
            <w:noWrap w:val="false"/>
          </w:tcPr>
          <w:p w14:paraId="02BADA94">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6AA8A684">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b/>
                <w:color w:val="000000"/>
                <w:sz w:val="24"/>
              </w:rPr>
              <w:t xml:space="preserve">ÔNG TỪ QUANG HÀ</w:t>
            </w:r>
            <w:r/>
          </w:p>
        </w:tc>
      </w:tr>
      <w:tr>
        <w:trPr>
          <w:trHeight w:val="20"/>
        </w:trPr>
        <w:tc>
          <w:tcPr>
            <w:tcBorders/>
            <w:tcMar>
              <w:left w:w="108" w:type="dxa"/>
              <w:top w:w="0" w:type="dxa"/>
              <w:right w:w="108" w:type="dxa"/>
              <w:bottom w:w="0" w:type="dxa"/>
            </w:tcMar>
            <w:tcW w:w="1922" w:type="dxa"/>
            <w:vAlign w:val="center"/>
            <w:textDirection w:val="lrTb"/>
            <w:noWrap w:val="false"/>
          </w:tcPr>
          <w:p w14:paraId="64BA5601">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439" w:type="dxa"/>
            <w:vAlign w:val="center"/>
            <w:textDirection w:val="lrTb"/>
            <w:noWrap w:val="false"/>
          </w:tcPr>
          <w:p w14:paraId="39970E62">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68CE920F">
            <w:pPr>
              <w:pBdr>
                <w:top w:val="none" w:color="000000" w:sz="4" w:space="0"/>
                <w:left w:val="none" w:color="000000" w:sz="4" w:space="0"/>
                <w:bottom w:val="none" w:color="000000" w:sz="4" w:space="0"/>
                <w:right w:val="none" w:color="000000" w:sz="4" w:space="0"/>
              </w:pBdr>
              <w:spacing w:after="80" w:before="80"/>
              <w:ind w:right="0" w:firstLine="0" w:left="0"/>
              <w:rPr/>
            </w:pPr>
            <w:r>
              <w:rPr>
                <w:rFonts w:ascii="Times New Roman" w:hAnsi="Times New Roman" w:eastAsia="Times New Roman" w:cs="Times New Roman"/>
                <w:color w:val="000000"/>
                <w:sz w:val="24"/>
              </w:rPr>
              <w:t xml:space="preserve">040370819</w:t>
            </w:r>
            <w:r/>
          </w:p>
        </w:tc>
      </w:tr>
      <w:tr>
        <w:trPr>
          <w:trHeight w:val="20"/>
        </w:trPr>
        <w:tc>
          <w:tcPr>
            <w:tcBorders/>
            <w:tcMar>
              <w:left w:w="108" w:type="dxa"/>
              <w:top w:w="0" w:type="dxa"/>
              <w:right w:w="108" w:type="dxa"/>
              <w:bottom w:w="0" w:type="dxa"/>
            </w:tcMar>
            <w:tcW w:w="1922" w:type="dxa"/>
            <w:vAlign w:val="center"/>
            <w:textDirection w:val="lrTb"/>
            <w:noWrap w:val="false"/>
          </w:tcPr>
          <w:p w14:paraId="44BED892">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439" w:type="dxa"/>
            <w:vAlign w:val="center"/>
            <w:textDirection w:val="lrTb"/>
            <w:noWrap w:val="false"/>
          </w:tcPr>
          <w:p w14:paraId="24B15DD1">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3" w:type="dxa"/>
            <w:vAlign w:val="center"/>
            <w:textDirection w:val="lrTb"/>
            <w:noWrap w:val="false"/>
          </w:tcPr>
          <w:p w14:paraId="0BF1801D">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Khu 1, thị trấn Cao Phong, huyện Cao Phong, Tỉnh Hòa Bình</w:t>
            </w:r>
            <w:r/>
          </w:p>
        </w:tc>
      </w:tr>
    </w:tbl>
    <w:p w14:paraId="31E27EF3">
      <w:pPr>
        <w:pBdr/>
        <w:tabs>
          <w:tab w:val="left" w:leader="none" w:pos="284"/>
        </w:tabs>
        <w:spacing w:after="120" w:before="120" w:line="320" w:lineRule="atLeast"/>
        <w:ind/>
        <w:jc w:val="both"/>
        <w:rPr>
          <w:b/>
          <w:bCs/>
          <w:lang w:val="pt-BR"/>
        </w:rPr>
      </w:pPr>
      <w:r>
        <w:rPr>
          <w:b/>
          <w:bCs/>
          <w:highlight w:val="none"/>
          <w:lang w:val="pt-BR" w:bidi="pt-BR"/>
        </w:rPr>
      </w:r>
      <w:r>
        <w:rPr>
          <w:b/>
          <w:bCs/>
          <w:highlight w:val="none"/>
          <w:lang w:val="pt-BR"/>
        </w:rPr>
      </w:r>
      <w:r>
        <w:rPr>
          <w:b/>
          <w:bCs/>
          <w:lang w:val="pt-BR"/>
        </w:rPr>
      </w:r>
    </w:p>
    <w:tbl>
      <w:tblPr>
        <w:tblW w:w="9747" w:type="dxa"/>
        <w:tblBorders/>
        <w:tblLayout w:type="fixed"/>
        <w:tblLook w:val="04A0" w:firstRow="1" w:lastRow="0" w:firstColumn="1" w:lastColumn="0" w:noHBand="0" w:noVBand="1"/>
      </w:tblPr>
      <w:tblGrid>
        <w:gridCol w:w="2012"/>
        <w:gridCol w:w="425"/>
        <w:gridCol w:w="7309"/>
      </w:tblGrid>
      <w:tr>
        <w:trPr>
          <w:trHeight w:val="20"/>
        </w:trPr>
        <w:tc>
          <w:tcPr>
            <w:tcBorders/>
            <w:tcW w:w="2012"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425"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1775, tờ bản đồ số: 1 có địa chỉ: xóm Môn, xã Bắc Phong, huyện Cao Phong, tỉnh Hòa Bình( Nay là xã T</w:t>
            </w:r>
            <w:r>
              <w:rPr>
                <w:bCs/>
                <w:color w:val="000000" w:themeColor="text1"/>
                <w:lang w:val="pt-BR"/>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bCs/>
                <w:spacing w:val="2"/>
              </w:rPr>
              <w:t xml:space="preserve">.</w:t>
            </w:r>
            <w:r>
              <w:rPr>
                <w:b/>
                <w:bCs/>
                <w:spacing w:val="2"/>
                <w:lang w:val="vi-VN"/>
              </w:rPr>
            </w:r>
            <w:r>
              <w:rPr>
                <w:b/>
                <w:bCs/>
                <w:spacing w:val="2"/>
                <w:lang w:val="vi-VN"/>
              </w:rPr>
            </w:r>
          </w:p>
        </w:tc>
      </w:tr>
      <w:tr>
        <w:trPr>
          <w:trHeight w:val="20"/>
        </w:trPr>
        <w:tc>
          <w:tcPr>
            <w:tcBorders/>
            <w:tcW w:w="2012"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425"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012"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425"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012"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425"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012"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425"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Bắc Phong, Huyện Cao Phong, Tỉnh Hoà Bình</w:t>
            </w:r>
            <w:r>
              <w:rPr>
                <w:color w:val="ee0000"/>
                <w:lang w:val="pt-BR"/>
              </w:rPr>
            </w:r>
            <w:r>
              <w:rPr>
                <w:color w:val="ee0000"/>
                <w:lang w:val="pt-BR"/>
              </w:rPr>
            </w:r>
          </w:p>
        </w:tc>
      </w:tr>
      <w:tr>
        <w:trPr>
          <w:trHeight w:val="20"/>
        </w:trPr>
        <w:tc>
          <w:tcPr>
            <w:tcBorders/>
            <w:tcW w:w="2012"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425"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20.708888888889, 105.29016666667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012"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425"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BM 309798, số vào sổ cấp GCN: CH 00138 do Uỷ ban Nhân dân huyện Cao Phong cấp ngày 07/04/2015 cho Ông Từ Quang Hà (cập nhật ngày 26/11/2015)</w:t>
      </w:r>
      <w:r>
        <w:rPr>
          <w:bCs/>
          <w:spacing w:val="2"/>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275/2025/1830/VFI-HĐTĐ.53.A</w:t>
      </w:r>
      <w:r>
        <w:rPr>
          <w:color w:val="000000" w:themeColor="text1"/>
          <w:lang w:val="pt-BR"/>
        </w:rPr>
        <w:t xml:space="preserve"> ngày 16/12/2025 giữa Ông Từ Quang Hà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lang w:val="pt-BR"/>
        </w:rPr>
      </w:r>
      <w:r>
        <w:rPr>
          <w:b/>
          <w:bCs/>
          <w:highlight w:val="none"/>
          <w:lang w:val="pt-BR"/>
        </w:rPr>
      </w:r>
    </w:p>
    <w:p w14:paraId="19AAC8F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Tổng quan về tỉnh Hòa Bình</w:t>
      </w:r>
      <w:r/>
    </w:p>
    <w:p w14:paraId="1EB9F25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một tỉnh nằm ở vùng Tây Bắc Việt Nam, nổi bật với cảnh quan thiên nhiên hùng vĩ, nền văn hóa đa dạng và tiềm năng phát triển kinh tế vượt trội. Cùng khám phá tổng quan về Hòa Bình để hiểu rõ hơn về vị trí địa lý, điều kiện tự nhiên, cũng như các </w:t>
      </w:r>
      <w:r>
        <w:rPr>
          <w:rFonts w:ascii="Times New Roman" w:hAnsi="Times New Roman" w:eastAsia="Times New Roman" w:cs="Times New Roman"/>
          <w:color w:val="000000"/>
          <w:sz w:val="24"/>
        </w:rPr>
        <w:t xml:space="preserve">tiềm năng đầu tư đang mở ra tại đây.</w:t>
      </w:r>
      <w:r/>
    </w:p>
    <w:p w14:paraId="59026EB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Diện tích và dân số</w:t>
      </w:r>
      <w:r/>
    </w:p>
    <w:p w14:paraId="78E2D1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Tỉnh Hòa Bình có tổng diện tích khoảng 4.596,4 km2 và dân số năm 2022 là 854.131 người. Tỉnh bao gồm 10 đơn vị hành chính cấp huyện, 151 đơn vị hành chính cấp xã, trong đó có 131 xã, 10 phường và 10 thị trấn. (Nguồn: Cổng thông tin điện tử tỉnh Hòa Bình)</w:t>
      </w:r>
      <w:r/>
    </w:p>
    <w:p w14:paraId="4C5ECFD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Những khu vực phát triển nhất tại tỉnh Hòa Bình hiện nay là Thành phố Hòa Bình và Huyện Lương Sơn. Thành phố Hòa Bình là trung tâm hành chính, kinh tế và văn hóa của tỉnh, với sự phát triển mạnh mẽ về hạ tầng giao thông, bất động sản, cùng các dự án đô thị</w:t>
      </w:r>
      <w:r>
        <w:rPr>
          <w:rFonts w:ascii="Times New Roman" w:hAnsi="Times New Roman" w:eastAsia="Times New Roman" w:cs="Times New Roman"/>
          <w:color w:val="000000"/>
          <w:sz w:val="24"/>
        </w:rPr>
        <w:t xml:space="preserve"> và du lịch ven hồ Hòa Bình.</w:t>
      </w:r>
      <w:r/>
    </w:p>
    <w:p w14:paraId="65F229A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Huyện Lương Sơn cũng là một khu vực nổi bật, nhờ vào vị trí gần Hà Nội và có tốc độ đô thị hóa nhanh, đặc biệt là trong lĩnh vực bất động sản nghỉ dưỡng và khu công nghiệp. Khu vực này thu hút nhiều nhà đầu tư và các dự án phát triển nhà ở sinh thái, resor</w:t>
      </w:r>
      <w:r>
        <w:rPr>
          <w:rFonts w:ascii="Times New Roman" w:hAnsi="Times New Roman" w:eastAsia="Times New Roman" w:cs="Times New Roman"/>
          <w:color w:val="000000"/>
          <w:sz w:val="24"/>
        </w:rPr>
        <w:t xml:space="preserve">t, phục vụ nhu cầu nghỉ dưỡng cuối tuần của cư dân thành phố lớn.</w:t>
      </w:r>
      <w:r/>
    </w:p>
    <w:p w14:paraId="7ABC97A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Tiềm năng phát triển bất động sản tại Hòa Bình</w:t>
      </w:r>
      <w:r/>
    </w:p>
    <w:p w14:paraId="2BB74C6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giá bất động sản tại Hà Nội tăng cao, Hòa Bình trở thành điểm đến hấp dẫn cho các nhà đầu tư nhờ quỹ đất lớn, hạ tầng ngày càng hoàn thiện và tốc độ phát triển kinh tế nhanh chóng.</w:t>
      </w:r>
      <w:r/>
    </w:p>
    <w:p w14:paraId="4D23DA3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Bên cạnh đó, Hòa Bình còn có tiềm năng lớn để phát triển du lịch nghỉ dưỡng, với diện tích tự nhiên rộng lớn, khí hậu mát mẻ, và văn hóa đặc sắc của các dân tộc Mường, Thái. Các địa danh như hồ Hòa Bình, Thung Nai, và suối khoáng nóng Kim Bôi đang thu hút </w:t>
      </w:r>
      <w:r>
        <w:rPr>
          <w:rFonts w:ascii="Times New Roman" w:hAnsi="Times New Roman" w:eastAsia="Times New Roman" w:cs="Times New Roman"/>
          <w:color w:val="000000"/>
          <w:sz w:val="24"/>
        </w:rPr>
        <w:t xml:space="preserve">sự quan tâm của các chủ đầu tư với những dự án nghỉ dưỡng cao cấp và bất động sản well-being.</w:t>
      </w:r>
      <w:r/>
    </w:p>
    <w:p w14:paraId="047188C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cũng có hỗ trợ từ chính quyền địa phương với nhiều chính sách ưu đãi giúp các doanh nghiệp triển khai dự án dễ dàng hơn. Những yếu tố này hứa hẹn sẽ đưa Hòa Bình thành điểm đến đầu tư bất động sản tiềm năng trong tương lai gần.</w:t>
      </w:r>
      <w:r/>
    </w:p>
    <w:p w14:paraId="06985E9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Tầm quan trọng của thị trường đất nền tỉnh Hòa Bình đối với nền kinh tế và nhu cầu nhà ở</w:t>
      </w:r>
      <w:r/>
    </w:p>
    <w:p w14:paraId="1D475A3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tỉnh Hòa Bình không chỉ đóng vai trò quan trọng trong việc thúc đẩy kinh tế địa phương mà còn đáp ứng nhu cầu nhà ở ngày càng tăng của người dân, tạo cơ hội đầu tư tiềm năng cho nhiều nhà đầu tư bất động sản.</w:t>
      </w:r>
      <w:r/>
    </w:p>
    <w:p w14:paraId="768015DA">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Thúc đẩy kinh tế địa phương</w:t>
      </w:r>
      <w:r/>
    </w:p>
    <w:p w14:paraId="1520EFF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đóng vai trò chủ chốt trong việc thúc đẩy kinh tế tỉnh, góp phần tạo điều kiện cho sự phát triển của các dự án hạ tầng, công nghiệp và thương mại. Với vị trí liền kề Hà Nội và tiềm năng quỹ đất lớn, Hòa Bình đang thu hút sự </w:t>
      </w:r>
      <w:r>
        <w:rPr>
          <w:rFonts w:ascii="Times New Roman" w:hAnsi="Times New Roman" w:eastAsia="Times New Roman" w:cs="Times New Roman"/>
          <w:color w:val="000000"/>
          <w:sz w:val="24"/>
        </w:rPr>
        <w:t xml:space="preserve">quan tâm của các nhà đầu tư trong và ngoài nước, tạo ra động lực mạnh mẽ cho nhiều ngành kinh tế khác của tỉnh.</w:t>
      </w:r>
      <w:r/>
    </w:p>
    <w:p w14:paraId="0093ABC6">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điều kiện phát triển các ngành liên quan</w:t>
      </w:r>
      <w:r/>
    </w:p>
    <w:p w14:paraId="609BF6E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thị trường đất nền tăng trưởng, nhiều lĩnh vực khác như xây dựng, cung ứng vật liệu và tài chính cũng phát triển theo. Sự mở rộng của các dự án bất động sản ở Hòa Bình giúp nâng cao năng suất và doanh thu cho các ngành nghề phụ trợ.</w:t>
      </w:r>
      <w:r/>
    </w:p>
    <w:p w14:paraId="0876CFD0">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Giải quyết nhu cầu nhà ở</w:t>
      </w:r>
      <w:r/>
    </w:p>
    <w:p w14:paraId="145D9DF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Với tốc độ phát triển nhanh chóng và dân số ngày càng tăng, nhu cầu về nhà ở tại Hòa Bình cũng ngày càng lớn. Thị trường đất nền đóng vai trò quan trọng trong việc phát triển các dự án nhà ở, bao gồm cả nhà ở giá rẻ và trung bình, nhằm giải quyết nhu cầu n</w:t>
      </w:r>
      <w:r>
        <w:rPr>
          <w:rFonts w:ascii="Times New Roman" w:hAnsi="Times New Roman" w:eastAsia="Times New Roman" w:cs="Times New Roman"/>
          <w:color w:val="000000"/>
          <w:sz w:val="24"/>
        </w:rPr>
        <w:t xml:space="preserve">ày. Việc phát triển các khu dân cư mới cũng giúp cân bằng cung cầu và mang lại nhiều lựa chọn hơn cho người dân địa phương.</w:t>
      </w:r>
      <w:r/>
    </w:p>
    <w:p w14:paraId="404A53B8">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cơ hội việc làm và ổn định lao động</w:t>
      </w:r>
      <w:r/>
    </w:p>
    <w:p w14:paraId="05802FA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Sự phát triển của các dự án đất nền không chỉ mang lại lợi ích kinh tế mà còn tạo ra nhiều cơ hội việc làm trong các ngành như xây dựng, kỹ thuật và quản lý dự án. Việc này giúp cải thiện tình hình lao động tại địa phương, đồng thời đóng góp vào sự phát tr</w:t>
      </w:r>
      <w:r>
        <w:rPr>
          <w:rFonts w:ascii="Times New Roman" w:hAnsi="Times New Roman" w:eastAsia="Times New Roman" w:cs="Times New Roman"/>
          <w:color w:val="000000"/>
          <w:sz w:val="24"/>
        </w:rPr>
        <w:t xml:space="preserve">iển ổn định của tỉnh cả về kinh tế lẫn xã hội.</w:t>
      </w:r>
      <w:r/>
    </w:p>
    <w:p w14:paraId="1C23E0B3">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Tăng nguồn thu ngân sách</w:t>
      </w:r>
      <w:r/>
    </w:p>
    <w:p w14:paraId="6DB6B3E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cũng đóng góp một phần quan trọng vào nguồn thu ngân sách của tỉnh thông qua các loại thuế, phí từ giao dịch đất đai. Nguồn thu này cho phép chính quyền đầu tư vào hạ tầng, dịch vụ công cộng, và cải thiện môi trường sống cho</w:t>
      </w:r>
      <w:r>
        <w:rPr>
          <w:rFonts w:ascii="Times New Roman" w:hAnsi="Times New Roman" w:eastAsia="Times New Roman" w:cs="Times New Roman"/>
          <w:color w:val="000000"/>
          <w:sz w:val="24"/>
        </w:rPr>
        <w:t xml:space="preserve"> người dân.</w:t>
      </w:r>
      <w:r/>
    </w:p>
    <w:p w14:paraId="6B0ED13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 xml:space="preserve">(Nguồn:https://onehousing.vn/blog/tong-quan-tinh-hinh-thi-truong-dat-nen-hoa-binh-cap-nhat-moi-nhat-n17t)</w:t>
      </w:r>
      <w:r/>
    </w:p>
    <w:p w14:paraId="345CE323">
      <w:pPr>
        <w:pBdr/>
        <w:tabs>
          <w:tab w:val="left" w:leader="none" w:pos="993"/>
        </w:tabs>
        <w:spacing w:after="120" w:before="120" w:line="380" w:lineRule="atLeast"/>
        <w:ind/>
        <w:jc w:val="both"/>
        <w:rPr>
          <w:b/>
          <w:bCs/>
          <w:lang w:val="pt-BR"/>
        </w:rPr>
      </w:pPr>
      <w:r>
        <w:rPr>
          <w:b/>
          <w:bCs/>
          <w:highlight w:val="none"/>
          <w:lang w:val="pt-BR" w:bidi="pt-BR"/>
        </w:rPr>
      </w:r>
      <w:r>
        <w:rPr>
          <w:b/>
          <w:bCs/>
          <w:highlight w:val="none"/>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094"/>
        <w:gridCol w:w="1850"/>
        <w:gridCol w:w="2294"/>
        <w:gridCol w:w="2521"/>
      </w:tblGrid>
      <w:tr>
        <w:trPr>
          <w:trHeight w:val="1683"/>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3E5CD71">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5396517F">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1775,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309798, số vào sổ cấp GCN: CH 00138 do Uỷ ban Nhân dân huyện Cao Phong cấp ngày 45842 cho Ông Từ Quang Hà (cập nhật ngày 26/11/2015)</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1A109F5">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65CB4172">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859B8DE">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76A563D3">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2403C9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742571BA">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4BC38819">
            <w:pPr>
              <w:pBdr/>
              <w:spacing w:after="0" w:before="0" w:line="240" w:lineRule="auto"/>
              <w:ind/>
              <w:rPr/>
            </w:pPr>
            <w:r>
              <w:rPr>
                <w:rFonts w:ascii="Times New Roman" w:hAnsi="Times New Roman" w:eastAsia="Times New Roman" w:cs="Times New Roman"/>
                <w:color w:val="000000"/>
                <w:sz w:val="24"/>
              </w:rPr>
              <w:t xml:space="preserve">1775</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0F1E0124">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2F0D3495">
            <w:pPr>
              <w:pBdr/>
              <w:spacing w:after="0" w:before="0" w:line="240" w:lineRule="auto"/>
              <w:ind/>
              <w:rPr/>
            </w:pPr>
            <w:r>
              <w:rPr>
                <w:rFonts w:ascii="Times New Roman" w:hAnsi="Times New Roman" w:eastAsia="Times New Roman" w:cs="Times New Roman"/>
                <w:color w:val="000000"/>
                <w:sz w:val="24"/>
              </w:rPr>
              <w:t xml:space="preserve">1</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88F636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6F77E421">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14:paraId="14131773">
            <w:pPr>
              <w:pBdr/>
              <w:spacing w:after="0" w:before="0" w:line="240" w:lineRule="auto"/>
              <w:ind/>
              <w:rPr/>
            </w:pPr>
            <w:r>
              <w:rPr>
                <w:rFonts w:ascii="Times New Roman" w:hAnsi="Times New Roman" w:eastAsia="Times New Roman" w:cs="Times New Roman"/>
                <w:color w:val="000000"/>
                <w:sz w:val="24"/>
              </w:rPr>
              <w:t xml:space="preserve">xóm Môn, xã Bắc Phong, huyện Cao Phong, tỉnh Hòa Bình( Nay là xã Thung Nai,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EC98A7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6FD19D46">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77C5F541">
            <w:pPr>
              <w:pBdr/>
              <w:spacing w:after="0" w:before="0" w:line="240" w:lineRule="auto"/>
              <w:ind/>
              <w:rPr/>
            </w:pPr>
            <w:r>
              <w:rPr>
                <w:rFonts w:ascii="Times New Roman" w:hAnsi="Times New Roman" w:eastAsia="Times New Roman" w:cs="Times New Roman"/>
                <w:color w:val="000000"/>
                <w:sz w:val="24"/>
              </w:rPr>
              <w:t xml:space="preserve">                31.671,0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108D6CA5">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0D470744">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BE1412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3D31AAF9">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5B2DEEB9">
            <w:pPr>
              <w:pBdr/>
              <w:spacing w:after="0" w:before="0" w:line="240" w:lineRule="auto"/>
              <w:ind/>
              <w:rPr/>
            </w:pPr>
            <w:r>
              <w:rPr>
                <w:rFonts w:ascii="Times New Roman" w:hAnsi="Times New Roman" w:eastAsia="Times New Roman" w:cs="Times New Roman"/>
                <w:color w:val="000000"/>
                <w:sz w:val="24"/>
              </w:rPr>
              <w:t xml:space="preserve">Đất rừng sản xuất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58A0C38E">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63F04DBA">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10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9D9F9E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66EF89CA">
            <w:pPr>
              <w:pBdr/>
              <w:spacing w:after="0" w:before="0" w:line="240" w:lineRule="auto"/>
              <w:ind/>
              <w:rPr/>
            </w:pPr>
            <w:r>
              <w:rPr>
                <w:rFonts w:ascii="Times New Roman" w:hAnsi="Times New Roman" w:eastAsia="Times New Roman" w:cs="Times New Roman"/>
                <w:color w:val="000000"/>
                <w:sz w:val="24"/>
              </w:rPr>
              <w:t xml:space="preserve">Những thay đổi sau khi cấp GCN:</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5" w:type="dxa"/>
            <w:vAlign w:val="center"/>
            <w:textDirection w:val="lrTb"/>
            <w:noWrap w:val="false"/>
          </w:tcPr>
          <w:p w14:paraId="5A165878">
            <w:pPr>
              <w:pBdr/>
              <w:spacing w:after="0" w:before="0" w:line="240" w:lineRule="auto"/>
              <w:ind/>
              <w:rPr/>
            </w:pPr>
            <w:r>
              <w:rPr>
                <w:rFonts w:ascii="Times New Roman" w:hAnsi="Times New Roman" w:eastAsia="Times New Roman" w:cs="Times New Roman"/>
                <w:color w:val="000000"/>
                <w:sz w:val="24"/>
              </w:rPr>
              <w:t xml:space="preserve">26/11/2015, Chuyển nhượng QSD đất cho ông Từ Quang Hà, CMND số 040370819, địa chỉ: Khu 1, thị trấn Cao Phong, huyện Cao Phong, tỉnh Hòa Bình theo hồ sơ số 2020.</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35ECD6A">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2CF34882">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3633C20">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4A21691E">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282032D5">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bottom w:val="single" w:color="000000" w:sz="5" w:space="0"/>
              <w:right w:val="single" w:color="000000" w:sz="5" w:space="0"/>
            </w:tcBorders>
            <w:tcMar>
              <w:left w:w="0" w:type="dxa"/>
              <w:top w:w="0" w:type="dxa"/>
              <w:right w:w="0" w:type="dxa"/>
              <w:bottom w:w="0" w:type="dxa"/>
            </w:tcMar>
            <w:tcW w:w="8759" w:type="dxa"/>
            <w:vAlign w:val="center"/>
            <w:vMerge w:val="restart"/>
            <w:textDirection w:val="lrTb"/>
            <w:noWrap w:val="false"/>
          </w:tcPr>
          <w:p w14:paraId="5FE409D3">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4644360" cy="232345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46965" name=""/>
                              <pic:cNvPicPr>
                                <a:picLocks noChangeAspect="1"/>
                              </pic:cNvPicPr>
                              <pic:nvPr/>
                            </pic:nvPicPr>
                            <pic:blipFill rotWithShape="1">
                              <a:blip r:embed="rId15"/>
                              <a:stretch/>
                            </pic:blipFill>
                            <pic:spPr bwMode="auto">
                              <a:xfrm flipH="0" flipV="0">
                                <a:off x="0" y="0"/>
                                <a:ext cx="4644360" cy="2323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5.70pt;height:182.9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EB5451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6DD559D0">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5" w:type="dxa"/>
            <w:vAlign w:val="center"/>
            <w:textDirection w:val="lrTb"/>
            <w:noWrap w:val="false"/>
          </w:tcPr>
          <w:p w14:paraId="4881F187">
            <w:pPr>
              <w:pBdr/>
              <w:spacing w:after="0" w:before="0" w:line="240" w:lineRule="auto"/>
              <w:ind/>
              <w:rPr/>
            </w:pPr>
            <w:r>
              <w:rPr>
                <w:rFonts w:ascii="Times New Roman" w:hAnsi="Times New Roman" w:eastAsia="Times New Roman" w:cs="Times New Roman"/>
                <w:color w:val="000000"/>
                <w:sz w:val="24"/>
              </w:rPr>
              <w:t xml:space="preserve">xóm Môn, xã Bắc Phong, huyện Cao Phong, tỉnh Hòa Bình( Nay là xã Thung Nai, tỉnh Phú Thọ)</w:t>
            </w:r>
            <w:r/>
          </w:p>
        </w:tc>
      </w:tr>
      <w:tr>
        <w:trPr>
          <w:trHeight w:val="66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560786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425CD032">
            <w:pPr>
              <w:pBdr/>
              <w:spacing w:after="0" w:before="0" w:line="240" w:lineRule="auto"/>
              <w:ind/>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Đường tiếp giáp</w:t>
            </w:r>
            <w:r/>
          </w:p>
          <w:p w14:paraId="59CE76D8">
            <w:pPr>
              <w:pBdr/>
              <w:spacing w:after="0" w:before="0" w:line="240" w:lineRule="auto"/>
              <w:ind/>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14:paraId="5B96B969">
            <w:pPr>
              <w:pBdr/>
              <w:spacing w:after="0" w:before="0" w:line="240" w:lineRule="auto"/>
              <w:ind/>
              <w:rPr/>
            </w:pPr>
            <w:r>
              <w:rPr>
                <w:rFonts w:ascii="Times New Roman" w:hAnsi="Times New Roman" w:eastAsia="Times New Roman" w:cs="Times New Roman"/>
                <w:color w:val="000000"/>
                <w:sz w:val="24"/>
              </w:rPr>
              <w:t xml:space="preserve">Tài sản nằm cách đường QL6A khoảng 3km, cách nhà văn hóa xóm Chao khoảng 2km </w:t>
            </w:r>
            <w:r/>
          </w:p>
        </w:tc>
      </w:tr>
      <w:tr>
        <w:trPr>
          <w:trHeight w:val="28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069DA94C">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p>
        </w:tc>
        <w:tc>
          <w:tcPr>
            <w:tcBorders>
              <w:bottom w:val="single" w:color="000000" w:sz="5" w:space="0"/>
              <w:right w:val="single" w:color="000000" w:sz="5" w:space="0"/>
            </w:tcBorders>
            <w:tcMar>
              <w:left w:w="0" w:type="dxa"/>
              <w:top w:w="0" w:type="dxa"/>
              <w:right w:w="0" w:type="dxa"/>
              <w:bottom w:w="0" w:type="dxa"/>
            </w:tcMar>
            <w:tcW w:w="2094" w:type="dxa"/>
            <w:vAlign w:val="center"/>
            <w:vMerge w:val="restart"/>
            <w:textDirection w:val="lrTb"/>
            <w:noWrap w:val="false"/>
          </w:tcPr>
          <w:p w14:paraId="48716701">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Chiều rộng đường (m):</w:t>
            </w:r>
            <w:r>
              <w:rPr>
                <w:rFonts w:ascii="Times New Roman" w:hAnsi="Times New Roman" w:eastAsia="Times New Roman" w:cs="Times New Roman"/>
                <w:color w:val="000000"/>
                <w:sz w:val="24"/>
              </w:rPr>
            </w:r>
          </w:p>
        </w:tc>
        <w:tc>
          <w:tcPr>
            <w:gridSpan w:val="3"/>
            <w:tcBorders>
              <w:bottom w:val="single" w:color="000000" w:sz="5" w:space="0"/>
              <w:right w:val="single" w:color="000000" w:sz="5" w:space="0"/>
            </w:tcBorders>
            <w:tcMar>
              <w:left w:w="0" w:type="dxa"/>
              <w:top w:w="0" w:type="dxa"/>
              <w:right w:w="0" w:type="dxa"/>
              <w:bottom w:w="0" w:type="dxa"/>
            </w:tcMar>
            <w:tcW w:w="6665" w:type="dxa"/>
            <w:vAlign w:val="center"/>
            <w:vMerge w:val="restart"/>
            <w:textDirection w:val="lrTb"/>
            <w:noWrap w:val="false"/>
          </w:tcPr>
          <w:p w14:paraId="6717857D">
            <w:pPr>
              <w:pBdr/>
              <w:spacing w:after="0" w:before="0" w:line="240" w:lineRule="auto"/>
              <w:ind/>
              <w:jc w:val="lef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3m</w:t>
            </w:r>
            <w:r>
              <w:rPr>
                <w:rFonts w:ascii="Times New Roman" w:hAnsi="Times New Roman" w:eastAsia="Times New Roman" w:cs="Times New Roman"/>
                <w:color w:val="000000"/>
                <w:sz w:val="24"/>
              </w:rPr>
            </w:r>
          </w:p>
        </w:tc>
      </w:tr>
      <w:tr>
        <w:trPr>
          <w:trHeight w:val="613"/>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5E1FFBFA">
            <w:pPr>
              <w:pBdr/>
              <w:spacing w:after="0" w:before="0" w:line="240" w:lineRule="auto"/>
              <w:ind/>
              <w:jc w:val="center"/>
              <w:rPr/>
            </w:pPr>
            <w:r>
              <w:rPr>
                <w:rFonts w:ascii="Times New Roman" w:hAnsi="Times New Roman" w:eastAsia="Times New Roman" w:cs="Times New Roman"/>
                <w:b/>
                <w:color w:val="000000"/>
                <w:sz w:val="24"/>
              </w:rPr>
              <w:t xml:space="preserve">2.2.</w:t>
            </w:r>
            <w:r/>
            <w:r/>
          </w:p>
        </w:tc>
        <w:tc>
          <w:tcPr>
            <w:gridSpan w:val="4"/>
            <w:tcBorders>
              <w:bottom w:val="single" w:color="000000" w:sz="5" w:space="0"/>
              <w:right w:val="single" w:color="000000" w:sz="5" w:space="0"/>
            </w:tcBorders>
            <w:tcMar>
              <w:left w:w="0" w:type="dxa"/>
              <w:top w:w="0" w:type="dxa"/>
              <w:right w:w="0" w:type="dxa"/>
              <w:bottom w:w="0" w:type="dxa"/>
            </w:tcMar>
            <w:tcW w:w="8759" w:type="dxa"/>
            <w:vAlign w:val="center"/>
            <w:vMerge w:val="restart"/>
            <w:textDirection w:val="lrTb"/>
            <w:noWrap w:val="false"/>
          </w:tcPr>
          <w:p w14:paraId="7E2CF02A">
            <w:pPr>
              <w:pBdr/>
              <w:spacing w:after="0" w:before="0" w:line="240" w:lineRule="auto"/>
              <w:ind/>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p>
          <w:p w14:paraId="6F691B95">
            <w:pPr>
              <w:pBdr/>
              <w:tabs>
                <w:tab w:val="left" w:leader="none" w:pos="3404"/>
              </w:tabs>
              <w:spacing w:after="0" w:before="0" w:line="240" w:lineRule="auto"/>
              <w:ind/>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Diện tích; Kích thước; Hình dán</w:t>
            </w:r>
            <w:r/>
            <w:r>
              <w:rPr>
                <w:rFonts w:ascii="Times New Roman" w:hAnsi="Times New Roman" w:eastAsia="Times New Roman" w:cs="Times New Roman"/>
                <w:color w:val="000000"/>
                <w:sz w:val="24"/>
              </w:rPr>
            </w:r>
            <w:r>
              <w:rPr>
                <w:rFonts w:ascii="Times New Roman" w:hAnsi="Times New Roman" w:eastAsia="Times New Roman" w:cs="Times New Roman"/>
                <w:b/>
                <w:bCs/>
                <w:color w:val="000000"/>
                <w:sz w:val="24"/>
                <w:szCs w:val="24"/>
                <w:highlight w:val="none"/>
              </w:rPr>
              <w:t xml:space="preserve">g</w:t>
            </w:r>
            <w:r>
              <w:rPr>
                <w:rFonts w:ascii="Times New Roman" w:hAnsi="Times New Roman" w:eastAsia="Times New Roman" w:cs="Times New Roman"/>
                <w:b/>
                <w:bCs/>
                <w:color w:val="000000"/>
                <w:sz w:val="24"/>
                <w:szCs w:val="24"/>
                <w:highlight w:val="none"/>
              </w:rPr>
            </w:r>
          </w:p>
          <w:p w14:paraId="65A4EF97">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793"/>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BD2A42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2C7BC164">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55CC870D">
            <w:pPr>
              <w:pBdr/>
              <w:spacing w:after="0" w:before="0" w:line="240" w:lineRule="auto"/>
              <w:ind/>
              <w:rPr/>
            </w:pPr>
            <w:r>
              <w:rPr>
                <w:rFonts w:ascii="Times New Roman" w:hAnsi="Times New Roman" w:eastAsia="Times New Roman" w:cs="Times New Roman"/>
                <w:color w:val="000000"/>
                <w:sz w:val="24"/>
              </w:rPr>
              <w:t xml:space="preserve">31.671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43DF1B38">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6DCF977D">
            <w:pPr>
              <w:pBdr/>
              <w:spacing w:after="0" w:before="0" w:line="240" w:lineRule="auto"/>
              <w:ind/>
              <w:rPr/>
            </w:pPr>
            <w:r>
              <w:rPr>
                <w:rFonts w:ascii="Times New Roman" w:hAnsi="Times New Roman" w:eastAsia="Times New Roman" w:cs="Times New Roman"/>
                <w:color w:val="000000"/>
                <w:sz w:val="24"/>
              </w:rPr>
              <w:t xml:space="preserve">-/-</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0B310F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79FD39F8">
            <w:pPr>
              <w:pBdr/>
              <w:spacing w:after="0" w:before="0" w:line="240" w:lineRule="auto"/>
              <w:ind/>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5" w:type="dxa"/>
            <w:vAlign w:val="center"/>
            <w:textDirection w:val="lrTb"/>
            <w:noWrap w:val="false"/>
          </w:tcPr>
          <w:p w14:paraId="276977A9">
            <w:pPr>
              <w:pBdr/>
              <w:spacing w:after="0" w:before="0" w:line="240" w:lineRule="auto"/>
              <w:ind/>
              <w:rPr/>
            </w:pPr>
            <w:r>
              <w:rPr>
                <w:rFonts w:ascii="Times New Roman" w:hAnsi="Times New Roman" w:eastAsia="Times New Roman" w:cs="Times New Roman"/>
                <w:color w:val="000000"/>
                <w:sz w:val="24"/>
              </w:rPr>
              <w:t xml:space="preserve">Đa giác vuông vức</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A12C11D">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7F8DE5C6">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CC1649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68D20295">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14:paraId="58D6B3F5">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BB83CA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25BE047A">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14:paraId="5F2D0D0B">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0057AE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7EBD8AEC">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220F752E">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21C10AA4">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542F23B9">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5A685F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4" w:type="dxa"/>
            <w:vAlign w:val="center"/>
            <w:textDirection w:val="lrTb"/>
            <w:noWrap w:val="false"/>
          </w:tcPr>
          <w:p w14:paraId="1FE3F550">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35793FB3">
            <w:pPr>
              <w:pBdr/>
              <w:spacing w:after="0" w:before="0" w:line="240" w:lineRule="auto"/>
              <w:ind/>
              <w:rPr/>
            </w:pPr>
            <w:r>
              <w:rPr>
                <w:rFonts w:ascii="Times New Roman" w:hAnsi="Times New Roman" w:eastAsia="Times New Roman" w:cs="Times New Roman"/>
                <w:color w:val="000000"/>
                <w:sz w:val="24"/>
              </w:rPr>
              <w:t xml:space="preserve">Kém</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1774F626">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33B7A28E">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B6563E3">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textDirection w:val="lrTb"/>
            <w:noWrap w:val="false"/>
          </w:tcPr>
          <w:p w14:paraId="1AD17761">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41A52232">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b/>
                <w:color w:val="000000"/>
                <w:sz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59" w:type="dxa"/>
            <w:vAlign w:val="center"/>
            <w:vMerge w:val="restart"/>
            <w:textDirection w:val="lrTb"/>
            <w:noWrap w:val="false"/>
          </w:tcPr>
          <w:p w14:paraId="60604097">
            <w:pPr>
              <w:pBdr/>
              <w:spacing w:after="0" w:before="0" w:line="240" w:lineRule="auto"/>
              <w:ind/>
              <w:rPr>
                <w:rFonts w:ascii="Times New Roman" w:hAnsi="Times New Roman" w:eastAsia="Times New Roman" w:cs="Times New Roman"/>
                <w:b/>
                <w:color w:val="000000"/>
                <w:sz w:val="24"/>
              </w:rPr>
            </w:pPr>
            <w:r>
              <w:rPr>
                <w:rFonts w:ascii="Times New Roman" w:hAnsi="Times New Roman" w:eastAsia="Times New Roman" w:cs="Times New Roman"/>
                <w:b w:val="0"/>
                <w:bCs w:val="0"/>
                <w:color w:val="000000"/>
                <w:sz w:val="24"/>
              </w:rPr>
              <w:t xml:space="preserve">Nh</w:t>
            </w:r>
            <w:r>
              <w:rPr>
                <w:rFonts w:ascii="Times New Roman" w:hAnsi="Times New Roman" w:eastAsia="Times New Roman" w:cs="Times New Roman"/>
                <w:b w:val="0"/>
                <w:bCs w:val="0"/>
                <w:color w:val="000000"/>
                <w:sz w:val="24"/>
              </w:rPr>
              <w:t xml:space="preserve">à</w:t>
            </w:r>
            <w:r>
              <w:rPr>
                <w:rFonts w:ascii="Times New Roman" w:hAnsi="Times New Roman" w:eastAsia="Times New Roman" w:cs="Times New Roman"/>
                <w:b w:val="0"/>
                <w:bCs w:val="0"/>
                <w:color w:val="000000"/>
                <w:sz w:val="24"/>
              </w:rPr>
              <w:t xml:space="preserve"> sàn kết cấu khung cột bê tông, mái ngói, sàn gỗ</w:t>
            </w:r>
            <w:r>
              <w:rPr>
                <w:rFonts w:ascii="Times New Roman" w:hAnsi="Times New Roman" w:eastAsia="Times New Roman" w:cs="Times New Roman"/>
                <w:b/>
                <w:color w:val="000000"/>
                <w:sz w:val="24"/>
              </w:rPr>
            </w:r>
          </w:p>
        </w:tc>
      </w:tr>
    </w:tbl>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692"/>
        <w:gridCol w:w="50"/>
        <w:gridCol w:w="1742"/>
        <w:gridCol w:w="50"/>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gridSpan w:val="3"/>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Bắc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Đông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https://alonhadat.com.vn/1-x-ti-lo-dat-rsx-rong-5ha-view-ruong-bac-thang-cuc-hiem-tai-cao-phong-10930886.html</w:t>
            </w:r>
            <w:r>
              <w:rPr>
                <w:sz w:val="22"/>
                <w:szCs w:val="22"/>
              </w:rPr>
            </w:r>
            <w:r>
              <w:rPr>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https://alonhadat.com.vn/sieu-pham-nghi-duong-bam-thac-nuoc-cuc-hiem-view-thi-tran-cao-phong-10903541.html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sale Hùng</w:t>
            </w:r>
            <w:r>
              <w:rPr>
                <w:sz w:val="22"/>
                <w:szCs w:val="22"/>
              </w:rPr>
              <w:t xml:space="preserve"> </w:t>
            </w:r>
            <w:r>
              <w:rPr>
                <w:sz w:val="22"/>
                <w:szCs w:val="22"/>
              </w:rPr>
              <w:br/>
              <w:t xml:space="preserve">(</w:t>
            </w:r>
            <w:r>
              <w:rPr>
                <w:sz w:val="22"/>
                <w:szCs w:val="22"/>
              </w:rPr>
              <w:t xml:space="preserve">0866983238</w:t>
            </w:r>
            <w:r>
              <w:rPr>
                <w:sz w:val="22"/>
                <w:szCs w:val="22"/>
              </w:rPr>
              <w:t xml:space="preserve">)</w:t>
            </w:r>
            <w:r>
              <w:rPr>
                <w:sz w:val="22"/>
                <w:szCs w:val="22"/>
              </w:rPr>
            </w:r>
            <w:r>
              <w:rPr>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sale Hùng</w:t>
            </w:r>
            <w:r>
              <w:rPr>
                <w:sz w:val="22"/>
                <w:szCs w:val="22"/>
              </w:rPr>
              <w:br/>
            </w:r>
            <w:r>
              <w:rPr>
                <w:sz w:val="22"/>
                <w:szCs w:val="22"/>
              </w:rP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sale  Huệ</w:t>
            </w:r>
            <w:r>
              <w:rPr>
                <w:sz w:val="22"/>
                <w:szCs w:val="22"/>
              </w:rPr>
              <w:br/>
            </w:r>
            <w:r>
              <w:rPr>
                <w:sz w:val="22"/>
                <w:szCs w:val="22"/>
              </w:rPr>
              <w:t xml:space="preserve">(</w:t>
            </w:r>
            <w:r>
              <w:rPr>
                <w:sz w:val="22"/>
                <w:szCs w:val="22"/>
              </w:rPr>
              <w:t xml:space="preserve">0968729955</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2C5575E">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726B8BC">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DCA7F8">
            <w:pPr>
              <w:pBdr/>
              <w:spacing/>
              <w:ind/>
              <w:jc w:val="center"/>
              <w:rPr>
                <w:color w:val="000000" w:themeColor="text1"/>
                <w:sz w:val="22"/>
                <w:szCs w:val="22"/>
              </w:rPr>
            </w:pPr>
            <w:r>
              <w:rPr>
                <w:color w:val="000000" w:themeColor="text1"/>
                <w:sz w:val="22"/>
                <w:szCs w:val="22"/>
              </w:rPr>
              <w:t xml:space="preserve">Có thời hạn (đến 04/11</w:t>
            </w:r>
            <w:r>
              <w:rPr>
                <w:color w:val="000000" w:themeColor="text1"/>
                <w:sz w:val="22"/>
                <w:szCs w:val="22"/>
              </w:rPr>
              <w:t xml:space="preserve">/2047)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31/12/2063)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Bắc Phong, Huyện Cao Phong, Tỉnh Hoà Bình, khoảng cách ra đường chính Cách nhà văn hóa xóm Chao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CB4DE68">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E273B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205CF59">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676EC5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76EC5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676EC56">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E33FB2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E33FB2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E33FB2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31671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47900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633.42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267.6</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139.66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314FF65">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14FF65">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314FF65">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F44C3FA">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F44C3FA">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F44C3FA">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gridSpan w:val="3"/>
            <w:shd w:val="clear" w:color="000000" w:fill="ffffff"/>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E350A6">
            <w:pPr>
              <w:pBdr/>
              <w:spacing/>
              <w:ind/>
              <w:rPr/>
            </w:pPr>
            <w:r>
              <w:rPr>
                <w:color w:val="000000" w:themeColor="text1"/>
                <w:sz w:val="22"/>
                <w:szCs w:val="22"/>
              </w:rPr>
              <w:t xml:space="preserve">Tương đồng</w:t>
            </w:r>
            <w:r>
              <w:rPr>
                <w:color w:val="000000"/>
                <w:sz w:val="22"/>
                <w:szCs w:val="22"/>
              </w:rPr>
            </w: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23B2C3">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54411E">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92946B">
            <w:pPr>
              <w:pBdr/>
              <w:spacing/>
              <w:ind/>
              <w:rPr/>
            </w:pPr>
            <w:r>
              <w:rPr>
                <w:color w:val="000000" w:themeColor="text1"/>
                <w:sz w:val="22"/>
                <w:szCs w:val="22"/>
              </w:rPr>
              <w:t xml:space="preserve">Tương đồng</w:t>
            </w:r>
            <w:r>
              <w:rPr>
                <w:color w:val="000000"/>
                <w:sz w:val="22"/>
                <w:szCs w:val="22"/>
              </w:rPr>
            </w: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687F64">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EEBB06">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B7DC7D">
            <w:pPr>
              <w:pBdr/>
              <w:spacing/>
              <w:ind/>
              <w:rPr/>
            </w:pPr>
            <w:r>
              <w:rPr>
                <w:color w:val="000000" w:themeColor="text1"/>
                <w:sz w:val="22"/>
                <w:szCs w:val="22"/>
              </w:rPr>
              <w:t xml:space="preserve">Tương đồng</w:t>
            </w:r>
            <w:r>
              <w:rPr>
                <w:color w:val="000000"/>
                <w:sz w:val="22"/>
                <w:szCs w:val="22"/>
              </w:rPr>
            </w: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7E4171">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CDB60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0CA91C">
            <w:pPr>
              <w:pBdr/>
              <w:spacing/>
              <w:ind/>
              <w:rPr/>
            </w:pPr>
            <w:r>
              <w:t xml:space="preserve">    </w:t>
            </w: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FC25AC">
            <w:pPr>
              <w:pBdr/>
              <w:spacing/>
              <w:ind/>
              <w:rPr/>
            </w:pPr>
            <w:r>
              <w:rPr>
                <w:color w:val="000000" w:themeColor="text1"/>
                <w:sz w:val="22"/>
                <w:szCs w:val="22"/>
              </w:rPr>
            </w:r>
            <w:r>
              <w:t xml:space="preserve">    </w:t>
            </w:r>
            <w:r>
              <w:rPr>
                <w:color w:val="000000" w:themeColor="text1"/>
                <w:sz w:val="22"/>
                <w:szCs w:val="22"/>
              </w:rPr>
              <w:t xml:space="preserve">Lợi thế hơn</w:t>
            </w:r>
            <w:r>
              <w:rPr>
                <w:color w:val="000000" w:themeColor="text1"/>
                <w:sz w:val="22"/>
                <w:szCs w:val="22"/>
              </w:rPr>
            </w: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t xml:space="preserve"> </w:t>
            </w: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gridSpan w:val="2"/>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CB7B9A">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081E646">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2FDD097">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9A97D28">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0CD1DC">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D43719">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CB7B9A">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081E646">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2FDD097">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9A97D28">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0CD1DC">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D43719">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CB7B9A">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081E646">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2FDD097">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9A97D28">
            <w:pPr>
              <w:pBdr/>
              <w:spacing/>
              <w:ind/>
              <w:rPr/>
            </w:pPr>
            <w:r>
              <w:rPr>
                <w:color w:val="000000" w:themeColor="text1"/>
                <w:sz w:val="22"/>
                <w:szCs w:val="22"/>
              </w:rPr>
              <w:t xml:space="preserve">Tương đồng</w:t>
            </w: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0CD1DC">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D43719">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gridSpan w:val="3"/>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1.638.180.000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467.500.000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rừng sản xuất</w:t>
            </w:r>
            <w:r>
              <w:rPr>
                <w:color w:val="000000" w:themeColor="text1"/>
                <w:sz w:val="22"/>
                <w:szCs w:val="22"/>
              </w:rPr>
              <w:t xml:space="preserve">(đến 04/11/2047, 22 năm)</w:t>
            </w: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 – Có thời hạn (đến 31/12/2063, 38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Bắc Phong, Huyện Cao Phong, Tỉnh Hoà Bình, khoảng cách ra đường chính Cách nhà văn hóa xóm Chao khoảng 2000m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600m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600m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39.330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39.330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70.717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65.574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498EF0">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1BC25EC1">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B8CD508">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65.574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696092">
            <w:pPr>
              <w:pBdr/>
              <w:spacing/>
              <w:ind/>
              <w:jc w:val="center"/>
              <w:rPr/>
            </w:pPr>
            <w:r/>
            <w:r>
              <w:rPr>
                <w:color w:val="000000" w:themeColor="text1"/>
                <w:sz w:val="22"/>
                <w:szCs w:val="22"/>
              </w:rPr>
              <w:t xml:space="preserve">Tốt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4074231">
            <w:pPr>
              <w:pBdr/>
              <w:spacing/>
              <w:ind/>
              <w:jc w:val="center"/>
              <w:rPr/>
            </w:pPr>
            <w:r/>
            <w:r>
              <w:rPr>
                <w:color w:val="000000" w:themeColor="text1"/>
                <w:sz w:val="22"/>
                <w:szCs w:val="22"/>
              </w:rPr>
              <w:t xml:space="preserve">Tốt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79EF1C6D">
            <w:pPr>
              <w:pBdr/>
              <w:spacing/>
              <w:ind/>
              <w:jc w:val="center"/>
              <w:rPr/>
            </w:pPr>
            <w:r/>
            <w:r>
              <w:rPr>
                <w:color w:val="000000" w:themeColor="text1"/>
                <w:sz w:val="22"/>
                <w:szCs w:val="22"/>
              </w:rPr>
              <w:t xml:space="preserve">Tốt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65.574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31671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-12.858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37.620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44.880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52.716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sz w:val="22"/>
                <w:szCs w:val="22"/>
              </w:rPr>
              <w:t xml:space="preserve">225,7</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49.502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633.42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139.66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-6.336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-17.358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33.264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-9.643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27.360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22.501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27.360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25.344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22.501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25.068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-10.24%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23.940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43.296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54.645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10%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5% - 27%%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6.840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27.456</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41.787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-10.24</w:t>
      </w:r>
      <w:r>
        <w:t xml:space="preserve">% đến</w:t>
      </w:r>
      <w:r>
        <w:t xml:space="preserve"> </w:t>
      </w:r>
      <w:r>
        <w:t xml:space="preserve"> </w:t>
      </w:r>
      <w:r>
        <w:t xml:space="preserve">9.14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27.360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9.122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25.344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8.447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22.501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7.500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25.069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25.000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rPr>
        <w:t xml:space="preserve">25.00</w:t>
      </w:r>
      <w:r>
        <w:rPr>
          <w:b/>
          <w:bCs/>
          <w:color w:val="000000" w:themeColor="text1"/>
          <w:lang w:val="vi-VN"/>
        </w:rPr>
        <w:t xml:space="preserve">0</w:t>
      </w:r>
      <w:r>
        <w:rPr>
          <w:b/>
          <w:bCs/>
          <w:color w:val="000000" w:themeColor="text1"/>
        </w:rPr>
        <w:t xml:space="preserve"> </w:t>
      </w:r>
      <w:r>
        <w:rPr>
          <w:b/>
          <w:bCs/>
        </w:rPr>
        <w:t xml:space="preserve">đồng/m².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1775, tờ bản đồ số: 1 có địa chỉ: xóm Môn, xã Bắc Phong, huyện Cao Phong, tỉnh Hòa Bình( Nay là xã T</w:t>
            </w:r>
            <w:r>
              <w:rPr>
                <w:color w:val="000000"/>
              </w:rPr>
              <w:t xml:space="preserve">hung Nai, tỉnh Phú Thọ) theo Giấy chứng nhận quyền sử dụng đất, quyền sở hữu nhà ở và tài sản khác gắn liền với đất  số: BM 309798, số vào sổ cấp GCN: CH 00138 do Uỷ ban Nhân dân huyện Cao Phong cấp ngày 45842 cho Ông Từ Quang Hà (cập nhật ngày 26/11/2015)</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rừng sản xuất</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31671</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25.000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791.775.000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791.775.000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791.800.000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trăm chín mươi mốt triệu tám trăm nghìn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275/2025/1830/VFI-CT.53.A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275/2025/1830/VFI-BC.53.A</w:t>
      </w:r>
      <w:r>
        <w:rPr>
          <w:i/>
          <w:lang w:val="pt-BR"/>
        </w:rPr>
        <w:t xml:space="preserve"> ngày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283797712" name="" descr=""/>
                              <pic:cNvPicPr/>
                              <pic:nvPr/>
                            </pic:nvPicPr>
                            <pic:blipFill rotWithShape="1">
                              <a:blip r:embed="rId16"/>
                              <a:stretch/>
                            </pic:blipFill>
                            <pic:spPr bwMode="auto">
                              <a:xfrm rot="0" flipH="0" flipV="0">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1887" cy="20414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88296" name=""/>
                              <pic:cNvPicPr>
                                <a:picLocks noChangeAspect="1"/>
                              </pic:cNvPicPr>
                              <pic:nvPr/>
                            </pic:nvPicPr>
                            <pic:blipFill rotWithShape="1">
                              <a:blip r:embed="rId17"/>
                              <a:stretch/>
                            </pic:blipFill>
                            <pic:spPr bwMode="auto">
                              <a:xfrm flipH="0" flipV="0">
                                <a:off x="0" y="0"/>
                                <a:ext cx="2721886" cy="20414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4.32pt;height:160.74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1695" cy="20412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7803" name=""/>
                              <pic:cNvPicPr>
                                <a:picLocks noChangeAspect="1"/>
                              </pic:cNvPicPr>
                              <pic:nvPr/>
                            </pic:nvPicPr>
                            <pic:blipFill rotWithShape="1">
                              <a:blip r:embed="rId19"/>
                              <a:stretch/>
                            </pic:blipFill>
                            <pic:spPr bwMode="auto">
                              <a:xfrm flipH="0" flipV="0">
                                <a:off x="0" y="0"/>
                                <a:ext cx="2721694" cy="2041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31pt;height:160.7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2148" cy="187661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23409" name=""/>
                              <pic:cNvPicPr>
                                <a:picLocks noChangeAspect="1"/>
                              </pic:cNvPicPr>
                              <pic:nvPr/>
                            </pic:nvPicPr>
                            <pic:blipFill rotWithShape="1">
                              <a:blip r:embed="rId20"/>
                              <a:stretch/>
                            </pic:blipFill>
                            <pic:spPr bwMode="auto">
                              <a:xfrm flipH="0" flipV="0">
                                <a:off x="0" y="0"/>
                                <a:ext cx="2502148" cy="18766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7.02pt;height:147.7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275/2025/1830/VFI-BC.53.A</w:t>
      </w:r>
      <w:r>
        <w:rPr>
          <w:i/>
          <w:lang w:val="pt-BR"/>
        </w:rPr>
        <w:t xml:space="preserve"> ngày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https://alonhadat.com.vn/1-x-ti-lo-dat-rsx-rong-5ha-view-ruong-bac-thang-cuc-hiem-tai-cao-phong-10930886.html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1.820.200.000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1.638.180.000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rừng sản xuất (47900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47900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23859" cy="139119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flipH="0" flipV="0">
                                <a:off x="0" y="0"/>
                                <a:ext cx="3923858" cy="13911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8.97pt;height:109.54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81059" cy="156264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4381058" cy="15626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4.97pt;height:123.04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https://alonhadat.com.vn/sieu-pham-nghi-duong-bam-thac-nuoc-cuc-hiem-view-thi-tran-cao-phong-10903541.html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rừng sản xuất (25000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A95F5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29F16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2AB260">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2A9EBC">
            <w:pPr>
              <w:pBdr/>
              <w:spacing w:line="276" w:lineRule="auto"/>
              <w:ind/>
              <w:jc w:val="center"/>
              <w:rPr>
                <w:sz w:val="22"/>
                <w:szCs w:val="22"/>
              </w:rPr>
            </w:pPr>
            <w:r>
              <w:rPr>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977208" cy="1924590"/>
                      <wp:effectExtent l="0" t="0" r="0" b="0"/>
                      <wp:docPr id="14" name=""/>
                      <wp:cNvGraphicFramePr/>
                      <a:graphic xmlns:a="http://schemas.openxmlformats.org/drawingml/2006/main">
                        <a:graphicData uri="http://schemas.openxmlformats.org/drawingml/2006/picture">
                          <pic:pic xmlns:pic="http://schemas.openxmlformats.org/drawingml/2006/picture">
                            <pic:nvPicPr>
                              <pic:cNvPr id="746256492" name="" descr=""/>
                              <pic:cNvPicPr/>
                              <pic:nvPr/>
                            </pic:nvPicPr>
                            <pic:blipFill rotWithShape="1">
                              <a:blip r:embed="rId23"/>
                              <a:stretch/>
                            </pic:blipFill>
                            <pic:spPr bwMode="auto">
                              <a:xfrm flipH="0" flipV="0">
                                <a:off x="0" y="0"/>
                                <a:ext cx="4977207" cy="1924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1.91pt;height:151.54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01953" cy="16980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42823325" name="" descr=""/>
                              <pic:cNvPicPr/>
                              <pic:nvPr/>
                            </pic:nvPicPr>
                            <pic:blipFill rotWithShape="1">
                              <a:blip r:embed="rId24"/>
                              <a:stretch/>
                            </pic:blipFill>
                            <pic:spPr bwMode="auto">
                              <a:xfrm flipH="0" flipV="0">
                                <a:off x="0" y="0"/>
                                <a:ext cx="5201952" cy="1698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9.60pt;height:133.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Huệ</w:t>
            </w:r>
            <w:r>
              <w:rPr>
                <w:sz w:val="22"/>
                <w:szCs w:val="22"/>
              </w:rPr>
              <w:t xml:space="preserve"> </w:t>
            </w:r>
            <w:r>
              <w:rPr>
                <w:sz w:val="22"/>
                <w:szCs w:val="22"/>
              </w:rPr>
              <w:br/>
              <w:t xml:space="preserve">(0968729955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467.500.000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rừng sản xuất (7272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rừng sản xuất – Có thời hạn (đến 31/12/2063, 38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92.4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A95F5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29F16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2AB260">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2A9EBC">
            <w:pPr>
              <w:pBdr/>
              <w:spacing w:line="276" w:lineRule="auto"/>
              <w:ind/>
              <w:jc w:val="center"/>
              <w:rPr>
                <w:sz w:val="22"/>
                <w:szCs w:val="22"/>
              </w:rPr>
            </w:pPr>
            <w:r>
              <w:rPr>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96224" cy="21246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03756936" name="" descr=""/>
                              <pic:cNvPicPr/>
                              <pic:nvPr/>
                            </pic:nvPicPr>
                            <pic:blipFill rotWithShape="1">
                              <a:blip r:embed="rId25"/>
                              <a:stretch/>
                            </pic:blipFill>
                            <pic:spPr bwMode="auto">
                              <a:xfrm flipH="0" flipV="0">
                                <a:off x="0" y="0"/>
                                <a:ext cx="3396223" cy="21246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7.42pt;height:167.2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726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917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08.4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32C680BB">
            <w:pPr>
              <w:pBdr/>
              <w:spacing/>
              <w:ind/>
              <w:jc w:val="center"/>
              <w:rPr/>
            </w:pPr>
            <w:r>
              <w:rPr>
                <w:highlight w:val="none"/>
              </w:rPr>
            </w:r>
            <w:r>
              <w:rPr>
                <w:highlight w:val="none"/>
              </w:rPr>
            </w:r>
            <w:r/>
          </w:p>
          <w:p w14:paraId="3D6D023B">
            <w:pPr>
              <w:pBdr/>
              <w:spacing/>
              <w:ind/>
              <w:jc w:val="center"/>
              <w:rPr>
                <w:highlight w:val="none"/>
              </w:rPr>
            </w:pPr>
            <w:r>
              <w:rPr>
                <w:highlight w:val="none"/>
              </w:rPr>
            </w:r>
            <w:r>
              <w:rPr>
                <w:highlight w:val="none"/>
              </w:rPr>
            </w:r>
            <w:r>
              <w:rPr>
                <w:highlight w:val="none"/>
              </w:rPr>
            </w:r>
          </w:p>
          <w:p w14:paraId="657856D5">
            <w:pPr>
              <w:pBdr/>
              <w:spacing/>
              <w:ind/>
              <w:jc w:val="center"/>
              <w:rPr>
                <w:highlight w:val="none"/>
              </w:rPr>
            </w:pPr>
            <w:r>
              <w:rPr>
                <w:highlight w:val="none"/>
              </w:rPr>
            </w:r>
            <w:r>
              <w:rPr>
                <w:highlight w:val="none"/>
              </w:rPr>
            </w:r>
            <w:r>
              <w:rPr>
                <w:highlight w:val="none"/>
              </w:rPr>
            </w:r>
          </w:p>
          <w:p w14:paraId="077A9BBE">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270</cp:revision>
  <dcterms:created xsi:type="dcterms:W3CDTF">2025-09-15T09:58:00Z</dcterms:created>
  <dcterms:modified xsi:type="dcterms:W3CDTF">2025-12-29T07:38:00Z</dcterms:modified>
</cp:coreProperties>
</file>