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left"/>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3E2C0CCA" w14:textId="3AF37AD9">
      <w:pPr>
        <w:pBdr/>
        <w:spacing/>
        <w:ind w:right="-1"/>
        <w:jc w:val="left"/>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rFonts w:ascii="Times New Roman" w:hAnsi="Times New Roman" w:eastAsia="Times New Roman" w:cs="Times New Roman"/>
                                <w:color w:val="000000" w:themeColor="text1"/>
                                <w:spacing w:val="3"/>
                                <w:sz w:val="24"/>
                                <w:highlight w:val="white"/>
                              </w:rPr>
                              <w:t xml:space="preserve">275/2025/1830/VFI-CT.53.A</w:t>
                            </w:r>
                            <w:r>
                              <w:rPr>
                                <w:b/>
                                <w:color w:val="000000" w:themeColor="text1"/>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TỪ QUANG HÀ </w:t>
                            </w:r>
                            <w:r>
                              <w:rPr>
                                <w:rFonts w:ascii="Times New Roman Bold" w:hAnsi="Times New Roman Bold"/>
                                <w:b/>
                                <w:lang w:val="pt-BR"/>
                              </w:rPr>
                            </w:r>
                            <w:r>
                              <w:rPr>
                                <w:rFonts w:ascii="Times New Roman Bold" w:hAnsi="Times New Roman Bold"/>
                                <w:b/>
                                <w:lang w:val="pt-BR"/>
                              </w:rPr>
                            </w:r>
                          </w:p>
                          <w:p w14:paraId="1CD29B0B">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p>
                          <w:p w14:paraId="2EA4BC0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ab/>
                              <w:tab/>
                              <w:tab/>
                              <w:t xml:space="preserve">.</w:t>
                            </w:r>
                            <w:r/>
                          </w:p>
                          <w:p w14:paraId="18430054">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rFonts w:ascii="Times New Roman" w:hAnsi="Times New Roman" w:eastAsia="Times New Roman" w:cs="Times New Roman"/>
                          <w:color w:val="000000" w:themeColor="text1"/>
                          <w:spacing w:val="3"/>
                          <w:sz w:val="24"/>
                          <w:highlight w:val="white"/>
                        </w:rPr>
                        <w:t xml:space="preserve">275/2025/1830/VFI-CT.53.A</w:t>
                      </w:r>
                      <w:r>
                        <w:rPr>
                          <w:b/>
                          <w:color w:val="000000" w:themeColor="text1"/>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TỪ QUANG HÀ </w:t>
                      </w:r>
                      <w:r>
                        <w:rPr>
                          <w:rFonts w:ascii="Times New Roman Bold" w:hAnsi="Times New Roman Bold"/>
                          <w:b/>
                          <w:lang w:val="pt-BR"/>
                        </w:rPr>
                      </w:r>
                      <w:r>
                        <w:rPr>
                          <w:rFonts w:ascii="Times New Roman Bold" w:hAnsi="Times New Roman Bold"/>
                          <w:b/>
                          <w:lang w:val="pt-BR"/>
                        </w:rPr>
                      </w:r>
                    </w:p>
                    <w:p w14:paraId="1CD29B0B">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p>
                    <w:p w14:paraId="2EA4BC02">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ab/>
                        <w:tab/>
                        <w:tab/>
                        <w:t xml:space="preserve">.</w:t>
                      </w:r>
                      <w:r/>
                    </w:p>
                    <w:p w14:paraId="18430054">
                      <w:pPr>
                        <w:pBdr/>
                        <w:spacing w:after="120" w:before="120" w:line="360" w:lineRule="auto"/>
                        <w:ind/>
                        <w:jc w:val="both"/>
                        <w:rPr>
                          <w:bCs/>
                          <w:i/>
                        </w:rPr>
                      </w:pPr>
                      <w:r>
                        <w:rPr>
                          <w:b/>
                        </w:rPr>
                      </w:r>
                      <w:r>
                        <w:rPr>
                          <w:bCs/>
                          <w:i/>
                        </w:rPr>
                      </w:r>
                      <w:r>
                        <w:rPr>
                          <w:bCs/>
                          <w:i/>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highlight w:val="white"/>
              </w:rPr>
            </w:pPr>
            <w:r>
              <w:rPr>
                <w:rFonts w:ascii="Times New Roman" w:hAnsi="Times New Roman"/>
                <w:color w:val="auto"/>
                <w:highlight w:val="white"/>
                <w:lang w:val="pt-BR"/>
              </w:rPr>
            </w:r>
            <w:r>
              <w:rPr>
                <w:rStyle w:val="1023"/>
                <w:rFonts w:ascii="Times New Roman" w:hAnsi="Times New Roman"/>
                <w:color w:val="auto"/>
                <w:highlight w:val="white"/>
              </w:rPr>
            </w:r>
            <w:r>
              <w:rPr>
                <w:rStyle w:val="1023"/>
                <w:rFonts w:ascii="Times New Roman" w:hAnsi="Times New Roman"/>
                <w:color w:val="auto"/>
                <w:highlight w:val="white"/>
              </w:rPr>
            </w:r>
          </w:p>
          <w:p w14:paraId="189019A0" w14:textId="50D2DFCA">
            <w:pPr>
              <w:pStyle w:val="1024"/>
              <w:pBdr/>
              <w:spacing w:after="60" w:before="200"/>
              <w:ind/>
              <w:rPr>
                <w:sz w:val="24"/>
                <w:szCs w:val="24"/>
                <w:highlight w:val="white"/>
              </w:rPr>
            </w:pPr>
            <w:r>
              <w:rPr>
                <w:rStyle w:val="1023"/>
                <w:rFonts w:ascii="Times New Roman" w:hAnsi="Times New Roman"/>
                <w:color w:val="auto"/>
                <w:highlight w:val="white"/>
                <w:lang w:val="pt-BR"/>
              </w:rPr>
              <w:t xml:space="preserve">Số:</w:t>
            </w:r>
            <w:r>
              <w:rPr>
                <w:rStyle w:val="1023"/>
                <w:rFonts w:ascii="Times New Roman" w:hAnsi="Times New Roman"/>
                <w:color w:val="auto"/>
                <w:highlight w:val="white"/>
                <w:lang w:val="pt-BR"/>
              </w:rPr>
              <w:t xml:space="preserve"> </w:t>
            </w:r>
            <w:r>
              <w:rPr>
                <w:rFonts w:ascii="Times New Roman" w:hAnsi="Times New Roman" w:eastAsia="Times New Roman" w:cs="Times New Roman"/>
                <w:color w:val="081b3a"/>
                <w:spacing w:val="3"/>
                <w:sz w:val="24"/>
                <w:szCs w:val="24"/>
                <w:highlight w:val="white"/>
              </w:rPr>
              <w:t xml:space="preserve">275/2025/1830/VFI-CT.53.A</w:t>
            </w:r>
            <w:r>
              <w:rPr>
                <w:sz w:val="24"/>
                <w:szCs w:val="24"/>
                <w:highlight w:val="white"/>
              </w:rPr>
            </w:r>
            <w:r>
              <w:rPr>
                <w:sz w:val="24"/>
                <w:szCs w:val="24"/>
                <w:highlight w:val="white"/>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highlight w:val="white"/>
              </w:rPr>
            </w:pPr>
            <w:r>
              <w:rPr>
                <w:rFonts w:ascii="Times New Roman" w:hAnsi="Times New Roman"/>
                <w:i/>
                <w:color w:val="auto"/>
                <w:highlight w:val="white"/>
              </w:rPr>
            </w:r>
            <w:r>
              <w:rPr>
                <w:rStyle w:val="1023"/>
                <w:rFonts w:ascii="Times New Roman" w:hAnsi="Times New Roman"/>
                <w:i/>
                <w:color w:val="auto"/>
                <w:highlight w:val="white"/>
              </w:rPr>
            </w:r>
            <w:r>
              <w:rPr>
                <w:rStyle w:val="1023"/>
                <w:rFonts w:ascii="Times New Roman" w:hAnsi="Times New Roman"/>
                <w:i/>
                <w:color w:val="auto"/>
                <w:highlight w:val="white"/>
              </w:rPr>
            </w:r>
          </w:p>
          <w:p w14:paraId="6B33CD77" w14:textId="29BAA06D">
            <w:pPr>
              <w:pStyle w:val="1024"/>
              <w:pBdr/>
              <w:spacing w:after="60" w:before="200"/>
              <w:ind w:right="-56"/>
              <w:jc w:val="right"/>
              <w:rPr>
                <w:sz w:val="24"/>
                <w:szCs w:val="24"/>
                <w:highlight w:val="white"/>
              </w:rPr>
            </w:pPr>
            <w:r>
              <w:rPr>
                <w:rStyle w:val="1023"/>
                <w:rFonts w:ascii="Times New Roman" w:hAnsi="Times New Roman"/>
                <w:i/>
                <w:color w:val="auto"/>
                <w:highlight w:val="white"/>
              </w:rPr>
              <w:t xml:space="preserve">TP. </w:t>
            </w:r>
            <w:r>
              <w:rPr>
                <w:rStyle w:val="1023"/>
                <w:rFonts w:ascii="Times New Roman" w:hAnsi="Times New Roman"/>
                <w:i/>
                <w:color w:val="auto"/>
                <w:highlight w:val="white"/>
              </w:rPr>
              <w:t xml:space="preserve">Hà Nội</w:t>
            </w:r>
            <w:r>
              <w:rPr>
                <w:rStyle w:val="1023"/>
                <w:rFonts w:ascii="Times New Roman" w:hAnsi="Times New Roman"/>
                <w:i/>
                <w:color w:val="auto"/>
                <w:highlight w:val="white"/>
                <w:lang w:val="vi-VN"/>
              </w:rPr>
              <w:t xml:space="preserve">, </w:t>
            </w:r>
            <w:r>
              <w:rPr>
                <w:rStyle w:val="1023"/>
                <w:rFonts w:ascii="Times New Roman" w:hAnsi="Times New Roman"/>
                <w:i/>
                <w:color w:val="000000" w:themeColor="text1"/>
                <w:highlight w:val="white"/>
                <w:lang w:val="vi-VN"/>
              </w:rPr>
              <w:t xml:space="preserve">ngày 17 tháng 12 năm 2025</w:t>
            </w:r>
            <w:r>
              <w:rPr>
                <w:rStyle w:val="1023"/>
                <w:rFonts w:ascii="Times New Roman" w:hAnsi="Times New Roman"/>
                <w:i/>
                <w:color w:val="auto"/>
                <w:highlight w:val="white"/>
                <w:lang w:val="vi-VN"/>
              </w:rPr>
              <w:t xml:space="preserve">   </w:t>
            </w:r>
            <w:r>
              <w:rPr>
                <w:rStyle w:val="1023"/>
                <w:rFonts w:ascii="Times New Roman" w:hAnsi="Times New Roman"/>
                <w:i/>
                <w:color w:val="auto"/>
                <w:highlight w:val="white"/>
                <w:lang w:val="vi-VN"/>
              </w:rPr>
              <w:t xml:space="preserve">  </w:t>
            </w:r>
            <w:r>
              <w:rPr>
                <w:sz w:val="24"/>
                <w:szCs w:val="24"/>
                <w:highlight w:val="white"/>
              </w:rPr>
            </w:r>
            <w:r>
              <w:rPr>
                <w:sz w:val="24"/>
                <w:szCs w:val="24"/>
                <w:highlight w:val="white"/>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highlight w:val="white"/>
        </w:rPr>
      </w:pPr>
      <w:r>
        <w:rPr>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highlight w:val="white"/>
          <w:lang w:val="vi-VN"/>
        </w:rPr>
        <w:t xml:space="preserve">CHỨNG THƯ THẨM ĐỊNH GIÁ</w:t>
      </w:r>
      <w:r>
        <w:rPr>
          <w:rStyle w:val="1023"/>
          <w:rFonts w:ascii="Times New Roman" w:hAnsi="Times New Roman"/>
          <w:b/>
          <w:bCs/>
          <w:color w:val="auto"/>
          <w:sz w:val="30"/>
          <w:szCs w:val="30"/>
          <w:highlight w:val="white"/>
        </w:rPr>
      </w:r>
      <w:r>
        <w:rPr>
          <w:rStyle w:val="1023"/>
          <w:rFonts w:ascii="Times New Roman" w:hAnsi="Times New Roman"/>
          <w:b/>
          <w:bCs/>
          <w:color w:val="auto"/>
          <w:sz w:val="30"/>
          <w:szCs w:val="30"/>
          <w:highlight w:val="white"/>
        </w:rPr>
      </w:r>
    </w:p>
    <w:p w14:paraId="5BCBE7A1" w14:textId="447525E1">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ÔNG TỪ QUANG HÀ</w:t>
      </w:r>
      <w:r>
        <w:rPr>
          <w:rFonts w:ascii="Times New Roman Bold" w:hAnsi="Times New Roman Bold"/>
          <w:b/>
          <w:highlight w:val="white"/>
        </w:rPr>
      </w:r>
      <w:r>
        <w:rPr>
          <w:rFonts w:ascii="Times New Roman Bold" w:hAnsi="Times New Roman Bold"/>
          <w:b/>
          <w:highlight w:val="white"/>
        </w:rPr>
      </w:r>
    </w:p>
    <w:p w14:paraId="38828AD2" w14:textId="1C5F84EE">
      <w:pPr>
        <w:pBdr/>
        <w:tabs>
          <w:tab w:val="left" w:leader="none" w:pos="450"/>
        </w:tabs>
        <w:spacing w:after="120" w:before="120" w:line="288" w:lineRule="auto"/>
        <w:ind w:left="-72"/>
        <w:jc w:val="both"/>
        <w:rPr>
          <w:color w:val="000000" w:themeColor="text1"/>
          <w:spacing w:val="-4"/>
        </w:rPr>
      </w:pPr>
      <w:r>
        <w:rPr>
          <w:spacing w:val="-4"/>
          <w:highlight w:val="white"/>
          <w:lang w:val="vi-VN"/>
        </w:rPr>
        <w:tab/>
      </w:r>
      <w:r>
        <w:rPr>
          <w:color w:val="000000" w:themeColor="text1"/>
          <w:spacing w:val="-4"/>
          <w:highlight w:val="white"/>
          <w:lang w:val="vi-VN"/>
        </w:rPr>
        <w:t xml:space="preserve">Căn cứ </w:t>
      </w:r>
      <w:r>
        <w:rPr>
          <w:color w:val="000000" w:themeColor="text1"/>
          <w:spacing w:val="-4"/>
          <w:highlight w:val="white"/>
          <w:lang w:val="vi-VN"/>
        </w:rPr>
        <w:t xml:space="preserve">Hợp đồng</w:t>
      </w:r>
      <w:r>
        <w:rPr>
          <w:color w:val="000000" w:themeColor="text1"/>
          <w:spacing w:val="-4"/>
          <w:highlight w:val="white"/>
        </w:rPr>
        <w:t xml:space="preserve"> dịch vụ</w:t>
      </w:r>
      <w:r>
        <w:rPr>
          <w:color w:val="000000" w:themeColor="text1"/>
          <w:spacing w:val="-4"/>
          <w:highlight w:val="white"/>
          <w:lang w:val="vi-VN"/>
        </w:rPr>
        <w:t xml:space="preserve"> thẩm định giá số</w:t>
      </w:r>
      <w:r>
        <w:rPr>
          <w:color w:val="000000" w:themeColor="text1"/>
          <w:spacing w:val="-4"/>
          <w:highlight w:val="white"/>
        </w:rPr>
        <w:t xml:space="preserve">:</w:t>
      </w:r>
      <w:r>
        <w:rPr>
          <w:rFonts w:ascii="Times New Roman" w:hAnsi="Times New Roman" w:eastAsia="Times New Roman" w:cs="Times New Roman"/>
          <w:color w:val="000000" w:themeColor="text1"/>
          <w:spacing w:val="-4"/>
          <w:sz w:val="24"/>
          <w:szCs w:val="24"/>
          <w:highlight w:val="white"/>
          <w:lang w:val="vi-VN"/>
        </w:rPr>
        <w:t xml:space="preserve"> </w:t>
      </w:r>
      <w:r>
        <w:rPr>
          <w:rFonts w:ascii="Times New Roman" w:hAnsi="Times New Roman" w:eastAsia="Times New Roman" w:cs="Times New Roman"/>
          <w:color w:val="000000" w:themeColor="text1"/>
          <w:spacing w:val="3"/>
          <w:sz w:val="24"/>
          <w:szCs w:val="24"/>
          <w:highlight w:val="white"/>
        </w:rPr>
        <w:t xml:space="preserve">275/2025/1830/VFI-HĐTĐ.53.A</w:t>
      </w:r>
      <w:r>
        <w:rPr>
          <w:color w:val="000000" w:themeColor="text1"/>
          <w:spacing w:val="-4"/>
          <w:highlight w:val="white"/>
          <w:lang w:val="vi-VN"/>
        </w:rPr>
        <w:t xml:space="preserve"> ký ngày </w:t>
      </w:r>
      <w:r>
        <w:rPr>
          <w:color w:val="000000" w:themeColor="text1"/>
          <w:spacing w:val="-4"/>
          <w:highlight w:val="white"/>
        </w:rPr>
        <w:t xml:space="preserve">16 tháng 12 năm 2025</w:t>
      </w:r>
      <w:r>
        <w:rPr>
          <w:color w:val="000000" w:themeColor="text1"/>
          <w:spacing w:val="-4"/>
          <w:highlight w:val="white"/>
          <w:lang w:val="vi-VN"/>
        </w:rPr>
        <w:t xml:space="preserve"> </w:t>
      </w:r>
      <w:r>
        <w:rPr>
          <w:color w:val="000000" w:themeColor="text1"/>
          <w:spacing w:val="-4"/>
          <w:highlight w:val="white"/>
          <w:lang w:val="vi-VN"/>
        </w:rPr>
        <w:t xml:space="preserve">giữa </w:t>
      </w:r>
      <w:r>
        <w:rPr>
          <w:bCs/>
          <w:color w:val="000000" w:themeColor="text1"/>
          <w:highlight w:val="white"/>
        </w:rPr>
        <w:t xml:space="preserve"> </w:t>
      </w:r>
      <w:r>
        <w:rPr>
          <w:color w:val="000000" w:themeColor="text1"/>
          <w:spacing w:val="-6"/>
          <w:highlight w:val="white"/>
        </w:rPr>
        <w:t xml:space="preserve">v</w:t>
      </w:r>
      <w:r>
        <w:rPr>
          <w:color w:val="000000" w:themeColor="text1"/>
          <w:spacing w:val="-6"/>
          <w:highlight w:val="white"/>
        </w:rPr>
        <w:t xml:space="preserve">ới</w:t>
      </w:r>
      <w:r>
        <w:rPr>
          <w:color w:val="000000" w:themeColor="text1"/>
          <w:spacing w:val="-6"/>
          <w:highlight w:val="white"/>
        </w:rPr>
        <w:t xml:space="preserve"> </w:t>
      </w:r>
      <w:r>
        <w:rPr>
          <w:color w:val="000000" w:themeColor="text1"/>
          <w:spacing w:val="-4"/>
          <w:highlight w:val="white"/>
          <w:lang w:val="vi-VN"/>
        </w:rPr>
        <w:t xml:space="preserve">Công ty Cổ phần Thẩm định và Đầu tư Tài chính Hoa S</w:t>
      </w:r>
      <w:r>
        <w:rPr>
          <w:color w:val="000000" w:themeColor="text1"/>
          <w:spacing w:val="-4"/>
          <w:lang w:val="vi-VN"/>
        </w:rPr>
        <w:t xml:space="preserve">en</w:t>
      </w:r>
      <w:r>
        <w:rPr>
          <w:color w:val="000000" w:themeColor="text1"/>
          <w:spacing w:val="-4"/>
        </w:rPr>
        <w:t xml:space="preserve">;</w:t>
      </w:r>
      <w:r>
        <w:rPr>
          <w:color w:val="000000" w:themeColor="text1"/>
          <w:spacing w:val="-4"/>
        </w:rPr>
      </w:r>
      <w:r>
        <w:rPr>
          <w:color w:val="000000" w:themeColor="text1"/>
          <w:spacing w:val="-4"/>
        </w:rPr>
      </w:r>
    </w:p>
    <w:p w14:paraId="03146B37" w14:textId="25380331">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rFonts w:ascii="Times New Roman" w:hAnsi="Times New Roman" w:eastAsia="Times New Roman" w:cs="Times New Roman"/>
          <w:color w:val="000000" w:themeColor="text1"/>
          <w:sz w:val="24"/>
          <w:highlight w:val="white"/>
        </w:rPr>
        <w:t xml:space="preserve">275/2025/1830/VFI-BC.53.A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17 tháng 12 năm 2025</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45"/>
        <w:gridCol w:w="266"/>
        <w:gridCol w:w="7243"/>
      </w:tblGrid>
      <w:tr>
        <w:trPr>
          <w:trHeight w:val="20"/>
        </w:trPr>
        <w:tc>
          <w:tcPr>
            <w:tcBorders/>
            <w:tcMar>
              <w:left w:w="108" w:type="dxa"/>
              <w:top w:w="0" w:type="dxa"/>
              <w:right w:w="108" w:type="dxa"/>
              <w:bottom w:w="0" w:type="dxa"/>
            </w:tcMar>
            <w:tcW w:w="1845" w:type="dxa"/>
            <w:vAlign w:val="center"/>
            <w:textDirection w:val="lrTb"/>
            <w:noWrap w:val="false"/>
          </w:tcPr>
          <w:p w14:paraId="2E6C780A">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66" w:type="dxa"/>
            <w:vAlign w:val="center"/>
            <w:textDirection w:val="lrTb"/>
            <w:noWrap w:val="false"/>
          </w:tcPr>
          <w:p w14:paraId="3D074B7B">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43" w:type="dxa"/>
            <w:vAlign w:val="center"/>
            <w:textDirection w:val="lrTb"/>
            <w:noWrap w:val="false"/>
          </w:tcPr>
          <w:p w14:paraId="1B9FA658">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b/>
                <w:color w:val="000000"/>
                <w:sz w:val="24"/>
              </w:rPr>
              <w:t xml:space="preserve">ÔNG TỪ QUANG HÀ</w:t>
            </w:r>
            <w:r/>
          </w:p>
        </w:tc>
      </w:tr>
      <w:tr>
        <w:trPr>
          <w:trHeight w:val="20"/>
        </w:trPr>
        <w:tc>
          <w:tcPr>
            <w:tcBorders/>
            <w:tcMar>
              <w:left w:w="108" w:type="dxa"/>
              <w:top w:w="0" w:type="dxa"/>
              <w:right w:w="108" w:type="dxa"/>
              <w:bottom w:w="0" w:type="dxa"/>
            </w:tcMar>
            <w:tcW w:w="1845" w:type="dxa"/>
            <w:vAlign w:val="center"/>
            <w:textDirection w:val="lrTb"/>
            <w:noWrap w:val="false"/>
          </w:tcPr>
          <w:p w14:paraId="743D1220">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66" w:type="dxa"/>
            <w:vAlign w:val="center"/>
            <w:textDirection w:val="lrTb"/>
            <w:noWrap w:val="false"/>
          </w:tcPr>
          <w:p w14:paraId="774C8643">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43" w:type="dxa"/>
            <w:vAlign w:val="center"/>
            <w:textDirection w:val="lrTb"/>
            <w:noWrap w:val="false"/>
          </w:tcPr>
          <w:p w14:paraId="71ACFD11">
            <w:pPr>
              <w:pBdr>
                <w:top w:val="none" w:color="000000" w:sz="4" w:space="0"/>
                <w:left w:val="none" w:color="000000" w:sz="4" w:space="0"/>
                <w:bottom w:val="none" w:color="000000" w:sz="4" w:space="0"/>
                <w:right w:val="none" w:color="000000" w:sz="4" w:space="0"/>
              </w:pBdr>
              <w:spacing w:after="80" w:before="80"/>
              <w:ind w:right="0" w:firstLine="0" w:left="0"/>
              <w:rPr/>
            </w:pPr>
            <w:r>
              <w:rPr>
                <w:rFonts w:ascii="Times New Roman" w:hAnsi="Times New Roman" w:eastAsia="Times New Roman" w:cs="Times New Roman"/>
                <w:color w:val="000000"/>
                <w:sz w:val="24"/>
              </w:rPr>
              <w:t xml:space="preserve">040370819</w:t>
            </w:r>
            <w:r/>
          </w:p>
        </w:tc>
      </w:tr>
      <w:tr>
        <w:trPr>
          <w:trHeight w:val="20"/>
        </w:trPr>
        <w:tc>
          <w:tcPr>
            <w:tcBorders/>
            <w:tcMar>
              <w:left w:w="108" w:type="dxa"/>
              <w:top w:w="0" w:type="dxa"/>
              <w:right w:w="108" w:type="dxa"/>
              <w:bottom w:w="0" w:type="dxa"/>
            </w:tcMar>
            <w:tcW w:w="1845" w:type="dxa"/>
            <w:vAlign w:val="center"/>
            <w:textDirection w:val="lrTb"/>
            <w:noWrap w:val="false"/>
          </w:tcPr>
          <w:p w14:paraId="2698417C">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66" w:type="dxa"/>
            <w:vAlign w:val="center"/>
            <w:textDirection w:val="lrTb"/>
            <w:noWrap w:val="false"/>
          </w:tcPr>
          <w:p w14:paraId="79167DF0">
            <w:pPr>
              <w:pBdr>
                <w:top w:val="none" w:color="000000" w:sz="4" w:space="0"/>
                <w:left w:val="none" w:color="000000" w:sz="4" w:space="0"/>
                <w:bottom w:val="none" w:color="000000" w:sz="4" w:space="0"/>
                <w:right w:val="none" w:color="000000" w:sz="4" w:space="0"/>
              </w:pBdr>
              <w:spacing w:after="80" w:before="8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243" w:type="dxa"/>
            <w:vAlign w:val="center"/>
            <w:textDirection w:val="lrTb"/>
            <w:noWrap w:val="false"/>
          </w:tcPr>
          <w:p w14:paraId="75850464">
            <w:pPr>
              <w:pBdr>
                <w:top w:val="none" w:color="000000" w:sz="4" w:space="0"/>
                <w:left w:val="none" w:color="000000" w:sz="4" w:space="0"/>
                <w:bottom w:val="none" w:color="000000" w:sz="4" w:space="0"/>
                <w:right w:val="none" w:color="000000" w:sz="4" w:space="0"/>
              </w:pBdr>
              <w:spacing w:after="80" w:before="80"/>
              <w:ind w:right="0" w:firstLine="0" w:left="0"/>
              <w:jc w:val="both"/>
              <w:rPr/>
            </w:pPr>
            <w:r>
              <w:rPr>
                <w:rFonts w:ascii="Times New Roman" w:hAnsi="Times New Roman" w:eastAsia="Times New Roman" w:cs="Times New Roman"/>
                <w:color w:val="000000"/>
                <w:sz w:val="24"/>
              </w:rPr>
              <w:t xml:space="preserve">Khu 1, thị trấn Cao Phong, huyện Cao Phong, Tỉnh Hòa Bình</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rừng sản xuất</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147775</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25.000</w:t>
            </w:r>
            <w:r/>
          </w:p>
        </w:tc>
        <w:tc>
          <w:tcPr>
            <w:shd w:val="clear" w:color="000000" w:fill="ffffff"/>
            <w:tcBorders/>
            <w:tcW w:w="1136" w:type="pct"/>
            <w:vAlign w:val="center"/>
            <w:textDirection w:val="lrTb"/>
            <w:noWrap w:val="false"/>
          </w:tcPr>
          <w:p w14:paraId="2EB6F9A7">
            <w:pPr>
              <w:pBdr/>
              <w:spacing w:after="0" w:before="0" w:line="240"/>
              <w:ind/>
              <w:jc w:val="right"/>
              <w:rPr/>
            </w:pPr>
            <w:r>
              <w:rPr>
                <w:rFonts w:ascii="Times New Roman" w:hAnsi="Times New Roman" w:eastAsia="Times New Roman" w:cs="Times New Roman"/>
                <w:color w:val="000000"/>
                <w:sz w:val="24"/>
              </w:rPr>
              <w:t xml:space="preserve">3.694.375.000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1C23765C">
            <w:pPr>
              <w:pBdr/>
              <w:spacing w:after="0" w:before="0" w:line="240"/>
              <w:ind/>
              <w:jc w:val="right"/>
              <w:rPr/>
            </w:pPr>
            <w:r>
              <w:rPr>
                <w:rFonts w:ascii="Times New Roman" w:hAnsi="Times New Roman" w:eastAsia="Times New Roman" w:cs="Times New Roman"/>
                <w:color w:val="000000"/>
                <w:sz w:val="24"/>
              </w:rPr>
              <w:t xml:space="preserve">3.694.375.000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ADFB2F3">
            <w:pPr>
              <w:pBdr/>
              <w:spacing w:after="0" w:before="0" w:line="240"/>
              <w:ind/>
              <w:jc w:val="right"/>
              <w:rPr/>
            </w:pPr>
            <w:r>
              <w:rPr>
                <w:rFonts w:ascii="Times New Roman" w:hAnsi="Times New Roman" w:eastAsia="Times New Roman" w:cs="Times New Roman"/>
                <w:color w:val="000000"/>
                <w:sz w:val="24"/>
              </w:rPr>
              <w:t xml:space="preserve">3.694.000.000</w:t>
            </w:r>
            <w:r/>
          </w:p>
        </w:tc>
      </w:tr>
      <w:tr>
        <w:trPr>
          <w:trHeight w:val="20"/>
        </w:trPr>
        <w:tc>
          <w:tcPr>
            <w:gridSpan w:val="5"/>
            <w:tcBorders/>
            <w:tcW w:w="5000" w:type="pct"/>
            <w:vAlign w:val="center"/>
            <w:textDirection w:val="lrTb"/>
            <w:noWrap w:val="false"/>
          </w:tcPr>
          <w:p w14:paraId="4CB30784">
            <w:pPr>
              <w:pBdr/>
              <w:spacing w:after="0" w:before="0" w:line="240"/>
              <w:ind/>
              <w:jc w:val="center"/>
              <w:rPr/>
            </w:pPr>
            <w:r>
              <w:rPr>
                <w:rFonts w:ascii="Times New Roman" w:hAnsi="Times New Roman" w:eastAsia="Times New Roman" w:cs="Times New Roman"/>
                <w:b/>
                <w:i/>
                <w:color w:val="000000"/>
                <w:sz w:val="24"/>
              </w:rPr>
              <w:t xml:space="preserve">Bằng chữ: Ba tỷ, sau trăm chín mươi bốn triệu đồng chẵn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HSTD-20251218-0017/BC-VFI</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28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HSTD-20251218-0017/CT-VFI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highlight w:val="none"/>
          <w:lang w:val="pt-BR"/>
        </w:rPr>
      </w:r>
      <w:r>
        <w:rPr>
          <w:b/>
          <w:bCs/>
          <w:highlight w:val="none"/>
          <w:lang w:val="pt-BR"/>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47"/>
        <w:gridCol w:w="216"/>
        <w:gridCol w:w="7362"/>
      </w:tblGrid>
      <w:tr>
        <w:trPr>
          <w:trHeight w:val="20"/>
        </w:trPr>
        <w:tc>
          <w:tcPr>
            <w:tcBorders/>
            <w:tcMar>
              <w:left w:w="108" w:type="dxa"/>
              <w:top w:w="0" w:type="dxa"/>
              <w:right w:w="108" w:type="dxa"/>
              <w:bottom w:w="0" w:type="dxa"/>
            </w:tcMar>
            <w:tcW w:w="1947" w:type="dxa"/>
            <w:vAlign w:val="center"/>
            <w:textDirection w:val="lrTb"/>
            <w:noWrap w:val="false"/>
          </w:tcPr>
          <w:p w14:paraId="28C932DD">
            <w:pPr>
              <w:pBdr>
                <w:top w:val="none" w:color="000000" w:sz="4" w:space="0"/>
                <w:left w:val="none" w:color="000000" w:sz="4" w:space="0"/>
                <w:bottom w:val="none" w:color="000000" w:sz="4" w:space="0"/>
                <w:right w:val="none" w:color="000000" w:sz="4" w:space="0"/>
              </w:pBdr>
              <w:spacing w:after="80" w:before="8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16" w:type="dxa"/>
            <w:vAlign w:val="center"/>
            <w:textDirection w:val="lrTb"/>
            <w:noWrap w:val="false"/>
          </w:tcPr>
          <w:p w14:paraId="10624949">
            <w:pPr>
              <w:pBdr>
                <w:top w:val="none" w:color="000000" w:sz="4" w:space="0"/>
                <w:left w:val="none" w:color="000000" w:sz="4" w:space="0"/>
                <w:bottom w:val="none" w:color="000000" w:sz="4" w:space="0"/>
                <w:right w:val="none" w:color="000000" w:sz="4" w:space="0"/>
              </w:pBdr>
              <w:spacing w:after="80" w:before="8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362" w:type="dxa"/>
            <w:vAlign w:val="center"/>
            <w:textDirection w:val="lrTb"/>
            <w:noWrap w:val="false"/>
          </w:tcPr>
          <w:p w14:paraId="46369D06">
            <w:pPr>
              <w:pBdr>
                <w:top w:val="none" w:color="000000" w:sz="4" w:space="0"/>
                <w:left w:val="none" w:color="000000" w:sz="4" w:space="0"/>
                <w:bottom w:val="none" w:color="000000" w:sz="4" w:space="0"/>
                <w:right w:val="none" w:color="000000" w:sz="4" w:space="0"/>
              </w:pBdr>
              <w:spacing w:after="80" w:before="80"/>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TỪ QUANG HÀ</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1947" w:type="dxa"/>
            <w:vAlign w:val="center"/>
            <w:textDirection w:val="lrTb"/>
            <w:noWrap w:val="false"/>
          </w:tcPr>
          <w:p w14:paraId="2F5C861C">
            <w:pPr>
              <w:pBdr>
                <w:top w:val="none" w:color="000000" w:sz="4" w:space="0"/>
                <w:left w:val="none" w:color="000000" w:sz="4" w:space="0"/>
                <w:bottom w:val="none" w:color="000000" w:sz="4" w:space="0"/>
                <w:right w:val="none" w:color="000000" w:sz="4" w:space="0"/>
              </w:pBdr>
              <w:spacing w:after="80" w:before="8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16" w:type="dxa"/>
            <w:vAlign w:val="center"/>
            <w:textDirection w:val="lrTb"/>
            <w:noWrap w:val="false"/>
          </w:tcPr>
          <w:p w14:paraId="62A16C42">
            <w:pPr>
              <w:pBdr>
                <w:top w:val="none" w:color="000000" w:sz="4" w:space="0"/>
                <w:left w:val="none" w:color="000000" w:sz="4" w:space="0"/>
                <w:bottom w:val="none" w:color="000000" w:sz="4" w:space="0"/>
                <w:right w:val="none" w:color="000000" w:sz="4" w:space="0"/>
              </w:pBdr>
              <w:spacing w:after="80" w:before="8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362" w:type="dxa"/>
            <w:vAlign w:val="center"/>
            <w:textDirection w:val="lrTb"/>
            <w:noWrap w:val="false"/>
          </w:tcPr>
          <w:p w14:paraId="7EDD28CB">
            <w:pPr>
              <w:pBdr>
                <w:top w:val="none" w:color="000000" w:sz="4" w:space="0"/>
                <w:left w:val="none" w:color="000000" w:sz="4" w:space="0"/>
                <w:bottom w:val="none" w:color="000000" w:sz="4" w:space="0"/>
                <w:right w:val="none" w:color="000000" w:sz="4" w:space="0"/>
              </w:pBdr>
              <w:spacing w:after="80" w:before="8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040370819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1947" w:type="dxa"/>
            <w:vAlign w:val="center"/>
            <w:textDirection w:val="lrTb"/>
            <w:noWrap w:val="false"/>
          </w:tcPr>
          <w:p w14:paraId="53617895">
            <w:pPr>
              <w:pBdr>
                <w:top w:val="none" w:color="000000" w:sz="4" w:space="0"/>
                <w:left w:val="none" w:color="000000" w:sz="4" w:space="0"/>
                <w:bottom w:val="none" w:color="000000" w:sz="4" w:space="0"/>
                <w:right w:val="none" w:color="000000" w:sz="4" w:space="0"/>
              </w:pBdr>
              <w:spacing w:after="80" w:before="8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16" w:type="dxa"/>
            <w:vAlign w:val="center"/>
            <w:textDirection w:val="lrTb"/>
            <w:noWrap w:val="false"/>
          </w:tcPr>
          <w:p w14:paraId="43E740BB">
            <w:pPr>
              <w:pBdr>
                <w:top w:val="none" w:color="000000" w:sz="4" w:space="0"/>
                <w:left w:val="none" w:color="000000" w:sz="4" w:space="0"/>
                <w:bottom w:val="none" w:color="000000" w:sz="4" w:space="0"/>
                <w:right w:val="none" w:color="000000" w:sz="4" w:space="0"/>
              </w:pBdr>
              <w:spacing w:after="80" w:before="8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362" w:type="dxa"/>
            <w:vAlign w:val="center"/>
            <w:textDirection w:val="lrTb"/>
            <w:noWrap w:val="false"/>
          </w:tcPr>
          <w:p w14:paraId="2297032E">
            <w:pPr>
              <w:pBdr>
                <w:top w:val="none" w:color="000000" w:sz="4" w:space="0"/>
                <w:left w:val="none" w:color="000000" w:sz="4" w:space="0"/>
                <w:bottom w:val="none" w:color="000000" w:sz="4" w:space="0"/>
                <w:right w:val="none" w:color="000000" w:sz="4" w:space="0"/>
              </w:pBdr>
              <w:spacing w:after="80" w:before="80"/>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Khu 1, thị trấn Cao Phong, huyện Cao Phong, Tỉnh Hòa Bình</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59F3882">
      <w:pPr>
        <w:pBdr/>
        <w:tabs>
          <w:tab w:val="left" w:leader="none" w:pos="284"/>
        </w:tabs>
        <w:spacing w:after="120" w:before="120" w:line="320" w:lineRule="atLeast"/>
        <w:ind/>
        <w:jc w:val="both"/>
        <w:rPr>
          <w:b/>
          <w:bCs/>
          <w:lang w:val="pt-BR"/>
        </w:rPr>
      </w:pPr>
      <w:r>
        <w:rPr>
          <w:b/>
          <w:bCs/>
          <w:highlight w:val="none"/>
          <w:lang w:val="pt-BR" w:bidi="pt-BR"/>
        </w:rPr>
      </w:r>
      <w:r>
        <w:rPr>
          <w:b/>
          <w:bCs/>
          <w:lang w:val="pt-BR"/>
        </w:rPr>
      </w:r>
      <w:r>
        <w:rPr>
          <w:b/>
          <w:bCs/>
          <w:lang w:val="pt-BR"/>
        </w:rPr>
      </w:r>
    </w:p>
    <w:tbl>
      <w:tblPr>
        <w:tblW w:w="9747" w:type="dxa"/>
        <w:tblBorders/>
        <w:tblLayout w:type="fixed"/>
        <w:tblLook w:val="04A0" w:firstRow="1" w:lastRow="0" w:firstColumn="1" w:lastColumn="0" w:noHBand="0" w:noVBand="1"/>
      </w:tblPr>
      <w:tblGrid>
        <w:gridCol w:w="2012"/>
        <w:gridCol w:w="216"/>
        <w:gridCol w:w="7519"/>
      </w:tblGrid>
      <w:tr>
        <w:trPr>
          <w:trHeight w:val="20"/>
        </w:trPr>
        <w:tc>
          <w:tcPr>
            <w:tcBorders/>
            <w:tcW w:w="2012"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16"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7439EDA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r>
              <w:rPr>
                <w:b/>
                <w:bCs/>
                <w:spacing w:val="2"/>
                <w:lang w:val="vi-VN"/>
              </w:rPr>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012"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16"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012"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16"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012"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16"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012"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16"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Bắc Phong, Huyện Cao Phong, Tỉnh Hoà Bình</w:t>
            </w:r>
            <w:r>
              <w:rPr>
                <w:color w:val="ee0000"/>
                <w:lang w:val="pt-BR"/>
              </w:rPr>
            </w:r>
            <w:r>
              <w:rPr>
                <w:color w:val="ee0000"/>
                <w:lang w:val="pt-BR"/>
              </w:rPr>
            </w:r>
          </w:p>
        </w:tc>
      </w:tr>
      <w:tr>
        <w:trPr>
          <w:trHeight w:val="20"/>
        </w:trPr>
        <w:tc>
          <w:tcPr>
            <w:tcBorders/>
            <w:tcW w:w="2012"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16"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20.708888888889, 105.29016666667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012"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16"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7519"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13CA90D0">
      <w:pPr>
        <w:pStyle w:val="1025"/>
        <w:pBdr/>
        <w:tabs>
          <w:tab w:val="left" w:leader="none" w:pos="993"/>
        </w:tabs>
        <w:spacing w:after="120" w:before="120" w:line="276" w:lineRule="auto"/>
        <w:ind w:left="0"/>
        <w:jc w:val="both"/>
        <w:rPr>
          <w:b/>
          <w:bCs/>
          <w:lang w:val="pt-BR"/>
        </w:rPr>
      </w:pPr>
      <w:r>
        <w:rPr>
          <w:b/>
          <w:highlight w:val="none"/>
          <w:lang w:val="pt-BR" w:bidi="pt-BR"/>
        </w:rPr>
      </w:r>
      <w:r>
        <w:rPr>
          <w:b/>
          <w:highlight w:val="none"/>
          <w:lang w:val="pt-BR" w:bidi="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w:t>
      </w:r>
      <w:r>
        <w:rPr>
          <w:rFonts w:ascii="Times New Roman" w:hAnsi="Times New Roman" w:eastAsia="Times New Roman" w:cs="Times New Roman"/>
          <w:color w:val="000000"/>
          <w:sz w:val="24"/>
        </w:rPr>
        <w:t xml:space="preserve">M 309730, số vào sổ cấp GCN: CH 01250 do Uỷ ban Nhân dân huyện Cao Phong cấp ngày 19/11/2015 cho Ông Từ Quang Hà (cập nhật ngày 14/9/2017)</w:t>
      </w:r>
      <w:r/>
      <w:r>
        <w:rPr>
          <w:b/>
          <w:highlight w:val="none"/>
          <w:lang w:val="pt-BR" w:bidi="pt-BR"/>
        </w:rPr>
      </w:r>
      <w:r>
        <w:rPr>
          <w:b/>
          <w:highlight w:val="none"/>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4"/>
          <w:highlight w:val="white"/>
        </w:rPr>
        <w:t xml:space="preserve">275/2025/1830/VFI-HĐTĐ.53.A</w:t>
      </w:r>
      <w:r>
        <w:rPr>
          <w:color w:val="000000" w:themeColor="text1"/>
          <w:lang w:val="pt-BR"/>
        </w:rPr>
        <w:t xml:space="preserve"> ngày 16/12/2025 giữa ông Từ Quang Hà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747B8E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i/>
          <w:iCs/>
          <w:lang w:val="pt-BR"/>
        </w:rPr>
      </w:r>
      <w:r>
        <w:rPr>
          <w:rFonts w:ascii="Times New Roman" w:hAnsi="Times New Roman" w:eastAsia="Times New Roman" w:cs="Times New Roman"/>
          <w:color w:val="000000"/>
          <w:sz w:val="24"/>
        </w:rPr>
        <w:t xml:space="preserve">Tổng quan về tỉnh Hòa Bình</w:t>
      </w:r>
      <w:r/>
    </w:p>
    <w:p w14:paraId="6A37688E">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Hòa Bình, một tỉnh nằm ở vùng Tây Bắc Việt Nam, nổi bật với cảnh quan thiên nhiên hùng vĩ, nền văn hóa đa dạng và tiềm năng phát triển kinh tế vượt trội. Cùng khám phá tổng quan về Hòa Bình để hiểu rõ hơn về vị trí địa lý, điều kiện tự nhiên, cũng như các </w:t>
      </w:r>
      <w:r>
        <w:rPr>
          <w:rFonts w:ascii="Times New Roman" w:hAnsi="Times New Roman" w:eastAsia="Times New Roman" w:cs="Times New Roman"/>
          <w:color w:val="000000"/>
          <w:sz w:val="24"/>
        </w:rPr>
        <w:t xml:space="preserve">tiềm năng đầu tư đang mở ra tại đây.</w:t>
      </w:r>
      <w:r/>
    </w:p>
    <w:p w14:paraId="7DF2A8C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Diện tích và dân số</w:t>
      </w:r>
      <w:r/>
    </w:p>
    <w:p w14:paraId="17BBBD0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Tỉnh Hòa Bình có tổng diện tích khoảng 4.596,4 km2 và dân số năm 2022 là 854.131 người. Tỉnh bao gồm 10 đơn vị hành chính cấp huyện, 151 đơn vị hành chính cấp xã, trong đó có 131 xã, 10 phường và 10 thị trấn. (Nguồn: Cổng thông tin điện tử tỉnh Hòa Bình)</w:t>
      </w:r>
      <w:r/>
    </w:p>
    <w:p w14:paraId="1333A7F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Những khu vực phát triển nhất tại tỉnh Hòa Bình hiện nay là Thành phố Hòa Bình và Huyện Lương Sơn. Thành phố Hòa Bình là trung tâm hành chính, kinh tế và văn hóa của tỉnh, với sự phát triển mạnh mẽ về hạ tầng giao thông, bất động sản, cùng các dự án đô thị</w:t>
      </w:r>
      <w:r>
        <w:rPr>
          <w:rFonts w:ascii="Times New Roman" w:hAnsi="Times New Roman" w:eastAsia="Times New Roman" w:cs="Times New Roman"/>
          <w:color w:val="000000"/>
          <w:sz w:val="24"/>
        </w:rPr>
        <w:t xml:space="preserve"> và du lịch ven hồ Hòa Bình.</w:t>
      </w:r>
      <w:r/>
    </w:p>
    <w:p w14:paraId="3FBAB17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Huyện Lương Sơn cũng là một khu vực nổi bật, nhờ vào vị trí gần Hà Nội và có tốc độ đô thị hóa nhanh, đặc biệt là trong lĩnh vực bất động sản nghỉ dưỡng và khu công nghiệp. Khu vực này thu hút nhiều nhà đầu tư và các dự án phát triển nhà ở sinh thái, resor</w:t>
      </w:r>
      <w:r>
        <w:rPr>
          <w:rFonts w:ascii="Times New Roman" w:hAnsi="Times New Roman" w:eastAsia="Times New Roman" w:cs="Times New Roman"/>
          <w:color w:val="000000"/>
          <w:sz w:val="24"/>
        </w:rPr>
        <w:t xml:space="preserve">t, phục vụ nhu cầu nghỉ dưỡng cuối tuần của cư dân thành phố lớn.</w:t>
      </w:r>
      <w:r/>
    </w:p>
    <w:p w14:paraId="58AD4BE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Tiềm năng phát triển bất động sản tại Hòa Bình</w:t>
      </w:r>
      <w:r/>
    </w:p>
    <w:p w14:paraId="41BF8A4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Khi giá bất động sản tại Hà Nội tăng cao, Hòa Bình trở thành điểm đến hấp dẫn cho các nhà đầu tư nhờ quỹ đất lớn, hạ tầng ngày càng hoàn thiện và tốc độ phát triển kinh tế nhanh chóng.</w:t>
      </w:r>
      <w:r/>
    </w:p>
    <w:p w14:paraId="1562F31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Bên cạnh đó, Hòa Bình còn có tiềm năng lớn để phát triển du lịch nghỉ dưỡng, với diện tích tự nhiên rộng lớn, khí hậu mát mẻ, và văn hóa đặc sắc của các dân tộc Mường, Thái. Các địa danh như hồ Hòa Bình, Thung Nai, và suối khoáng nóng Kim Bôi đang thu hút </w:t>
      </w:r>
      <w:r>
        <w:rPr>
          <w:rFonts w:ascii="Times New Roman" w:hAnsi="Times New Roman" w:eastAsia="Times New Roman" w:cs="Times New Roman"/>
          <w:color w:val="000000"/>
          <w:sz w:val="24"/>
        </w:rPr>
        <w:t xml:space="preserve">sự quan tâm của các chủ đầu tư với những dự án nghỉ dưỡng cao cấp và bất động sản well-being.</w:t>
      </w:r>
      <w:r/>
    </w:p>
    <w:p w14:paraId="176B778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Hòa Bình cũng có hỗ trợ từ chính quyền địa phương với nhiều chính sách ưu đãi giúp các doanh nghiệp triển khai dự án dễ dàng hơn. Những yếu tố này hứa hẹn sẽ đưa Hòa Bình thành điểm đến đầu tư bất động sản tiềm năng trong tương lai gần.</w:t>
      </w:r>
      <w:r/>
    </w:p>
    <w:p w14:paraId="395DDE7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Tầm quan trọng của thị trường đất nền tỉnh Hòa Bình đối với nền kinh tế và nhu cầu nhà ở</w:t>
      </w:r>
      <w:r/>
    </w:p>
    <w:p w14:paraId="0E3D834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tỉnh Hòa Bình không chỉ đóng vai trò quan trọng trong việc thúc đẩy kinh tế địa phương mà còn đáp ứng nhu cầu nhà ở ngày càng tăng của người dân, tạo cơ hội đầu tư tiềm năng cho nhiều nhà đầu tư bất động sản.</w:t>
      </w:r>
      <w:r/>
    </w:p>
    <w:p w14:paraId="55C6B1C5">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Thúc đẩy kinh tế địa phương</w:t>
      </w:r>
      <w:r/>
    </w:p>
    <w:p w14:paraId="239C10F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tại Hòa Bình đóng vai trò chủ chốt trong việc thúc đẩy kinh tế tỉnh, góp phần tạo điều kiện cho sự phát triển của các dự án hạ tầng, công nghiệp và thương mại. Với vị trí liền kề Hà Nội và tiềm năng quỹ đất lớn, Hòa Bình đang thu hút sự </w:t>
      </w:r>
      <w:r>
        <w:rPr>
          <w:rFonts w:ascii="Times New Roman" w:hAnsi="Times New Roman" w:eastAsia="Times New Roman" w:cs="Times New Roman"/>
          <w:color w:val="000000"/>
          <w:sz w:val="24"/>
        </w:rPr>
        <w:t xml:space="preserve">quan tâm của các nhà đầu tư trong và ngoài nước, tạo ra động lực mạnh mẽ cho nhiều ngành kinh tế khác của tỉnh.</w:t>
      </w:r>
      <w:r/>
    </w:p>
    <w:p w14:paraId="1AE56CD9">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Tạo điều kiện phát triển các ngành liên quan</w:t>
      </w:r>
      <w:r/>
    </w:p>
    <w:p w14:paraId="642050BA">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Khi thị trường đất nền tăng trưởng, nhiều lĩnh vực khác như xây dựng, cung ứng vật liệu và tài chính cũng phát triển theo. Sự mở rộng của các dự án bất động sản ở Hòa Bình giúp nâng cao năng suất và doanh thu cho các ngành nghề phụ trợ.</w:t>
      </w:r>
      <w:r/>
    </w:p>
    <w:p w14:paraId="05F281F6">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Giải quyết nhu cầu nhà ở</w:t>
      </w:r>
      <w:r/>
    </w:p>
    <w:p w14:paraId="417EEA41">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Với tốc độ phát triển nhanh chóng và dân số ngày càng tăng, nhu cầu về nhà ở tại Hòa Bình cũng ngày càng lớn. Thị trường đất nền đóng vai trò quan trọng trong việc phát triển các dự án nhà ở, bao gồm cả nhà ở giá rẻ và trung bình, nhằm giải quyết nhu cầu n</w:t>
      </w:r>
      <w:r>
        <w:rPr>
          <w:rFonts w:ascii="Times New Roman" w:hAnsi="Times New Roman" w:eastAsia="Times New Roman" w:cs="Times New Roman"/>
          <w:color w:val="000000"/>
          <w:sz w:val="24"/>
        </w:rPr>
        <w:t xml:space="preserve">ày. Việc phát triển các khu dân cư mới cũng giúp cân bằng cung cầu và mang lại nhiều lựa chọn hơn cho người dân địa phương.</w:t>
      </w:r>
      <w:r/>
    </w:p>
    <w:p w14:paraId="3877EDF9">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Tạo cơ hội việc làm và ổn định lao động</w:t>
      </w:r>
      <w:r/>
    </w:p>
    <w:p w14:paraId="10EF25D3">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Sự phát triển của các dự án đất nền không chỉ mang lại lợi ích kinh tế mà còn tạo ra nhiều cơ hội việc làm trong các ngành như xây dựng, kỹ thuật và quản lý dự án. Việc này giúp cải thiện tình hình lao động tại địa phương, đồng thời đóng góp vào sự phát tr</w:t>
      </w:r>
      <w:r>
        <w:rPr>
          <w:rFonts w:ascii="Times New Roman" w:hAnsi="Times New Roman" w:eastAsia="Times New Roman" w:cs="Times New Roman"/>
          <w:color w:val="000000"/>
          <w:sz w:val="24"/>
        </w:rPr>
        <w:t xml:space="preserve">iển ổn định của tỉnh cả về kinh tế lẫn xã hội.</w:t>
      </w:r>
      <w:r/>
    </w:p>
    <w:p w14:paraId="65EEDA9A">
      <w:pPr>
        <w:pBdr>
          <w:top w:val="none" w:color="000000" w:sz="4" w:space="0"/>
          <w:left w:val="none" w:color="000000" w:sz="4" w:space="0"/>
          <w:bottom w:val="none" w:color="000000" w:sz="4" w:space="0"/>
          <w:right w:val="none" w:color="000000" w:sz="4" w:space="0"/>
        </w:pBdr>
        <w:tabs>
          <w:tab w:val="left" w:leader="none" w:pos="426"/>
        </w:tabs>
        <w:spacing w:before="120" w:line="276" w:lineRule="auto"/>
        <w:ind w:right="0" w:firstLine="0" w:left="0"/>
        <w:jc w:val="both"/>
        <w:rPr/>
      </w:pPr>
      <w:r>
        <w:rPr>
          <w:rFonts w:ascii="Times New Roman" w:hAnsi="Times New Roman" w:eastAsia="Times New Roman" w:cs="Times New Roman"/>
          <w:color w:val="000000"/>
          <w:sz w:val="24"/>
        </w:rPr>
        <w:t xml:space="preserve">Tăng nguồn thu ngân sách</w:t>
      </w:r>
      <w:r/>
    </w:p>
    <w:p w14:paraId="2F6EB2B4">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Thị trường đất nền tại Hòa Bình cũng đóng góp một phần quan trọng vào nguồn thu ngân sách của tỉnh thông qua các loại thuế, phí từ giao dịch đất đai. Nguồn thu này cho phép chính quyền đầu tư vào hạ tầng, dịch vụ công cộng, và cải thiện môi trường sống cho</w:t>
      </w:r>
      <w:r>
        <w:rPr>
          <w:rFonts w:ascii="Times New Roman" w:hAnsi="Times New Roman" w:eastAsia="Times New Roman" w:cs="Times New Roman"/>
          <w:color w:val="000000"/>
          <w:sz w:val="24"/>
        </w:rPr>
        <w:t xml:space="preserve"> người dân.</w:t>
      </w:r>
      <w:r/>
    </w:p>
    <w:p w14:paraId="24A733DC">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 xml:space="preserve">(Nguồn:https://onehousing.vn/blog/tong-quan-tinh-hinh-thi-truong-dat-nen-hoa-binh-cap-nhat-moi-nhat-n17t)</w:t>
      </w:r>
      <w:r/>
    </w:p>
    <w:p w14:paraId="21224255">
      <w:pPr>
        <w:pBdr/>
        <w:tabs>
          <w:tab w:val="left" w:leader="none" w:pos="426"/>
        </w:tabs>
        <w:spacing w:after="120" w:before="120" w:line="276" w:lineRule="auto"/>
        <w:ind/>
        <w:rPr>
          <w:bCs/>
          <w:i/>
          <w:lang w:val="pt-BR"/>
        </w:rPr>
      </w:pPr>
      <w:r>
        <w:rPr>
          <w:lang w:val="pt-BR"/>
        </w:rPr>
      </w:r>
      <w:r>
        <w:rPr>
          <w:i/>
          <w:iCs/>
          <w:lang w:val="pt-BR"/>
        </w:rPr>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61B544D6">
            <w:pPr>
              <w:pBdr/>
              <w:spacing w:line="276" w:lineRule="auto"/>
              <w:ind/>
              <w:jc w:val="both"/>
              <w:rPr/>
            </w:pPr>
            <w:r/>
            <w:r>
              <w:rPr>
                <w:rFonts w:ascii="Times New Roman" w:hAnsi="Times New Roman" w:eastAsia="Times New Roman" w:cs="Times New Roman"/>
                <w:b/>
                <w:color w:val="000000"/>
                <w:sz w:val="24"/>
              </w:rPr>
              <w:t xml:space="preserve"> </w:t>
            </w:r>
            <w:r>
              <w:rPr>
                <w:rFonts w:ascii="Times New Roman" w:hAnsi="Times New Roman" w:eastAsia="Times New Roman" w:cs="Times New Roman"/>
                <w:b/>
                <w:bCs/>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B</w:t>
            </w:r>
            <w:r>
              <w:rPr>
                <w:rFonts w:ascii="Times New Roman" w:hAnsi="Times New Roman" w:eastAsia="Times New Roman" w:cs="Times New Roman"/>
                <w:b/>
                <w:bCs/>
                <w:color w:val="000000"/>
                <w:sz w:val="24"/>
              </w:rPr>
              <w:t xml:space="preserve">M 309730, số vào sổ cấp GCN: CH 01250 do Uỷ ban Nhân dân huyện Cao Phong cấp ngày 19/11/2015 cho Ông Từ Quang Hà (cập nhật ngày 14/9/2017)</w:t>
            </w:r>
            <w:r>
              <w:rPr>
                <w:sz w:val="24"/>
              </w:rPr>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1777</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Bắc Phong, Huyện Cao Phong, Tỉnh Hoà Bình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147775</w:t>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 147775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rừng sản xuất</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rPr>
              <w:t xml:space="preserve">Đến ngày 01/11/2024</w:t>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20.708888888889</w:t>
            </w:r>
            <w:r>
              <w:rPr>
                <w:color w:val="000000"/>
              </w:rPr>
              <w:t xml:space="preserve">, </w:t>
            </w:r>
            <w:r>
              <w:rPr>
                <w:color w:val="000000"/>
              </w:rPr>
              <w:t xml:space="preserve">105.29016666667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147775</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tabs>
                <w:tab w:val="right" w:leader="none" w:pos="2306"/>
              </w:tabs>
              <w:spacing/>
              <w:ind/>
              <w:rPr>
                <w:color w:val="000000"/>
              </w:rPr>
            </w:pPr>
            <w:r>
              <w:rPr>
                <w:color w:val="000000"/>
              </w:rPr>
              <w:t xml:space="preserve">Kích thước các mặt của thửa đất </w:t>
            </w:r>
            <w:r>
              <w:rPr>
                <w:color w:val="000000"/>
              </w:rPr>
              <w:tab/>
            </w:r>
            <w:r>
              <w:rPr>
                <w:color w:val="000000"/>
              </w:rPr>
            </w:r>
          </w:p>
        </w:tc>
        <w:tc>
          <w:tcPr>
            <w:gridSpan w:val="3"/>
            <w:tcBorders/>
            <w:tcW w:w="6259" w:type="dxa"/>
            <w:vAlign w:val="center"/>
            <w:textDirection w:val="lrTb"/>
            <w:noWrap w:val="false"/>
          </w:tcPr>
          <w:p w14:paraId="70564D34" w14:textId="5F84B402">
            <w:pPr>
              <w:pBdr/>
              <w:spacing/>
              <w:ind/>
              <w:jc w:val="left"/>
              <w:rPr>
                <w:color w:val="000000"/>
              </w:rPr>
            </w:pPr>
            <w:r>
              <w:rPr>
                <w:color w:val="000000" w:themeColor="text1"/>
              </w:rPr>
              <w:t xml:space="preserve">341,6x524x108x5x160x146x78,9x121,1x124,2</w:t>
            </w:r>
            <w:r>
              <w:rPr>
                <w:color w:val="000000"/>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66FE0FA9">
            <w:pPr>
              <w:pBdr/>
              <w:spacing w:after="0" w:before="0" w:line="240"/>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Đất trống</w:t>
            </w:r>
            <w:r>
              <w:rPr>
                <w:color w:val="000000"/>
              </w:rPr>
            </w:r>
          </w:p>
        </w:tc>
      </w:tr>
    </w:tbl>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Bắc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Đông Phong, Huyện Cao Phong, Tỉnh Hoà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Xuân Phong, Huyện Cao Phong, Tỉnh Hoà Bình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https://alonhadat.com.vn/1-x-ti-lo-dat-rsx-rong-5ha-view-ruong-bac-thang-cuc-hiem-tai-cao-phong-10930886.html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https://alonhadat.com.vn/sieu-pham-nghi-duong-bam-thac-nuoc-cuc-hiem-view-thi-tran-cao-phong-10903541.html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sale Hùng</w:t>
            </w:r>
            <w:r>
              <w:rPr>
                <w:sz w:val="22"/>
                <w:szCs w:val="22"/>
              </w:rPr>
              <w:t xml:space="preserve"> </w:t>
            </w:r>
            <w:r>
              <w:rPr>
                <w:sz w:val="22"/>
                <w:szCs w:val="22"/>
              </w:rPr>
              <w:b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sale Hùng</w:t>
            </w:r>
            <w:r>
              <w:rPr>
                <w:sz w:val="22"/>
                <w:szCs w:val="22"/>
              </w:rPr>
              <w:br/>
            </w:r>
            <w:r>
              <w:rPr>
                <w:sz w:val="22"/>
                <w:szCs w:val="22"/>
              </w:rPr>
              <w:t xml:space="preserve">(</w:t>
            </w:r>
            <w:r>
              <w:rPr>
                <w:sz w:val="22"/>
                <w:szCs w:val="22"/>
              </w:rPr>
              <w:t xml:space="preserve">0866983238</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sale  Huệ</w:t>
            </w:r>
            <w:r>
              <w:rPr>
                <w:sz w:val="22"/>
                <w:szCs w:val="22"/>
              </w:rPr>
              <w:br/>
            </w:r>
            <w:r>
              <w:rPr>
                <w:sz w:val="22"/>
                <w:szCs w:val="22"/>
              </w:rPr>
              <w:t xml:space="preserve">(</w:t>
            </w:r>
            <w:r>
              <w:rPr>
                <w:sz w:val="22"/>
                <w:szCs w:val="22"/>
              </w:rPr>
              <w:t xml:space="preserve">0968729955</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rừng sản xuất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Có thời hạn (đến 31/12/2046)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Có thời hạn (đến 31/12/2063)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Bắc Phong, Huyện Cao Phong, Tỉnh Hoà Bình, khoảng cách ra đường chính Cách nhà văn Hóa xóm Chao khoảng 2kmm, độ rộng đường trước mặt tài sản 3m, mặt tiền 75.9m, 20.70888888888889, 105.29016666666666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78085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47900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7272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1028.79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267.6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139.66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1.820.200.000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1.638.180.000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467.500.000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1.638.180.000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467.500.000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thời hạn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rừng sản xuất – Có thời hạn (đến 31/12/2046, 21 năm)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rừng sản xuất – Có thời hạn (đến 31/12/2063, 38 năm)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Bắc Phong, Huyện Cao Phong, Tỉnh Hoà Bình, khoảng cách ra đường chính Cách nhà văn Hóa xóm Chao khoảng 2kmm, độ rộng đường trước mặt tài sản 3m, mặt tiền 75.9m, 20.70888888888889, 105.29016666666666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39.330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64.288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39.330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70.717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-5.130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34.200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65.574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78085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47900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7272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-16.072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44.880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49.502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-4.224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29.754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47.573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1028.79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139.66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78.7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-4.104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-7.920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-16.072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25.650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25.650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25.650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32.736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31.501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-3.420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-5.280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-6.429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22.230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27.456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25.072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22.230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27.456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25.072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24.919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-10.79%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10.18%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0.61%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22.230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41.184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52.074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8%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11.970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25.344</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39.216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-10.79</w:t>
      </w:r>
      <w:r>
        <w:t xml:space="preserve">% đến</w:t>
      </w:r>
      <w:r>
        <w:t xml:space="preserve"> </w:t>
      </w:r>
      <w:r>
        <w:t xml:space="preserve"> </w:t>
      </w:r>
      <w:r>
        <w:t xml:space="preserve">10.18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22.230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7.411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27.456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9.151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25.072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8.356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24.918</w:t>
            </w:r>
            <w:r>
              <w:rPr>
                <w:b/>
                <w:bCs/>
                <w:color w:val="000000"/>
              </w:rPr>
            </w:r>
            <w:r>
              <w:rPr>
                <w:b/>
                <w:bCs/>
                <w:color w:val="000000"/>
              </w:rPr>
            </w:r>
          </w:p>
        </w:tc>
      </w:tr>
      <w:tr>
        <w:trPr>
          <w:trHeight w:val="23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25.000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09"/>
        <w:gridCol w:w="2961"/>
        <w:gridCol w:w="1317"/>
        <w:gridCol w:w="1379"/>
        <w:gridCol w:w="1224"/>
        <w:gridCol w:w="1908"/>
      </w:tblGrid>
      <w:tr>
        <w:trPr>
          <w:trHeight w:val="624"/>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09" w:type="dxa"/>
            <w:vAlign w:val="center"/>
            <w:textDirection w:val="lrTb"/>
            <w:noWrap w:val="false"/>
          </w:tcPr>
          <w:p w14:paraId="7C52927E">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961" w:type="dxa"/>
            <w:vAlign w:val="center"/>
            <w:textDirection w:val="lrTb"/>
            <w:noWrap w:val="false"/>
          </w:tcPr>
          <w:p w14:paraId="1AA690A7">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17" w:type="dxa"/>
            <w:vAlign w:val="center"/>
            <w:textDirection w:val="lrTb"/>
            <w:noWrap w:val="false"/>
          </w:tcPr>
          <w:p w14:paraId="5D4B2ED3">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79" w:type="dxa"/>
            <w:vAlign w:val="center"/>
            <w:textDirection w:val="lrTb"/>
            <w:noWrap w:val="false"/>
          </w:tcPr>
          <w:p w14:paraId="2BDCE949">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24" w:type="dxa"/>
            <w:vAlign w:val="center"/>
            <w:textDirection w:val="lrTb"/>
            <w:noWrap w:val="false"/>
          </w:tcPr>
          <w:p w14:paraId="28027E6B">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08" w:type="dxa"/>
            <w:vAlign w:val="center"/>
            <w:textDirection w:val="lrTb"/>
            <w:noWrap w:val="false"/>
          </w:tcPr>
          <w:p w14:paraId="0892882F">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877"/>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9" w:type="dxa"/>
            <w:vAlign w:val="center"/>
            <w:textDirection w:val="lrTb"/>
            <w:noWrap w:val="false"/>
          </w:tcPr>
          <w:p w14:paraId="69A66AC3">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0" w:type="dxa"/>
            <w:vAlign w:val="center"/>
            <w:textDirection w:val="lrTb"/>
            <w:noWrap w:val="false"/>
          </w:tcPr>
          <w:p w14:paraId="42AD7190">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1777, tờ bản đồ số: 1 có địa chỉ: xóm Môn, xã Bắc Phong, huyện Cao Phong, tỉnh Hòa Bình( Nay là xã Thung Nai, tỉnh Phú Thọ) theo Giấy chứng nhận quyền sử dụng đất, quyền sở hữu nhà ở và tài sản khác gắn liền với đất  số: </w:t>
            </w:r>
            <w:r>
              <w:rPr>
                <w:rFonts w:ascii="Times New Roman" w:hAnsi="Times New Roman" w:eastAsia="Times New Roman" w:cs="Times New Roman"/>
                <w:b/>
                <w:color w:val="000000"/>
                <w:sz w:val="24"/>
              </w:rPr>
              <w:t xml:space="preserve">BM 309730, số vào sổ cấp GCN: CH 01250 do Uỷ ban Nhân dân huyện Cao Phong cấp ngày 19/11/2015 cho Ông Từ Quang Hà (cập nhật ngày 14/9/2017)</w:t>
            </w:r>
            <w:r/>
          </w:p>
        </w:tc>
        <w:tc>
          <w:tcPr>
            <w:shd w:val="clear" w:color="ffffff" w:fill="ffffff"/>
            <w:tcBorders>
              <w:bottom w:val="single" w:color="000000" w:sz="5" w:space="0"/>
              <w:right w:val="single" w:color="000000" w:sz="5" w:space="0"/>
            </w:tcBorders>
            <w:tcMar>
              <w:left w:w="0" w:type="dxa"/>
              <w:top w:w="0" w:type="dxa"/>
              <w:right w:w="0" w:type="dxa"/>
              <w:bottom w:w="0" w:type="dxa"/>
            </w:tcMar>
            <w:tcW w:w="1908" w:type="dxa"/>
            <w:vAlign w:val="center"/>
            <w:textDirection w:val="lrTb"/>
            <w:noWrap w:val="false"/>
          </w:tcPr>
          <w:p w14:paraId="426128C0">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3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9" w:type="dxa"/>
            <w:vAlign w:val="center"/>
            <w:textDirection w:val="lrTb"/>
            <w:noWrap w:val="false"/>
          </w:tcPr>
          <w:p w14:paraId="6B97931F">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2961" w:type="dxa"/>
            <w:vAlign w:val="center"/>
            <w:textDirection w:val="lrTb"/>
            <w:noWrap w:val="false"/>
          </w:tcPr>
          <w:p w14:paraId="5A797030">
            <w:pPr>
              <w:pBdr/>
              <w:spacing w:after="0" w:before="0" w:line="240" w:lineRule="auto"/>
              <w:ind/>
              <w:rPr/>
            </w:pPr>
            <w:r>
              <w:rPr>
                <w:rFonts w:ascii="Times New Roman" w:hAnsi="Times New Roman" w:eastAsia="Times New Roman" w:cs="Times New Roman"/>
                <w:color w:val="000000"/>
                <w:sz w:val="24"/>
              </w:rPr>
              <w:t xml:space="preserve">Quyền sử dụng đất rừng sản xuất</w:t>
            </w:r>
            <w:r/>
          </w:p>
        </w:tc>
        <w:tc>
          <w:tcPr>
            <w:tcBorders/>
            <w:tcMar>
              <w:left w:w="0" w:type="dxa"/>
              <w:top w:w="0" w:type="dxa"/>
              <w:right w:w="0" w:type="dxa"/>
              <w:bottom w:w="0" w:type="dxa"/>
            </w:tcMar>
            <w:tcW w:w="1317" w:type="dxa"/>
            <w:vAlign w:val="center"/>
            <w:textDirection w:val="lrTb"/>
            <w:noWrap/>
          </w:tcPr>
          <w:p w14:paraId="4C2D2B4C">
            <w:pPr>
              <w:pBdr/>
              <w:spacing w:after="0" w:before="0" w:line="240" w:lineRule="auto"/>
              <w:ind/>
              <w:jc w:val="center"/>
              <w:rPr/>
            </w:pPr>
            <w:r>
              <w:rPr>
                <w:rFonts w:ascii="Times New Roman" w:hAnsi="Times New Roman" w:eastAsia="Times New Roman" w:cs="Times New Roman"/>
                <w:color w:val="000000"/>
                <w:sz w:val="24"/>
              </w:rPr>
              <w:t xml:space="preserve">78085</w:t>
            </w:r>
            <w:r/>
          </w:p>
        </w:tc>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379" w:type="dxa"/>
            <w:vAlign w:val="center"/>
            <w:textDirection w:val="lrTb"/>
            <w:noWrap w:val="false"/>
          </w:tcPr>
          <w:p w14:paraId="7FAB2776">
            <w:pPr>
              <w:pBdr/>
              <w:spacing w:after="0" w:before="0" w:line="240" w:lineRule="auto"/>
              <w:ind/>
              <w:jc w:val="center"/>
              <w:rPr/>
            </w:pPr>
            <w:r>
              <w:rPr>
                <w:rFonts w:ascii="Times New Roman" w:hAnsi="Times New Roman" w:eastAsia="Times New Roman" w:cs="Times New Roman"/>
                <w:color w:val="000000"/>
                <w:sz w:val="24"/>
              </w:rPr>
              <w:t xml:space="preserve">          25.000 </w:t>
            </w:r>
            <w:r/>
          </w:p>
        </w:tc>
        <w:tc>
          <w:tcPr>
            <w:shd w:val="clear" w:color="ffffff" w:fill="ffffff"/>
            <w:tcBorders>
              <w:bottom w:val="single" w:color="000000" w:sz="5" w:space="0"/>
              <w:right w:val="single" w:color="000000" w:sz="5" w:space="0"/>
            </w:tcBorders>
            <w:tcMar>
              <w:left w:w="0" w:type="dxa"/>
              <w:top w:w="0" w:type="dxa"/>
              <w:right w:w="0" w:type="dxa"/>
              <w:bottom w:w="0" w:type="dxa"/>
            </w:tcMar>
            <w:tcW w:w="1224" w:type="dxa"/>
            <w:vAlign w:val="center"/>
            <w:textDirection w:val="lrTb"/>
            <w:noWrap w:val="false"/>
          </w:tcPr>
          <w:p w14:paraId="343EE32C">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8" w:type="dxa"/>
            <w:vAlign w:val="center"/>
            <w:textDirection w:val="lrTb"/>
            <w:noWrap w:val="false"/>
          </w:tcPr>
          <w:p w14:paraId="5DACA5C0">
            <w:pPr>
              <w:pBdr/>
              <w:spacing w:after="0" w:before="0" w:line="240" w:lineRule="auto"/>
              <w:ind/>
              <w:jc w:val="right"/>
              <w:rPr/>
            </w:pPr>
            <w:r>
              <w:rPr>
                <w:rFonts w:ascii="Times New Roman" w:hAnsi="Times New Roman" w:eastAsia="Times New Roman" w:cs="Times New Roman"/>
                <w:color w:val="000000"/>
                <w:sz w:val="24"/>
              </w:rPr>
              <w:t xml:space="preserve">1.952.125.000</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9" w:type="dxa"/>
            <w:vAlign w:val="center"/>
            <w:textDirection w:val="lrTb"/>
            <w:noWrap w:val="false"/>
          </w:tcPr>
          <w:p w14:paraId="2E7E7BC2">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656" w:type="dxa"/>
            <w:vAlign w:val="center"/>
            <w:textDirection w:val="lrTb"/>
            <w:noWrap w:val="false"/>
          </w:tcPr>
          <w:p w14:paraId="39AC5BEC">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shd w:val="clear" w:color="ffffff" w:fill="ffffff"/>
            <w:tcBorders>
              <w:bottom w:val="single" w:color="000000" w:sz="5" w:space="0"/>
              <w:right w:val="single" w:color="000000" w:sz="5" w:space="0"/>
            </w:tcBorders>
            <w:tcMar>
              <w:left w:w="0" w:type="dxa"/>
              <w:top w:w="0" w:type="dxa"/>
              <w:right w:w="0" w:type="dxa"/>
              <w:bottom w:w="0" w:type="dxa"/>
            </w:tcMar>
            <w:tcW w:w="1224" w:type="dxa"/>
            <w:vAlign w:val="center"/>
            <w:textDirection w:val="lrTb"/>
            <w:noWrap w:val="false"/>
          </w:tcPr>
          <w:p w14:paraId="364CDA39">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8" w:type="dxa"/>
            <w:vAlign w:val="center"/>
            <w:textDirection w:val="lrTb"/>
            <w:noWrap w:val="false"/>
          </w:tcPr>
          <w:p w14:paraId="7B899DA9">
            <w:pPr>
              <w:pBdr/>
              <w:spacing w:after="0" w:before="0" w:line="240" w:lineRule="auto"/>
              <w:ind/>
              <w:jc w:val="right"/>
              <w:rPr/>
            </w:pPr>
            <w:r>
              <w:rPr>
                <w:rFonts w:ascii="Times New Roman" w:hAnsi="Times New Roman" w:eastAsia="Times New Roman" w:cs="Times New Roman"/>
                <w:color w:val="000000"/>
                <w:sz w:val="24"/>
              </w:rPr>
              <w:t xml:space="preserve">1.952.125.000</w:t>
            </w:r>
            <w:r/>
          </w:p>
        </w:tc>
      </w:tr>
      <w:tr>
        <w:trPr>
          <w:trHeight w:val="339"/>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09" w:type="dxa"/>
            <w:vAlign w:val="center"/>
            <w:textDirection w:val="lrTb"/>
            <w:noWrap w:val="false"/>
          </w:tcPr>
          <w:p w14:paraId="26411BA7">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656" w:type="dxa"/>
            <w:vAlign w:val="center"/>
            <w:textDirection w:val="lrTb"/>
            <w:noWrap w:val="false"/>
          </w:tcPr>
          <w:p w14:paraId="64BB00D7">
            <w:pPr>
              <w:pBdr/>
              <w:spacing w:after="0" w:before="0" w:line="240" w:lineRule="auto"/>
              <w:ind/>
              <w:jc w:val="center"/>
              <w:rPr/>
            </w:pPr>
            <w:r>
              <w:rPr>
                <w:rFonts w:ascii="Times New Roman" w:hAnsi="Times New Roman" w:eastAsia="Times New Roman" w:cs="Times New Roman"/>
                <w:b/>
                <w:color w:val="000000"/>
                <w:sz w:val="24"/>
              </w:rPr>
              <w:t xml:space="preserve">Làm tròn </w:t>
            </w:r>
            <w:r/>
          </w:p>
        </w:tc>
        <w:tc>
          <w:tcPr>
            <w:shd w:val="clear" w:color="ffffff" w:fill="ffffff"/>
            <w:tcBorders>
              <w:bottom w:val="single" w:color="000000" w:sz="5" w:space="0"/>
              <w:right w:val="single" w:color="000000" w:sz="5" w:space="0"/>
            </w:tcBorders>
            <w:tcMar>
              <w:left w:w="0" w:type="dxa"/>
              <w:top w:w="0" w:type="dxa"/>
              <w:right w:w="0" w:type="dxa"/>
              <w:bottom w:w="0" w:type="dxa"/>
            </w:tcMar>
            <w:tcW w:w="1224" w:type="dxa"/>
            <w:vAlign w:val="center"/>
            <w:textDirection w:val="lrTb"/>
            <w:noWrap w:val="false"/>
          </w:tcPr>
          <w:p w14:paraId="2B28C9D0">
            <w:pPr>
              <w:pBdr/>
              <w:spacing w:after="0" w:before="0" w:line="240" w:lineRule="auto"/>
              <w:ind/>
              <w:jc w:val="center"/>
              <w:rPr/>
            </w:pPr>
            <w:r>
              <w:rPr>
                <w:rFonts w:ascii="Times New Roman" w:hAnsi="Times New Roman" w:eastAsia="Times New Roman" w:cs="Times New Roman"/>
                <w:b/>
                <w:color w:val="000000"/>
                <w:sz w:val="24"/>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08" w:type="dxa"/>
            <w:vAlign w:val="center"/>
            <w:textDirection w:val="lrTb"/>
            <w:noWrap w:val="false"/>
          </w:tcPr>
          <w:p w14:paraId="39425575">
            <w:pPr>
              <w:pBdr/>
              <w:spacing w:after="0" w:before="0" w:line="240" w:lineRule="auto"/>
              <w:ind/>
              <w:jc w:val="right"/>
              <w:rPr/>
            </w:pPr>
            <w:r>
              <w:rPr>
                <w:rFonts w:ascii="Times New Roman" w:hAnsi="Times New Roman" w:eastAsia="Times New Roman" w:cs="Times New Roman"/>
                <w:b/>
                <w:color w:val="000000"/>
                <w:sz w:val="24"/>
              </w:rPr>
              <w:t xml:space="preserve">1.952.000.000</w:t>
            </w:r>
            <w:r/>
          </w:p>
        </w:tc>
      </w:tr>
      <w:tr>
        <w:trPr>
          <w:trHeight w:val="309"/>
        </w:trPr>
        <w:tc>
          <w:tcPr>
            <w:gridSpan w:val="6"/>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13942819">
            <w:pPr>
              <w:pBdr/>
              <w:spacing w:after="0" w:before="0" w:line="240" w:lineRule="auto"/>
              <w:ind/>
              <w:jc w:val="center"/>
              <w:rPr/>
            </w:pPr>
            <w:r>
              <w:rPr>
                <w:rFonts w:ascii="Times New Roman" w:hAnsi="Times New Roman" w:eastAsia="Times New Roman" w:cs="Times New Roman"/>
                <w:b/>
                <w:i/>
                <w:color w:val="000000"/>
                <w:sz w:val="24"/>
              </w:rPr>
              <w:t xml:space="preserve">Bằng chữ: Một tỷ, chín trăm năm mươi hai triệu đồng chẵn ./.</w:t>
            </w:r>
            <w:r/>
          </w:p>
        </w:tc>
      </w:tr>
    </w:tbl>
    <w:p w14:paraId="5BA50BE1">
      <w:pPr>
        <w:pStyle w:val="1025"/>
        <w:pBdr/>
        <w:tabs>
          <w:tab w:val="left" w:leader="none" w:pos="993"/>
        </w:tabs>
        <w:spacing w:after="120" w:before="120" w:line="276" w:lineRule="auto"/>
        <w:ind w:left="0"/>
        <w:jc w:val="both"/>
        <w:rPr>
          <w:highlight w:val="none"/>
        </w:rPr>
      </w:pPr>
      <w:r>
        <w:t xml:space="preserve"> </w:t>
      </w:r>
      <w:r>
        <w:rPr>
          <w:b/>
          <w:lang w:val="pt-BR"/>
        </w:rPr>
        <w:t xml:space="preserve">IX</w:t>
      </w:r>
      <w:r>
        <w:rPr>
          <w:b/>
          <w:lang w:val="pt-BR"/>
        </w:rPr>
        <w:t xml:space="preserve">. </w:t>
      </w:r>
      <w:r>
        <w:rPr>
          <w:b/>
          <w:bCs/>
          <w:lang w:val="pt-BR"/>
        </w:rPr>
        <w:t xml:space="preserve">THỜI HẠN HIỆU LỰC CỦA KẾT QUẢ THẨM ĐỊNH GIÁ</w:t>
      </w:r>
      <w:r>
        <w:rPr>
          <w:highlight w:val="none"/>
        </w:rPr>
      </w:r>
      <w:r>
        <w:rPr>
          <w:highlight w:val="none"/>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36732D07">
      <w:pPr>
        <w:pBdr>
          <w:top w:val="none" w:color="000000" w:sz="4" w:space="0"/>
          <w:left w:val="none" w:color="000000" w:sz="4" w:space="0"/>
          <w:bottom w:val="none" w:color="000000" w:sz="4" w:space="0"/>
          <w:right w:val="none" w:color="000000" w:sz="4" w:space="0"/>
        </w:pBdr>
        <w:spacing/>
        <w:ind w:right="0" w:firstLine="0" w:left="0"/>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z w:val="24"/>
          <w:highlight w:val="white"/>
        </w:rPr>
        <w:t xml:space="preserve">275/2025/1830/VFI-CT.53.A</w:t>
      </w:r>
      <w:r/>
    </w:p>
    <w:p w14:paraId="1149A769">
      <w:pPr>
        <w:pStyle w:val="1025"/>
        <w:pBdr/>
        <w:tabs>
          <w:tab w:val="left" w:leader="none" w:pos="993"/>
        </w:tabs>
        <w:spacing w:after="120" w:before="120" w:line="288" w:lineRule="auto"/>
        <w:ind w:left="0"/>
        <w:jc w:val="both"/>
        <w:rPr>
          <w:lang w:val="vi-VN"/>
        </w:rPr>
      </w:pPr>
      <w:r>
        <w:rPr>
          <w:lang w:val="vi-VN"/>
        </w:rPr>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left"/>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HSTD-20251218-0017/BC-VFI</w:t>
      </w:r>
      <w:r>
        <w:rPr>
          <w:i/>
          <w:lang w:val="pt-BR"/>
        </w:rPr>
        <w:t xml:space="preserve"> </w:t>
      </w:r>
      <w:r>
        <w:rPr>
          <w:i/>
          <w:lang w:val="pt-BR"/>
        </w:rPr>
        <w:t xml:space="preserve">ngày 17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606"/>
        <w:gridCol w:w="4884"/>
      </w:tblGrid>
      <w:tr>
        <w:trPr/>
        <w:tc>
          <w:tcPr>
            <w:tcBorders/>
            <w:tcMar>
              <w:left w:w="108" w:type="dxa"/>
              <w:top w:w="0" w:type="dxa"/>
              <w:right w:w="108" w:type="dxa"/>
              <w:bottom w:w="0" w:type="dxa"/>
            </w:tcMar>
            <w:tcW w:w="3606" w:type="dxa"/>
            <w:vAlign w:val="center"/>
            <w:textDirection w:val="lrTb"/>
            <w:noWrap w:val="false"/>
          </w:tcPr>
          <w:p w14:paraId="1F638E1F">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c>
          <w:tcPr>
            <w:tcBorders/>
            <w:tcMar>
              <w:left w:w="108" w:type="dxa"/>
              <w:top w:w="0" w:type="dxa"/>
              <w:right w:w="108" w:type="dxa"/>
              <w:bottom w:w="0" w:type="dxa"/>
            </w:tcMar>
            <w:tcW w:w="4884" w:type="dxa"/>
            <w:vAlign w:val="center"/>
            <w:textDirection w:val="lrTb"/>
            <w:noWrap w:val="false"/>
          </w:tcPr>
          <w:p w14:paraId="50EF91B7">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Đường trước tài sản</w:t>
            </w:r>
            <w:r/>
          </w:p>
        </w:tc>
      </w:tr>
      <w:tr>
        <w:trPr/>
        <w:tc>
          <w:tcPr>
            <w:tcBorders/>
            <w:tcMar>
              <w:left w:w="108" w:type="dxa"/>
              <w:top w:w="0" w:type="dxa"/>
              <w:right w:w="108" w:type="dxa"/>
              <w:bottom w:w="0" w:type="dxa"/>
            </w:tcMar>
            <w:tcW w:w="3606" w:type="dxa"/>
            <w:vAlign w:val="center"/>
            <w:textDirection w:val="lrTb"/>
            <w:noWrap w:val="false"/>
          </w:tcPr>
          <w:p w14:paraId="43200973">
            <w:pPr>
              <w:pBdr/>
              <w:spacing w:after="0" w:before="0" w:line="240" w:lineRule="auto"/>
              <w:ind/>
              <w:rPr/>
            </w:pPr>
            <w:r>
              <mc:AlternateContent>
                <mc:Choice Requires="wpg">
                  <w:drawing>
                    <wp:inline xmlns:wp="http://schemas.openxmlformats.org/drawingml/2006/wordprocessingDrawing" distT="0" distB="0" distL="0" distR="0">
                      <wp:extent cx="2436835" cy="182762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624473" name=""/>
                              <pic:cNvPicPr>
                                <a:picLocks noChangeAspect="1"/>
                              </pic:cNvPicPr>
                              <pic:nvPr/>
                            </pic:nvPicPr>
                            <pic:blipFill rotWithShape="1">
                              <a:blip r:embed="rId16"/>
                              <a:stretch/>
                            </pic:blipFill>
                            <pic:spPr bwMode="auto">
                              <a:xfrm flipH="0" flipV="0">
                                <a:off x="0" y="0"/>
                                <a:ext cx="2436834" cy="18276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88pt;height:143.91pt;mso-wrap-distance-left:0.00pt;mso-wrap-distance-top:0.00pt;mso-wrap-distance-right:0.00pt;mso-wrap-distance-bottom:0.00pt;z-index:1;" stroked="false">
                      <v:imagedata r:id="rId16"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24CB9D28">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i/>
                <w:color w:val="000000"/>
                <w:sz w:val="24"/>
              </w:rPr>
              <w:t xml:space="preserve">v </w:t>
            </w:r>
            <w:r>
              <mc:AlternateContent>
                <mc:Choice Requires="wpg">
                  <w:drawing>
                    <wp:inline xmlns:wp="http://schemas.openxmlformats.org/drawingml/2006/wordprocessingDrawing" distT="0" distB="0" distL="0" distR="0">
                      <wp:extent cx="2415220" cy="18114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01791" name=""/>
                              <pic:cNvPicPr>
                                <a:picLocks noChangeAspect="1"/>
                              </pic:cNvPicPr>
                              <pic:nvPr/>
                            </pic:nvPicPr>
                            <pic:blipFill rotWithShape="1">
                              <a:blip r:embed="rId17"/>
                              <a:stretch/>
                            </pic:blipFill>
                            <pic:spPr bwMode="auto">
                              <a:xfrm flipH="0" flipV="0">
                                <a:off x="0" y="0"/>
                                <a:ext cx="2415220" cy="1811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0.17pt;height:142.63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b/>
                <w:i/>
                <w:color w:val="000000"/>
                <w:sz w:val="24"/>
              </w:rPr>
            </w:r>
            <w:r/>
          </w:p>
        </w:tc>
      </w:tr>
      <w:tr>
        <w:trPr/>
        <w:tc>
          <w:tcPr>
            <w:tcBorders/>
            <w:tcMar>
              <w:left w:w="108" w:type="dxa"/>
              <w:top w:w="0" w:type="dxa"/>
              <w:right w:w="108" w:type="dxa"/>
              <w:bottom w:w="0" w:type="dxa"/>
            </w:tcMar>
            <w:tcW w:w="3606" w:type="dxa"/>
            <w:vAlign w:val="center"/>
            <w:textDirection w:val="lrTb"/>
            <w:noWrap w:val="false"/>
          </w:tcPr>
          <w:p w14:paraId="21D97D68">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884" w:type="dxa"/>
            <w:vAlign w:val="center"/>
            <w:textDirection w:val="lrTb"/>
            <w:noWrap w:val="false"/>
          </w:tcPr>
          <w:p w14:paraId="39AB578C">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r>
      <w:tr>
        <w:trPr/>
        <w:tc>
          <w:tcPr>
            <w:tcBorders/>
            <w:tcMar>
              <w:left w:w="108" w:type="dxa"/>
              <w:top w:w="0" w:type="dxa"/>
              <w:right w:w="108" w:type="dxa"/>
              <w:bottom w:w="0" w:type="dxa"/>
            </w:tcMar>
            <w:tcW w:w="3606" w:type="dxa"/>
            <w:vAlign w:val="center"/>
            <w:textDirection w:val="lrTb"/>
            <w:noWrap w:val="false"/>
          </w:tcPr>
          <w:p w14:paraId="32CEE131">
            <w:pPr>
              <w:pBdr/>
              <w:spacing w:after="0" w:before="0" w:line="240" w:lineRule="auto"/>
              <w:ind/>
              <w:rPr/>
            </w:pPr>
            <w:r>
              <mc:AlternateContent>
                <mc:Choice Requires="wpg">
                  <w:drawing>
                    <wp:inline xmlns:wp="http://schemas.openxmlformats.org/drawingml/2006/wordprocessingDrawing" distT="0" distB="0" distL="0" distR="0">
                      <wp:extent cx="2536780" cy="190258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1289" name=""/>
                              <pic:cNvPicPr>
                                <a:picLocks noChangeAspect="1"/>
                              </pic:cNvPicPr>
                              <pic:nvPr/>
                            </pic:nvPicPr>
                            <pic:blipFill rotWithShape="1">
                              <a:blip r:embed="rId18"/>
                              <a:stretch/>
                            </pic:blipFill>
                            <pic:spPr bwMode="auto">
                              <a:xfrm flipH="0" flipV="0">
                                <a:off x="0" y="0"/>
                                <a:ext cx="2536779" cy="1902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75pt;height:149.81pt;mso-wrap-distance-left:0.00pt;mso-wrap-distance-top:0.00pt;mso-wrap-distance-right:0.00pt;mso-wrap-distance-bottom:0.00pt;z-index:1;" stroked="false">
                      <v:imagedata r:id="rId18" o:title=""/>
                      <o:lock v:ext="edit" rotation="t"/>
                    </v:shape>
                  </w:pict>
                </mc:Fallback>
              </mc:AlternateContent>
            </w:r>
            <w:r/>
          </w:p>
        </w:tc>
        <w:tc>
          <w:tcPr>
            <w:tcBorders/>
            <w:tcMar>
              <w:left w:w="108" w:type="dxa"/>
              <w:top w:w="0" w:type="dxa"/>
              <w:right w:w="108" w:type="dxa"/>
              <w:bottom w:w="0" w:type="dxa"/>
            </w:tcMar>
            <w:tcW w:w="4884" w:type="dxa"/>
            <w:vAlign w:val="center"/>
            <w:textDirection w:val="lrTb"/>
            <w:noWrap w:val="false"/>
          </w:tcPr>
          <w:p w14:paraId="0D81A470">
            <w:pPr>
              <w:pBdr/>
              <w:spacing w:after="0" w:before="0" w:line="240" w:lineRule="auto"/>
              <w:ind/>
              <w:rPr/>
            </w:pPr>
            <w:r>
              <mc:AlternateContent>
                <mc:Choice Requires="wpg">
                  <w:drawing>
                    <wp:inline xmlns:wp="http://schemas.openxmlformats.org/drawingml/2006/wordprocessingDrawing" distT="0" distB="0" distL="0" distR="0">
                      <wp:extent cx="2710669" cy="20330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016565" name=""/>
                              <pic:cNvPicPr>
                                <a:picLocks noChangeAspect="1"/>
                              </pic:cNvPicPr>
                              <pic:nvPr/>
                            </pic:nvPicPr>
                            <pic:blipFill rotWithShape="1">
                              <a:blip r:embed="rId19"/>
                              <a:stretch/>
                            </pic:blipFill>
                            <pic:spPr bwMode="auto">
                              <a:xfrm flipH="0" flipV="0">
                                <a:off x="0" y="0"/>
                                <a:ext cx="2710669" cy="20330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44pt;height:160.08pt;mso-wrap-distance-left:0.00pt;mso-wrap-distance-top:0.00pt;mso-wrap-distance-right:0.00pt;mso-wrap-distance-bottom:0.00pt;z-index:1;" stroked="false">
                      <v:imagedata r:id="rId19" o:title=""/>
                      <o:lock v:ext="edit" rotation="t"/>
                    </v:shape>
                  </w:pict>
                </mc:Fallback>
              </mc:AlternateContent>
            </w:r>
            <w:r/>
          </w:p>
        </w:tc>
      </w:tr>
      <w:tr>
        <w:trPr/>
        <w:tc>
          <w:tcPr>
            <w:tcBorders/>
            <w:tcMar>
              <w:left w:w="108" w:type="dxa"/>
              <w:top w:w="0" w:type="dxa"/>
              <w:right w:w="108" w:type="dxa"/>
              <w:bottom w:w="0" w:type="dxa"/>
            </w:tcMar>
            <w:tcW w:w="3606" w:type="dxa"/>
            <w:vAlign w:val="center"/>
            <w:textDirection w:val="lrTb"/>
            <w:noWrap w:val="false"/>
          </w:tcPr>
          <w:p w14:paraId="6A43F2F8">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Hiện trạng  tài sản</w:t>
            </w:r>
            <w:r/>
          </w:p>
        </w:tc>
        <w:tc>
          <w:tcPr>
            <w:tcBorders/>
            <w:tcMar>
              <w:left w:w="108" w:type="dxa"/>
              <w:top w:w="0" w:type="dxa"/>
              <w:right w:w="108" w:type="dxa"/>
              <w:bottom w:w="0" w:type="dxa"/>
            </w:tcMar>
            <w:tcW w:w="4884" w:type="dxa"/>
            <w:vAlign w:val="center"/>
            <w:textDirection w:val="lrTb"/>
            <w:noWrap w:val="false"/>
          </w:tcPr>
          <w:p w14:paraId="69D53F62">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Hiện trạng tài sản</w:t>
            </w:r>
            <w:r/>
          </w:p>
        </w:tc>
      </w:tr>
      <w:tr>
        <w:trPr/>
        <w:tc>
          <w:tcPr>
            <w:tcBorders/>
            <w:tcMar>
              <w:left w:w="108" w:type="dxa"/>
              <w:top w:w="0" w:type="dxa"/>
              <w:right w:w="108" w:type="dxa"/>
              <w:bottom w:w="0" w:type="dxa"/>
            </w:tcMar>
            <w:tcW w:w="3606" w:type="dxa"/>
            <w:vAlign w:val="center"/>
            <w:textDirection w:val="lrTb"/>
            <w:noWrap w:val="false"/>
          </w:tcPr>
          <w:p w14:paraId="199E833A">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i/>
                <w:color w:val="000000"/>
                <w:sz w:val="24"/>
              </w:rPr>
              <w:t xml:space="preserve">          </w:t>
            </w:r>
            <w:r>
              <mc:AlternateContent>
                <mc:Choice Requires="wpg">
                  <w:drawing>
                    <wp:inline xmlns:wp="http://schemas.openxmlformats.org/drawingml/2006/wordprocessingDrawing" distT="0" distB="0" distL="0" distR="0">
                      <wp:extent cx="3098755" cy="23240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52334" name=""/>
                              <pic:cNvPicPr>
                                <a:picLocks noChangeAspect="1"/>
                              </pic:cNvPicPr>
                              <pic:nvPr/>
                            </pic:nvPicPr>
                            <pic:blipFill rotWithShape="1">
                              <a:blip r:embed="rId20"/>
                              <a:stretch/>
                            </pic:blipFill>
                            <pic:spPr bwMode="auto">
                              <a:xfrm flipH="0" flipV="0">
                                <a:off x="0" y="0"/>
                                <a:ext cx="3098754" cy="23240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00pt;height:183.0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b/>
                <w:i/>
                <w:color w:val="000000"/>
                <w:sz w:val="24"/>
              </w:rPr>
            </w:r>
            <w:r/>
          </w:p>
        </w:tc>
        <w:tc>
          <w:tcPr>
            <w:tcBorders/>
            <w:tcMar>
              <w:left w:w="108" w:type="dxa"/>
              <w:top w:w="0" w:type="dxa"/>
              <w:right w:w="108" w:type="dxa"/>
              <w:bottom w:w="0" w:type="dxa"/>
            </w:tcMar>
            <w:tcW w:w="4884" w:type="dxa"/>
            <w:vAlign w:val="center"/>
            <w:textDirection w:val="lrTb"/>
            <w:noWrap w:val="false"/>
          </w:tcPr>
          <w:p w14:paraId="249371AC">
            <w:pPr>
              <w:pBdr/>
              <w:spacing w:after="0" w:before="0" w:line="240" w:lineRule="auto"/>
              <w:ind/>
              <w:rPr/>
            </w:pPr>
            <w:r>
              <mc:AlternateContent>
                <mc:Choice Requires="wpg">
                  <w:drawing>
                    <wp:inline xmlns:wp="http://schemas.openxmlformats.org/drawingml/2006/wordprocessingDrawing" distT="0" distB="0" distL="0" distR="0">
                      <wp:extent cx="2811992" cy="210899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81931" name=""/>
                              <pic:cNvPicPr>
                                <a:picLocks noChangeAspect="1"/>
                              </pic:cNvPicPr>
                              <pic:nvPr/>
                            </pic:nvPicPr>
                            <pic:blipFill rotWithShape="1">
                              <a:blip r:embed="rId21"/>
                              <a:stretch/>
                            </pic:blipFill>
                            <pic:spPr bwMode="auto">
                              <a:xfrm flipH="0" flipV="0">
                                <a:off x="0" y="0"/>
                                <a:ext cx="2811992" cy="21089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42pt;height:166.06pt;mso-wrap-distance-left:0.00pt;mso-wrap-distance-top:0.00pt;mso-wrap-distance-right:0.00pt;mso-wrap-distance-bottom:0.00pt;z-index:1;" stroked="false">
                      <v:imagedata r:id="rId21" o:title=""/>
                      <o:lock v:ext="edit" rotation="t"/>
                    </v:shape>
                  </w:pict>
                </mc:Fallback>
              </mc:AlternateContent>
            </w: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HSTD-20251218-0017/BC-VFI</w:t>
      </w:r>
      <w:r>
        <w:rPr>
          <w:i/>
          <w:lang w:val="pt-BR"/>
        </w:rPr>
        <w:t xml:space="preserve"> </w:t>
      </w:r>
      <w:r>
        <w:rPr>
          <w:i/>
          <w:lang w:val="pt-BR"/>
        </w:rPr>
        <w:t xml:space="preserve">28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https://alonhadat.com.vn/1-x-ti-lo-dat-rsx-rong-5ha-view-ruong-bac-thang-cuc-hiem-tai-cao-phong-10930886.html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1.820.200.000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1.638.180.000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rừng sản xuất (47900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đường QL6 khoảng 6kmm, độ rộng đường trước mặt tài sản 6m, mặt tiền 179m, 20.691111111111113, 105.36558333333333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47900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412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58641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1.7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6412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8641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61.74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https://alonhadat.com.vn/sieu-pham-nghi-duong-bam-thac-nuoc-cuc-hiem-view-thi-tran-cao-phong-10903541.html</w:t>
            </w:r>
            <w:r>
              <w:rPr>
                <w:color w:val="000000" w:themeColor="text1"/>
                <w:sz w:val="22"/>
                <w:szCs w:val="22"/>
              </w:rPr>
              <w:br/>
              <w:t xml:space="preserve">sale Hùng</w:t>
            </w:r>
            <w:r>
              <w:rPr>
                <w:sz w:val="22"/>
                <w:szCs w:val="22"/>
              </w:rPr>
              <w:t xml:space="preserve"> </w:t>
            </w:r>
            <w:r>
              <w:rPr>
                <w:sz w:val="22"/>
                <w:szCs w:val="22"/>
              </w:rPr>
              <w:br/>
              <w:t xml:space="preserve">(0866983238</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1.320.000.000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rừng sản xuất (25000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rừng sản xuất – Có thời hạn (đến 31/12/2046, 21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Đông Phong, Huyện Cao Phong, Tỉnh Hoà Bình, khoảng cách ra đường chính cách đường quốc lộ 6 khoảng 3kmm, độ rộng đường trước mặt tài sản 6m, mặt tiền 179m, 20.703991757528282, 105.35079310019812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179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6873"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9268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6.68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687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9268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6.6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sale  Huệ</w:t>
            </w:r>
            <w:r>
              <w:rPr>
                <w:sz w:val="22"/>
                <w:szCs w:val="22"/>
              </w:rPr>
              <w:t xml:space="preserve"> </w:t>
            </w:r>
            <w:r>
              <w:rPr>
                <w:sz w:val="22"/>
                <w:szCs w:val="22"/>
              </w:rPr>
              <w:br/>
              <w:t xml:space="preserve">(0968729955</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467.500.000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rừng sản xuất (7272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rừng sản xuất – Có thời hạn (đến 31/12/2063, 38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Xuân Phong, Huyện Cao Phong, Tỉnh Hoà Bình, khoảng cách ra đường chính cách đập Bái Bông khoảng 400mm, độ rộng đường trước mặt tài sản 4m, mặt tiền 92.4m, 20.68920300373756, 105.37145423068847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đá dăm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92.4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1726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9172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8.45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1726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9172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08.4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3D8E678D">
            <w:pPr>
              <w:pBdr/>
              <w:spacing/>
              <w:ind/>
              <w:jc w:val="center"/>
              <w:rPr/>
            </w:pPr>
            <w:r>
              <w:rPr>
                <w:highlight w:val="none"/>
              </w:rPr>
            </w:r>
            <w:r>
              <w:rPr>
                <w:highlight w:val="none"/>
              </w:rPr>
            </w:r>
            <w:r/>
          </w:p>
          <w:p w14:paraId="1A1F2997">
            <w:pPr>
              <w:pBdr/>
              <w:spacing/>
              <w:ind/>
              <w:jc w:val="center"/>
              <w:rPr>
                <w:highlight w:val="none"/>
              </w:rPr>
            </w:pPr>
            <w:r>
              <w:rPr>
                <w:highlight w:val="none"/>
              </w:rPr>
            </w:r>
            <w:r>
              <w:rPr>
                <w:highlight w:val="none"/>
              </w:rPr>
            </w:r>
            <w:r>
              <w:rPr>
                <w:highlight w:val="none"/>
              </w:rPr>
            </w:r>
          </w:p>
          <w:p w14:paraId="6E030393">
            <w:pPr>
              <w:pBdr/>
              <w:spacing/>
              <w:ind/>
              <w:jc w:val="center"/>
              <w:rPr>
                <w:highlight w:val="none"/>
              </w:rPr>
            </w:pPr>
            <w:r>
              <w:rPr>
                <w:highlight w:val="none"/>
              </w:rPr>
            </w:r>
            <w:r>
              <w:rPr>
                <w:highlight w:val="none"/>
              </w:rPr>
            </w:r>
            <w:r>
              <w:rPr>
                <w:highlight w:val="none"/>
              </w:rPr>
            </w:r>
          </w:p>
          <w:p w14:paraId="4F3A6476">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Trần Thị Thanh Tâm</w:t>
            </w:r>
            <w:r>
              <w:rPr>
                <w:highlight w:val="none"/>
              </w:rPr>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271</cp:revision>
  <dcterms:created xsi:type="dcterms:W3CDTF">2025-09-15T09:58:00Z</dcterms:created>
  <dcterms:modified xsi:type="dcterms:W3CDTF">2025-12-29T07:05:11Z</dcterms:modified>
</cp:coreProperties>
</file>