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92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21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Huy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w:t>
                            </w:r>
                            <w:r>
                              <w:rPr>
                                <w:color w:val="000000"/>
                              </w:rPr>
                              <w:t xml:space="preserve">uyền sử dụng đất tại thửa đất số: 13-1, tờ bản đồ số: 52; có địa chỉ: Số 337, tổ 14, ph</w:t>
                            </w:r>
                            <w:r>
                              <w:rPr>
                                <w:color w:val="000000"/>
                              </w:rPr>
                              <w:t xml:space="preserve">ường Láng Thượng, quận Đồng Đa (nay là phường Láng, quận Đống Đa, thành phố Hà Nội) theo Giấy chứng nhận quyền sử dụng đất số: AH 871050, Số vào sổ cấp GCN: 0026.2110/QĐUB do UBND Thành phố Hà Nội cấp ngày 08/6/2007; chủ sử dụng đất là Ông Nguyễn Huy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p>
                            <w:pPr>
                              <w:pBdr/>
                              <w:spacing/>
                              <w:ind/>
                              <w:jc w:val="center"/>
                              <w:rPr>
                                <w:sz w:val="26"/>
                                <w:szCs w:val="26"/>
                              </w:rPr>
                            </w:pPr>
                            <w:r>
                              <w:rPr>
                                <w:sz w:val="26"/>
                                <w:szCs w:val="26"/>
                              </w:rPr>
                            </w:r>
                            <w:r>
                              <w:rPr>
                                <w:sz w:val="26"/>
                                <w:szCs w:val="26"/>
                              </w:rPr>
                            </w:r>
                            <w:r>
                              <w:rPr>
                                <w:sz w:val="26"/>
                                <w:szCs w:val="26"/>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Huy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w:t>
                      </w:r>
                      <w:r>
                        <w:rPr>
                          <w:color w:val="000000"/>
                        </w:rPr>
                        <w:t xml:space="preserve">uyền sử dụng đất tại thửa đất số: 13-1, tờ bản đồ số: 52; có địa chỉ: Số 337, tổ 14, ph</w:t>
                      </w:r>
                      <w:r>
                        <w:rPr>
                          <w:color w:val="000000"/>
                        </w:rPr>
                        <w:t xml:space="preserve">ường Láng Thượng, quận Đồng Đa (nay là phường Láng, quận Đống Đa, thành phố Hà Nội) theo Giấy chứng nhận quyền sử dụng đất số: AH 871050, Số vào sổ cấp GCN: 0026.2110/QĐUB do UBND Thành phố Hà Nội cấp ngày 08/6/2007; chủ sử dụng đất là Ông Nguyễn Huy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p>
                      <w:pPr>
                        <w:pBdr/>
                        <w:spacing/>
                        <w:ind/>
                        <w:jc w:val="center"/>
                        <w:rPr>
                          <w:sz w:val="26"/>
                          <w:szCs w:val="26"/>
                        </w:rPr>
                      </w:pPr>
                      <w:r>
                        <w:rPr>
                          <w:sz w:val="26"/>
                          <w:szCs w:val="26"/>
                        </w:rPr>
                      </w:r>
                      <w:r>
                        <w:rPr>
                          <w:sz w:val="26"/>
                          <w:szCs w:val="26"/>
                        </w:rPr>
                      </w:r>
                      <w:r>
                        <w:rPr>
                          <w:sz w:val="26"/>
                          <w:szCs w:val="26"/>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275/2026/0277/VFI-CT.63.A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5 tháng 2 năm 2026</w:t>
            </w:r>
            <w:r>
              <w:rPr>
                <w:color w:val="000000" w:themeColor="text1"/>
                <w:sz w:val="24"/>
                <w:szCs w:val="24"/>
                <w:lang w:val="vi-VN"/>
              </w:rPr>
            </w:r>
            <w:r>
              <w:rPr>
                <w:color w:val="000000" w:themeColor="text1"/>
                <w:sz w:val="24"/>
                <w:szCs w:val="24"/>
                <w:lang w:val="vi-VN"/>
              </w:rPr>
            </w:r>
          </w:p>
        </w:tc>
      </w:tr>
    </w:tbl>
    <w:p>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Ông </w:t>
      </w:r>
      <w:r>
        <w:rPr>
          <w:rFonts w:ascii="Times New Roman Bold" w:hAnsi="Times New Roman Bold"/>
          <w:b/>
          <w:color w:val="000000" w:themeColor="text1"/>
          <w:lang w:val="pt-BR"/>
        </w:rPr>
        <w:t xml:space="preserve">Nguyễn Huy Hoàng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275/2026/0277/VFI-HĐTĐ.63.A</w:t>
      </w:r>
      <w:r>
        <w:rPr>
          <w:spacing w:val="-4"/>
          <w:lang w:val="vi-VN"/>
        </w:rPr>
        <w:t xml:space="preserve"> ký ngày </w:t>
      </w:r>
      <w:r>
        <w:rPr>
          <w:color w:val="000000" w:themeColor="text1"/>
          <w:spacing w:val="-4"/>
        </w:rPr>
        <w:t xml:space="preserve">2 tháng 2 năm 2026</w:t>
      </w:r>
      <w:r>
        <w:rPr>
          <w:spacing w:val="-4"/>
          <w:lang w:val="vi-VN"/>
        </w:rPr>
        <w:t xml:space="preserve"> </w:t>
      </w:r>
      <w:r>
        <w:rPr>
          <w:spacing w:val="-4"/>
          <w:lang w:val="vi-VN"/>
        </w:rPr>
        <w:t xml:space="preserve">giữa Ông </w:t>
      </w:r>
      <w:r>
        <w:rPr>
          <w:color w:val="000000" w:themeColor="text1"/>
          <w:spacing w:val="-4"/>
        </w:rPr>
        <w:t xml:space="preserve">Nguyễn Huy Hoàng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275/2026/0277/VFI-BC.63.A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W w:w="5000" w:type="pct"/>
        <w:tblBorders/>
        <w:tblLook w:val="04A0" w:firstRow="1" w:lastRow="0" w:firstColumn="1" w:lastColumn="0" w:noHBand="0" w:noVBand="1"/>
      </w:tblPr>
      <w:tblGrid>
        <w:gridCol w:w="2113"/>
        <w:gridCol w:w="472"/>
        <w:gridCol w:w="6940"/>
      </w:tblGrid>
      <w:tr>
        <w:trPr>
          <w:trHeight w:val="478"/>
        </w:trPr>
        <w:tc>
          <w:tcPr>
            <w:shd w:val="clear" w:color="ffffff" w:fill="ffffff"/>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HUY HOÀNG</w:t>
            </w:r>
            <w:r/>
          </w:p>
        </w:tc>
      </w:tr>
      <w:tr>
        <w:trPr>
          <w:trHeight w:val="20"/>
        </w:trPr>
        <w:tc>
          <w:tcPr>
            <w:shd w:val="clear" w:color="ffffff" w:fill="ffffff"/>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001076063431</w:t>
            </w:r>
            <w:r>
              <w:rPr>
                <w:color w:val="000000" w:themeColor="text1"/>
              </w:rPr>
            </w:r>
            <w:r>
              <w:rPr>
                <w:color w:val="000000" w:themeColor="text1"/>
              </w:rPr>
            </w:r>
          </w:p>
        </w:tc>
      </w:tr>
      <w:tr>
        <w:trPr>
          <w:trHeight w:val="20"/>
        </w:trPr>
        <w:tc>
          <w:tcPr>
            <w:shd w:val="clear" w:color="ffffff" w:fill="ffffff"/>
            <w:tcBorders/>
            <w:tcW w:w="1109" w:type="pct"/>
            <w:vAlign w:val="center"/>
            <w:textDirection w:val="lrTb"/>
            <w:noWrap w:val="false"/>
          </w:tcPr>
          <w:p>
            <w:pPr>
              <w:pBdr/>
              <w:tabs>
                <w:tab w:val="center" w:leader="none" w:pos="1497"/>
              </w:tabs>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tab/>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1976</w:t>
            </w:r>
            <w:r>
              <w:rPr>
                <w:color w:val="ff0000"/>
                <w:lang w:val="pt-BR"/>
              </w:rPr>
            </w:r>
            <w:r>
              <w:rPr>
                <w:color w:val="ff0000"/>
                <w:lang w:val="pt-BR"/>
              </w:rPr>
            </w:r>
          </w:p>
        </w:tc>
      </w:tr>
      <w:tr>
        <w:trPr>
          <w:trHeight w:val="20"/>
        </w:trPr>
        <w:tc>
          <w:tcPr>
            <w:shd w:val="clear" w:color="ffffff" w:fill="ffffff"/>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337, tổ 17, phường Láng Thượng, quận Đống Đa</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13-1, tờ bản đồ số: 52; có địa chỉ: Số 337, tổ 14, ph</w:t>
      </w:r>
      <w:r>
        <w:rPr>
          <w:color w:val="000000" w:themeColor="text1"/>
        </w:rPr>
        <w:t xml:space="preserve">ường Láng Thượng, quận Đồng Đa (nay là phường Láng, quận Đống Đa, thành phố Hà Nội) theo Giấy chứng nhận quyền sử dụng đất số: AH 871050, Số vào sổ cấp GCN: 0026.2110/QĐUB do UBND Thành phố Hà Nội cấp ngày 08/6/2007; chủ sử dụng đất là Ông Nguyễn Huy Hoàng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6"/>
        <w:gridCol w:w="583"/>
        <w:gridCol w:w="1648"/>
        <w:gridCol w:w="1472"/>
        <w:gridCol w:w="2089"/>
        <w:gridCol w:w="1758"/>
        <w:gridCol w:w="1758"/>
      </w:tblGrid>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64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7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58" w:type="dxa"/>
            <w:vAlign w:val="center"/>
            <w:textDirection w:val="lrTb"/>
            <w:noWrap w:val="false"/>
          </w:tcPr>
          <w:p>
            <w:pPr>
              <w:pBdr/>
              <w:spacing/>
              <w:ind/>
              <w:jc w:val="center"/>
              <w:rPr>
                <w:b/>
                <w:bCs/>
              </w:rPr>
            </w:pPr>
            <w:r>
              <w:rPr>
                <w:b/>
                <w:bCs/>
              </w:rPr>
              <w:t xml:space="preserve">Tỷ lệ CLCL</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209" w:type="dxa"/>
            <w:vAlign w:val="center"/>
            <w:textDirection w:val="lrTb"/>
            <w:noWrap w:val="false"/>
          </w:tcPr>
          <w:p>
            <w:pPr>
              <w:pBdr/>
              <w:spacing w:after="40" w:before="40" w:line="288" w:lineRule="auto"/>
              <w:ind/>
              <w:jc w:val="both"/>
              <w:rPr>
                <w:b/>
                <w:bCs/>
              </w:rPr>
            </w:pPr>
            <w:r>
              <w:rPr>
                <w:b w:val="0"/>
                <w:bCs w:val="0"/>
                <w:color w:val="000000"/>
              </w:rPr>
              <w:t xml:space="preserve">Q</w:t>
            </w:r>
            <w:r>
              <w:rPr>
                <w:color w:val="000000"/>
              </w:rPr>
              <w:t xml:space="preserve">uyền sử dụng đất tại thửa đất số: 13-1, tờ bản đồ số: 52; có địa chỉ: Số 337, tổ 14, ph</w:t>
            </w:r>
            <w:r>
              <w:rPr>
                <w:color w:val="000000"/>
              </w:rPr>
              <w:t xml:space="preserve">ường Láng Thượng, quận Đồng Đa (nay là phường Láng, quận Đống Đa, thành phố Hà Nội) theo Giấy chứng nhận quyền sử dụng đất số: AH 871050, Số vào sổ cấp GCN: 0026.2110/QĐUB do UBND Thành phố Hà Nội cấp ngày 08/6/2007; chủ sử dụng đất là Ông Nguyễn Huy Hoàng</w:t>
            </w:r>
            <w:r>
              <w:rPr>
                <w:b/>
                <w:bCs/>
              </w:rPr>
              <w:t xml:space="preserve">.</w:t>
            </w:r>
            <w:r>
              <w:rPr>
                <w:b/>
                <w:bCs/>
              </w:rPr>
            </w:r>
            <w:r>
              <w:rPr>
                <w:b/>
                <w:bCs/>
              </w:rPr>
            </w:r>
          </w:p>
        </w:tc>
        <w:tc>
          <w:tcPr>
            <w:shd w:val="clear" w:color="000000" w:fill="ffffff"/>
            <w:tcBorders/>
            <w:tcW w:w="1758" w:type="dxa"/>
            <w:vAlign w:val="center"/>
            <w:textDirection w:val="lrTb"/>
            <w:noWrap w:val="false"/>
          </w:tcPr>
          <w:p>
            <w:pPr>
              <w:pBdr/>
              <w:spacing/>
              <w:ind/>
              <w:rPr>
                <w:b/>
                <w:bCs/>
              </w:rPr>
            </w:pPr>
            <w:r>
              <w:rPr>
                <w:b/>
                <w:bCs/>
              </w:rPr>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64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472" w:type="dxa"/>
            <w:vAlign w:val="center"/>
            <w:textDirection w:val="lrTb"/>
            <w:noWrap/>
          </w:tcPr>
          <w:p>
            <w:pPr>
              <w:pBdr/>
              <w:spacing w:after="40" w:before="40" w:line="288" w:lineRule="auto"/>
              <w:ind/>
              <w:jc w:val="center"/>
              <w:rPr>
                <w:color w:val="000000"/>
              </w:rPr>
            </w:pPr>
            <w:r>
              <w:rPr>
                <w:color w:val="000000" w:themeColor="text1"/>
              </w:rPr>
              <w:t xml:space="preserve">139,1</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240.000.000</w:t>
            </w:r>
            <w:r/>
          </w:p>
        </w:tc>
        <w:tc>
          <w:tcPr>
            <w:shd w:val="clear" w:color="000000" w:fill="ffffff"/>
            <w:tcBorders/>
            <w:tcW w:w="1758" w:type="dxa"/>
            <w:vAlign w:val="center"/>
            <w:textDirection w:val="lrTb"/>
            <w:noWrap w:val="false"/>
          </w:tcPr>
          <w:p>
            <w:pPr>
              <w:pBdr/>
              <w:spacing/>
              <w:ind/>
              <w:rPr/>
            </w:pPr>
            <w:r/>
            <w:r/>
          </w:p>
        </w:tc>
        <w:tc>
          <w:tcPr>
            <w:shd w:val="clear" w:color="000000" w:fill="ffffff"/>
            <w:tcBorders/>
            <w:tcW w:w="1758" w:type="dxa"/>
            <w:vAlign w:val="center"/>
            <w:textDirection w:val="lrTb"/>
            <w:noWrap w:val="false"/>
          </w:tcPr>
          <w:p>
            <w:pPr>
              <w:pBdr/>
              <w:spacing w:after="40" w:before="40" w:line="288" w:lineRule="auto"/>
              <w:ind/>
              <w:jc w:val="center"/>
              <w:rPr/>
            </w:pPr>
            <w:r>
              <w:rPr>
                <w:color w:val="000000" w:themeColor="text1"/>
              </w:rPr>
              <w:t xml:space="preserve">33.384.000.000</w:t>
            </w:r>
            <w:r/>
          </w:p>
        </w:tc>
      </w:tr>
      <w:tr>
        <w:trPr>
          <w:trHeight w:val="20"/>
        </w:trPr>
        <w:tc>
          <w:tcPr>
            <w:gridSpan w:val="2"/>
            <w:shd w:val="clear" w:color="000000" w:fill="ffffff"/>
            <w:tcBorders/>
            <w:tcW w:w="799"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648" w:type="dxa"/>
            <w:vAlign w:val="center"/>
            <w:vMerge w:val="restart"/>
            <w:textDirection w:val="lrTb"/>
            <w:noWrap w:val="false"/>
          </w:tcPr>
          <w:p>
            <w:pPr>
              <w:pBdr/>
              <w:spacing w:after="40" w:before="40" w:line="288" w:lineRule="auto"/>
              <w:ind/>
              <w:rPr>
                <w:b w:val="0"/>
                <w:bCs w:val="0"/>
              </w:rPr>
            </w:pPr>
            <w:r>
              <w:rPr>
                <w:b w:val="0"/>
                <w:bCs w:val="0"/>
              </w:rPr>
              <w:t xml:space="preserve">Nhà 6 tầng + 1 lửng + 1 tum</w:t>
            </w:r>
            <w:r>
              <w:rPr>
                <w:b w:val="0"/>
                <w:bCs w:val="0"/>
              </w:rPr>
            </w:r>
            <w:r>
              <w:rPr>
                <w:b w:val="0"/>
                <w:bCs w:val="0"/>
              </w:rPr>
            </w:r>
          </w:p>
        </w:tc>
        <w:tc>
          <w:tcPr>
            <w:tcBorders/>
            <w:tcW w:w="147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776,82</w:t>
            </w:r>
            <w:r>
              <w:rPr>
                <w:color w:val="000000" w:themeColor="text1"/>
              </w:rPr>
            </w:r>
            <w:r>
              <w:rPr>
                <w:color w:val="000000" w:themeColor="text1"/>
              </w:rPr>
            </w:r>
          </w:p>
        </w:tc>
        <w:tc>
          <w:tcPr>
            <w:shd w:val="clear" w:color="000000" w:fill="ffffff"/>
            <w:tcBorders/>
            <w:tcW w:w="208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7.137.144</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ind/>
              <w:jc w:val="center"/>
              <w:rPr>
                <w:color w:val="000000" w:themeColor="text1"/>
              </w:rPr>
            </w:pPr>
            <w:r>
              <w:rPr>
                <w:color w:val="000000" w:themeColor="text1"/>
              </w:rPr>
              <w:t xml:space="preserve">94%</w:t>
            </w:r>
            <w:r>
              <w:rPr>
                <w:color w:val="000000" w:themeColor="text1"/>
              </w:rPr>
            </w:r>
            <w:r>
              <w:rPr>
                <w:color w:val="000000" w:themeColor="text1"/>
              </w:rPr>
            </w:r>
          </w:p>
        </w:tc>
        <w:tc>
          <w:tcPr>
            <w:shd w:val="clear" w:color="000000" w:fill="ffffff"/>
            <w:tcBorders/>
            <w:tcW w:w="175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5.211.619.630</w:t>
            </w:r>
            <w:r>
              <w:rPr>
                <w:color w:val="000000" w:themeColor="text1"/>
              </w:rPr>
            </w:r>
            <w:r>
              <w:rPr>
                <w:color w:val="000000" w:themeColor="text1"/>
              </w:rPr>
            </w:r>
          </w:p>
        </w:tc>
      </w:tr>
      <w:tr>
        <w:trPr>
          <w:trHeight w:val="20"/>
        </w:trPr>
        <w:tc>
          <w:tcPr>
            <w:gridSpan w:val="5"/>
            <w:tcBorders/>
            <w:tcW w:w="600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58" w:type="dxa"/>
            <w:vAlign w:val="center"/>
            <w:textDirection w:val="lrTb"/>
            <w:noWrap/>
          </w:tcPr>
          <w:p>
            <w:pPr>
              <w:pBdr/>
              <w:spacing/>
              <w:ind/>
              <w:rPr/>
            </w:pPr>
            <w:r/>
            <w:r/>
          </w:p>
        </w:tc>
        <w:tc>
          <w:tcPr>
            <w:tcBorders/>
            <w:tcW w:w="1758" w:type="dxa"/>
            <w:vAlign w:val="center"/>
            <w:textDirection w:val="lrTb"/>
            <w:noWrap/>
          </w:tcPr>
          <w:p>
            <w:pPr>
              <w:pBdr/>
              <w:spacing w:after="40" w:before="40" w:line="288" w:lineRule="auto"/>
              <w:ind/>
              <w:jc w:val="center"/>
              <w:rPr>
                <w:b/>
                <w:bCs/>
                <w:color w:val="000000"/>
              </w:rPr>
            </w:pPr>
            <w:r>
              <w:rPr>
                <w:b/>
                <w:bCs/>
              </w:rPr>
              <w:t xml:space="preserve">38.595.619.630</w:t>
            </w:r>
            <w:r>
              <w:rPr>
                <w:b/>
                <w:bCs/>
                <w:color w:val="000000"/>
              </w:rPr>
            </w:r>
            <w:r>
              <w:rPr>
                <w:b/>
                <w:bCs/>
                <w:color w:val="000000"/>
              </w:rPr>
            </w:r>
          </w:p>
        </w:tc>
      </w:tr>
      <w:tr>
        <w:trPr>
          <w:trHeight w:val="20"/>
        </w:trPr>
        <w:tc>
          <w:tcPr>
            <w:gridSpan w:val="5"/>
            <w:tcBorders/>
            <w:tcW w:w="600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58"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758" w:type="dxa"/>
            <w:vAlign w:val="center"/>
            <w:textDirection w:val="lrTb"/>
            <w:noWrap/>
          </w:tcPr>
          <w:p>
            <w:pPr>
              <w:pBdr/>
              <w:spacing w:after="40" w:before="40" w:line="288" w:lineRule="auto"/>
              <w:ind/>
              <w:jc w:val="center"/>
              <w:rPr>
                <w:b/>
                <w:bCs/>
                <w:color w:val="000000"/>
              </w:rPr>
            </w:pPr>
            <w:r>
              <w:rPr>
                <w:b/>
                <w:bCs/>
                <w:color w:val="000000"/>
              </w:rPr>
              <w:t xml:space="preserve">38.595.620.000</w:t>
            </w:r>
            <w:r>
              <w:rPr>
                <w:b/>
                <w:bCs/>
                <w:color w:val="000000"/>
              </w:rPr>
            </w:r>
            <w:r>
              <w:rPr>
                <w:b/>
                <w:bCs/>
                <w:color w:val="000000"/>
              </w:rPr>
            </w:r>
          </w:p>
        </w:tc>
      </w:tr>
      <w:tr>
        <w:trPr>
          <w:trHeight w:val="20"/>
        </w:trPr>
        <w:tc>
          <w:tcPr>
            <w:tcBorders/>
            <w:tcW w:w="216" w:type="dxa"/>
            <w:vAlign w:val="center"/>
            <w:textDirection w:val="lrTb"/>
            <w:noWrap w:val="false"/>
          </w:tcPr>
          <w:p>
            <w:pPr>
              <w:pBdr/>
              <w:spacing/>
              <w:ind/>
              <w:rPr>
                <w:b/>
                <w:bCs/>
                <w:i/>
                <w:color w:val="000000"/>
              </w:rPr>
            </w:pPr>
            <w:r>
              <w:rPr>
                <w:b/>
                <w:bCs/>
                <w:i/>
                <w:iCs/>
                <w:color w:val="000000"/>
              </w:rPr>
            </w:r>
            <w:r>
              <w:rPr>
                <w:b/>
                <w:bCs/>
                <w:i/>
                <w:color w:val="000000"/>
              </w:rPr>
            </w:r>
            <w:r>
              <w:rPr>
                <w:b/>
                <w:bCs/>
                <w:i/>
                <w:color w:val="000000"/>
              </w:rPr>
            </w:r>
          </w:p>
        </w:tc>
        <w:tc>
          <w:tcPr>
            <w:gridSpan w:val="6"/>
            <w:tcBorders/>
            <w:tcW w:w="9309"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mươi tám tỷ năm trăm chín mươi lăm triệu sáu trăm hai mươi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275/2026/0277/VFI-B</w:t>
            </w:r>
            <w:r>
              <w:rPr>
                <w:rStyle w:val="1026"/>
                <w:rFonts w:ascii="Times New Roman" w:hAnsi="Times New Roman"/>
                <w:color w:val="000000" w:themeColor="text1"/>
                <w:highlight w:val="white"/>
                <w:lang w:val="pt-BR"/>
              </w:rPr>
              <w:t xml:space="preserve">C.</w:t>
            </w:r>
            <w:r>
              <w:rPr>
                <w:rStyle w:val="1026"/>
                <w:rFonts w:ascii="Times New Roman" w:hAnsi="Times New Roman"/>
                <w:color w:val="000000" w:themeColor="text1"/>
                <w:highlight w:val="white"/>
                <w:lang w:val="pt-BR"/>
              </w:rPr>
              <w:t xml:space="preserve">63</w:t>
            </w:r>
            <w:r>
              <w:rPr>
                <w:rStyle w:val="1026"/>
                <w:rFonts w:ascii="Times New Roman" w:hAnsi="Times New Roman"/>
                <w:color w:val="000000" w:themeColor="text1"/>
                <w:lang w:val="pt-BR"/>
              </w:rPr>
              <w:t xml:space="preserve">.A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5 tháng 2 năm 2026</w:t>
            </w:r>
            <w:r>
              <w:rPr>
                <w:color w:val="000000" w:themeColor="text1"/>
                <w:sz w:val="24"/>
                <w:szCs w:val="24"/>
                <w:lang w:val="vi-VN"/>
              </w:rPr>
            </w:r>
            <w:r>
              <w:rPr>
                <w:color w:val="000000" w:themeColor="text1"/>
                <w:sz w:val="24"/>
                <w:szCs w:val="24"/>
                <w:lang w:val="vi-VN"/>
              </w:rPr>
            </w:r>
          </w:p>
        </w:tc>
      </w:tr>
    </w:tbl>
    <w:p>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275/2026/0277/VFI-CT.63.A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highlight w:val="none"/>
          <w:lang w:val="pt-BR"/>
        </w:rPr>
      </w:r>
      <w:r>
        <w:rPr>
          <w:b/>
          <w:bCs/>
          <w:highlight w:val="non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ind/>
              <w:rPr/>
            </w:pPr>
            <w:r>
              <w:rPr>
                <w:b/>
                <w:bCs/>
              </w:rPr>
              <w:t xml:space="preserve">NGUYỄN HUY HOÀNG</w:t>
            </w: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color w:val="000000" w:themeColor="text1"/>
              </w:rPr>
            </w:pPr>
            <w:r>
              <w:rPr>
                <w:color w:val="000000" w:themeColor="text1"/>
                <w:lang w:val="pt-BR"/>
              </w:rPr>
              <w:t xml:space="preserve">001076063431</w:t>
            </w:r>
            <w:r>
              <w:rPr>
                <w:color w:val="000000" w:themeColor="text1"/>
              </w:rPr>
            </w:r>
            <w:r>
              <w:rPr>
                <w:color w:val="000000" w:themeColor="text1"/>
              </w:rPr>
            </w:r>
          </w:p>
        </w:tc>
      </w:tr>
      <w:tr>
        <w:trPr>
          <w:trHeight w:val="20"/>
        </w:trPr>
        <w:tc>
          <w:tcPr>
            <w:tcBorders/>
            <w:tcW w:w="2518" w:type="dxa"/>
            <w:vAlign w:val="center"/>
            <w:vMerge w:val="restart"/>
            <w:textDirection w:val="lrTb"/>
            <w:noWrap w:val="false"/>
          </w:tcPr>
          <w:p>
            <w:pPr>
              <w:pBdr/>
              <w:tabs>
                <w:tab w:val="center" w:leader="none" w:pos="1497"/>
              </w:tabs>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tab/>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color w:val="ff0000"/>
                <w:lang w:val="pt-BR"/>
              </w:rPr>
            </w:pPr>
            <w:r>
              <w:rPr>
                <w:color w:val="000000" w:themeColor="text1"/>
                <w:lang w:val="vi-VN"/>
              </w:rPr>
              <w:t xml:space="preserve">1976</w:t>
            </w:r>
            <w:r>
              <w:rPr>
                <w:color w:val="ff0000"/>
                <w:lang w:val="pt-BR"/>
              </w:rPr>
            </w:r>
            <w:r>
              <w:rPr>
                <w:color w:val="ff0000"/>
                <w:lang w:val="pt-BR"/>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color w:val="ff0000"/>
                <w:lang w:val="pt-BR"/>
              </w:rPr>
            </w:pPr>
            <w:r>
              <w:rPr>
                <w:color w:val="000000" w:themeColor="text1"/>
                <w:lang w:val="vi-VN"/>
              </w:rPr>
              <w:t xml:space="preserve">Số 337, tổ 17, phường Láng Thượng, quận Đống Đa</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và tài sản gắn liền với đất tại thửa đất số: 13-1, tờ bản đồ số: 52; có địa chỉ: Số 337, tổ 14, ph</w:t>
            </w:r>
            <w:r>
              <w:rPr>
                <w:bCs/>
                <w:color w:val="000000" w:themeColor="text1"/>
                <w:lang w:val="pt-BR"/>
              </w:rPr>
              <w:t xml:space="preserve">ường Láng Thượng, quận Đồng Đa (nay là phường Láng, quận Đống Đa, thành phố Hà Nội) theo Giấy chứng nhận quyền sử dụng đất số: AH 871050, Số vào sổ cấp GCN: 0026.2110/QĐUB do UBND Thành phố Hà Nội cấp ngày 08/6/2007; chủ sử dụng đất là Ông Nguyễn Huy Hoàng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Láng, Quận Đống Đa,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21.020216, 105.804543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8"/>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8"/>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8"/>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AH 871050, Số vào sổ cấp GCN: 0026.2110/QĐUB do UBND Thành phố Hà Nội cấp ngày 08/6/2007; chủ sử dụng đất là Ông Nguyễn Huy Hoàng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275/2026/0277/VFI-HĐTĐ.63.A ngày 02/02/2026 giữa Ông Nguyễn Huy Hoàng với Công ty Cổ phần Thẩm định và Đầu tư Tài chính Hoa Sen.</w:t>
      </w:r>
      <w:r>
        <w:rPr>
          <w:b/>
          <w:lang w:val="pt-BR"/>
        </w:rPr>
      </w:r>
      <w:r>
        <w:rPr>
          <w:b/>
          <w:lang w:val="pt-BR"/>
        </w:rPr>
      </w:r>
    </w:p>
    <w:p>
      <w:pPr>
        <w:pStyle w:val="1028"/>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bất động sản Hà Nội trong nửa đầu năm 2025 cho thấy những tín hiệu phục hồi rõ ràng hơn so với giai đoạn trầm lắng 2022–2024, tuy nhiên sự phục hồi</w:t>
      </w:r>
      <w:r>
        <w:rPr>
          <w:shd w:val="clear" w:color="auto" w:fill="ffffff"/>
        </w:rPr>
        <w:t xml:space="preserve"> này diễn ra trong bối cảnh phân hóa mạnh và tâm lý thận trọng vẫn chi phối phần lớn người mua. Mặt bằng giá bất động sản nhìn chung vẫn duy trì ở mức cao, đặc biệt tại khu vực nội đô, khiến khả năng tiếp cận của người mua ở thực gặp nhiều hạn chế. Phân kh</w:t>
      </w:r>
      <w:r>
        <w:rPr>
          <w:shd w:val="clear" w:color="auto" w:fill="ffffff"/>
        </w:rPr>
        <w:t xml:space="preserve">úc căn hộ chung cư – vốn là trụ cột của thị trường Hà Nội – ghi nhận giao dịch chững lại, giá tăng chậm hoặc đi ngang sau giai đoạn tăng nóng. Giá căn hộ trung bình đạt khoảng 63 triệu đồng/m² trong quý I/2025, phản ánh sự ổn định hơn về giá nhưng cũng cho</w:t>
      </w:r>
      <w:r>
        <w:rPr>
          <w:shd w:val="clear" w:color="auto" w:fill="ffffff"/>
        </w:rPr>
        <w:t xml:space="preserve"> thấy áp lực tài chính lớn đối với người mua. Nguồn cung căn hộ mới chủ yếu tập trung ở các khu vực ven đô như Gia Lâm, Đông Anh, Thanh Trì, Thạch Thất, nơi được hưởng lợi từ quy hoạch và đầu tư hạ tầng, trong khi khu vực trung tâm gần như không có thêm qu</w:t>
      </w:r>
      <w:r>
        <w:rPr>
          <w:shd w:val="clear" w:color="auto" w:fill="ffffff"/>
        </w:rPr>
        <w:t xml:space="preserve">ỹ đất mới. Phân khúc nhà ở thấp tầng như biệt thự, liền kề, shophouse bắt đầu phục hồi với nguồn cung tăng trở lại, song giao dịch chủ yếu đến từ nhóm khách hàng có tiềm lực tài chính mạnh và nhu cầu ở thực, thay vì nhà đầu tư lướt sóng như các giai đoạn t</w:t>
      </w:r>
      <w:r>
        <w:rPr>
          <w:shd w:val="clear" w:color="auto" w:fill="ffffff"/>
        </w:rPr>
        <w:t xml:space="preserve">rước. Thanh khoản toàn thị trường tuy cải thiện so với năm 2024 nhưng vẫn chưa đạt mức sôi động, phản ánh rõ tâm lý “nghe ngóng” của cả người mua lẫn nhà đầu tư.</w:t>
        <w:br/>
        <w:br/>
        <w:t xml:space="preserve">Bên cạnh căn hộ và nhà thấp tầng, phân khúc đất nền – đặc biệt tại khu vực ngoại thành Hà Nội</w:t>
      </w:r>
      <w:r>
        <w:rPr>
          <w:shd w:val="clear" w:color="auto" w:fill="ffffff"/>
        </w:rPr>
        <w:t xml:space="preserve"> – đang ghi nhận sự phục hồi mạnh mẽ nhất. Lượng tìm kiếm và giao dịch đất nền tăng rõ rệt, kéo theo mức giá tại nhiều khu vực ven đô tăng đáng kể so với cùng kỳ năm trước. Các địa bàn như Đông Anh, Hoài Đức, Gia Lâm, Thanh Trì được quan tâm nhiều nhờ thôn</w:t>
      </w:r>
      <w:r>
        <w:rPr>
          <w:shd w:val="clear" w:color="auto" w:fill="ffffff"/>
        </w:rPr>
        <w:t xml:space="preserve">g tin quy hoạch, hạ tầng và định hướng phát triển đô thị, song cũng tiềm ẩn rủi ro nếu nhà đầu tư chạy theo tin đồn hoặc thiếu kiểm tra pháp lý. Các chuyên gia khuyến nghị người mua và nhà đầu tư cần tỉnh táo, ưu tiên những sản phẩm có pháp lý minh bạch, v</w:t>
      </w:r>
      <w:r>
        <w:rPr>
          <w:shd w:val="clear" w:color="auto" w:fill="ffffff"/>
        </w:rPr>
        <w:t xml:space="preserve">ị trí rõ ràng và khả năng khai thác thực tế. Về mặt không gian thị trường, sự phân hóa giữa khu vực trung tâm và vùng ven ngày càng rõ nét: các quận lõi như Ba Đình, Hoàn Kiếm, Đống Đa ghi nhận giao dịch giảm do giá cao và khan hiếm nguồn cung, trong khi c</w:t>
      </w:r>
      <w:r>
        <w:rPr>
          <w:shd w:val="clear" w:color="auto" w:fill="ffffff"/>
        </w:rPr>
        <w:t xml:space="preserve">ác huyện ven đô trở thành điểm đến chính của nhu cầu ở thực và đầu tư dài hạn. Nhìn tổng thể, thị trường bất động sản Hà Nội nửa đầu năm 2025 đang bước vào giai đoạn ổn định hơn, phát triển theo hướng chọn lọc và bền vững, với trọng tâm là nhu cầu ở thực t</w:t>
      </w:r>
      <w:r>
        <w:rPr>
          <w:shd w:val="clear" w:color="auto" w:fill="ffffff"/>
        </w:rPr>
        <w:t xml:space="preserve">hay vì đầu cơ ngắn hạn. Nếu xu hướng này tiếp tục, thị trường được kỳ vọng sẽ hồi phục chậm nhưng chắc, tạo nền tảng cho sự tăng trưởng lành mạnh trong các năm tiếp theo.</w:t>
        <w:br/>
        <w:t xml:space="preserve">(Nguồn: https://wiki.batdongsan.com.vn/tin-tuc/thi-truong-bat-dong-san-ha-noi-836237)</w:t>
      </w:r>
      <w:r>
        <w:rPr>
          <w:i/>
          <w:iCs/>
          <w:lang w:val="pt-BR"/>
        </w:rPr>
      </w:r>
      <w:r>
        <w:rPr>
          <w:i/>
          <w:iCs/>
          <w:lang w:val="pt-BR"/>
        </w:rPr>
      </w:r>
    </w:p>
    <w:p>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13-1, tờ bản đồ số: 52; có địa chỉ: Số 337, tổ 14, ph</w:t>
            </w:r>
            <w:r>
              <w:rPr>
                <w:b/>
                <w:bCs/>
                <w:color w:val="000000"/>
              </w:rPr>
              <w:t xml:space="preserve">ường Láng Thượng, quận Đồng Đa (nay là phường Láng, quận Đống Đa, thành phố Hà Nội) theo Giấy chứng nhận quyền sử dụng đất số: AH 871050, Số vào sổ cấp GCN: 0026.2110/QĐUB do UBND Thành phố Hà Nội cấp ngày 08/6/2007; chủ sử dụng đất là Ông Nguyễn Huy Hoàng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Láng Thượng, Quận Đống Đa,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139,1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chủ tài sản cung cấp,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 + 2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Vành đai 2 khoảng 1000m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Nam: tiếp giáp ngõ giao thông rộng khoảng 2,3m</w:t>
              <w:br/>
              <w:t xml:space="preserve">Hướng Tây: tiếp giáp ngõ rộng khoảng 1,5m</w:t>
              <w:br/>
              <w:t xml:space="preserve">Hướng Nam: tiếp giáp ngõ rộng khoảng 2m</w:t>
              <w:br/>
              <w:t xml:space="preserve">Hướng Đông Bắc: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21.020216</w:t>
            </w:r>
            <w:r>
              <w:rPr>
                <w:color w:val="000000"/>
              </w:rPr>
              <w:t xml:space="preserve">, </w:t>
            </w:r>
            <w:r>
              <w:rPr>
                <w:color w:val="000000"/>
              </w:rPr>
              <w:t xml:space="preserve">105.804543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78839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78839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0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139,1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w:t>
            </w:r>
            <w:r>
              <w:rPr>
                <w:b/>
                <w:bCs/>
                <w:color w:val="000000"/>
              </w:rPr>
              <w:t xml:space="preserve">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Nhà 6 tầng + 1 lửng + 1 tum, tổng diện tích sàn khoảng 776,82m2, xây dựng và hoàn thiện năm 2023. Công trình chưa được công nhận trên GCN QSDĐ.</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840"/>
        <w:gridCol w:w="1276"/>
        <w:gridCol w:w="1843"/>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840"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134"/>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7"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Có</w:t>
            </w:r>
            <w:r/>
          </w:p>
        </w:tc>
        <w:tc>
          <w:tcPr>
            <w:tcBorders/>
            <w:tcW w:w="2977" w:type="dxa"/>
            <w:vAlign w:val="center"/>
            <w:textDirection w:val="lrTb"/>
            <w:noWrap w:val="false"/>
          </w:tcPr>
          <w:p>
            <w:pPr>
              <w:widowControl w:val="false"/>
              <w:pBdr/>
              <w:spacing w:line="235" w:lineRule="auto"/>
              <w:ind w:left="144"/>
              <w:rPr>
                <w:lang w:eastAsia="ko-KR"/>
              </w:rPr>
            </w:pPr>
            <w:r>
              <w:rPr>
                <w:lang w:eastAsia="ko-KR"/>
              </w:rPr>
              <w:t xml:space="preserve">Có cột điện phía trước mặt tiền thửa đất</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8"/>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8"/>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8"/>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8"/>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Láng,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Láng, Quận Đống Đa,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Láng, Quận Đống Đa,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Láng, Quận Đống Đa,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https://alonhadat.com.vn/huynh-thuc-khang-keo-dai-phao-dai-lang--17953673.html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https://alonhadat.com.vn/ban-toa-can-ho-phao-dai-lang-71mx7tang-thang-may-mt5-2m-so-dep-du-pccc-26ty-17952494.html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https://batdongsan.com.vn/ban-nha-rieng-pho-phao-dai-lang-phuong-lang-thuong/hiem-moi-tinh-thang-may-o-ngay-trung-tam-dong-da-pr45124174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0988.756.567</w:t>
            </w:r>
            <w:r>
              <w:rPr>
                <w:sz w:val="22"/>
                <w:szCs w:val="22"/>
              </w:rPr>
              <w:t xml:space="preserve"> </w:t>
            </w:r>
            <w:r>
              <w:rPr>
                <w:sz w:val="22"/>
                <w:szCs w:val="22"/>
              </w:rPr>
              <w:br/>
              <w:t xml:space="preserve">(</w:t>
            </w:r>
            <w:r>
              <w:rPr>
                <w:sz w:val="22"/>
                <w:szCs w:val="22"/>
              </w:rPr>
              <w:t xml:space="preserve">Lực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0934.636.666</w:t>
            </w:r>
            <w:r>
              <w:rPr>
                <w:sz w:val="22"/>
                <w:szCs w:val="22"/>
              </w:rPr>
              <w:br/>
            </w:r>
            <w:r>
              <w:rPr>
                <w:sz w:val="22"/>
                <w:szCs w:val="22"/>
              </w:rPr>
              <w:t xml:space="preserve">(</w:t>
            </w:r>
            <w:r>
              <w:rPr>
                <w:sz w:val="22"/>
                <w:szCs w:val="22"/>
              </w:rPr>
              <w:t xml:space="preserve">Việt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0869161611</w:t>
            </w:r>
            <w:r>
              <w:rPr>
                <w:sz w:val="22"/>
                <w:szCs w:val="22"/>
              </w:rPr>
              <w:br/>
            </w:r>
            <w:r>
              <w:rPr>
                <w:sz w:val="22"/>
                <w:szCs w:val="22"/>
              </w:rPr>
              <w:t xml:space="preserve">(</w:t>
            </w:r>
            <w:r>
              <w:rPr>
                <w:sz w:val="22"/>
                <w:szCs w:val="22"/>
              </w:rPr>
              <w:t xml:space="preserve">Thiện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Láng,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Láng, Quận Đống Đa,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Láng, Quận Đống Đa,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Láng, Quận Đống Đa,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 + 2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Cột điện chắn trước mặt tiền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8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6 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 sử dụng (m2)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568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186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24.480.000.000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1.736.195.280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3.941.613.962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1.508.246.174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14:ligatures w14:val="none"/>
              </w:rPr>
            </w:pPr>
            <w:r>
              <w:rPr>
                <w:b/>
                <w:bCs/>
                <w:color w:val="000000"/>
                <w:sz w:val="22"/>
                <w:szCs w:val="22"/>
              </w:rPr>
            </w:r>
            <w:r>
              <w:rPr>
                <w:color w:val="000000" w:themeColor="text1"/>
                <w:sz w:val="22"/>
                <w:szCs w:val="22"/>
              </w:rPr>
              <w:t xml:space="preserve">Đơn giá xây dựng theo Quyết định số 409/QĐ-BXD ngày 11/4/2025 của Bộ Xây Dựng (đồng/m²)</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7.673.000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8.966.000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CLCL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15.813.894.720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20.538.386.038</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7.941.753.826</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289.273.043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256.185.607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Bất lợi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Lợi thế hơn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Lợi thế hơn </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Lợi thế hơn </w:t>
            </w:r>
            <w:r>
              <w:rPr>
                <w:color w:val="000000" w:themeColor="text1"/>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15.813.894.720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20.538.386.038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7.941.753.826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289.273.043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256.185.607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289.273.043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256.185.607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289.273.043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256.185.607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289.273.043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256.185.607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Phường Láng, quận Đống Đa, thành phố Hà Nội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Láng, quận Đống Đa, thành phố Hà Nội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Láng, quận Đống Đa, thành phố Hà Nội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Láng, quận Đống Đa, thành phố Hà Nội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289.273.043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256.185.607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-15.205.668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-12.809.280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288.907.692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289.273.043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243.376.327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-15.205.668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-28.927.304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273.702.024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260.345.739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243.376.327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139,1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-39.534.737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-34.712.765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-38.427.841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234.167.287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225.632.974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204.948.486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14.463.652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234.167.287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240.096.626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204.948.486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234.167.287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240.096.626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204.948.486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 + 2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30.411.336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28.927.304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25.618.561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264.578.623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269.023.930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230.567.047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264.578.623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269.023.930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230.567.047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264.578.623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269.023.930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230.567.047</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sz w:val="22"/>
                <w:szCs w:val="22"/>
              </w:rPr>
              <w:t xml:space="preserve">Bất lợi</w:t>
            </w:r>
            <w:r>
              <w:rPr>
                <w:b/>
                <w:bCs/>
                <w:color w:val="000000"/>
                <w:sz w:val="22"/>
                <w:szCs w:val="22"/>
              </w:rPr>
            </w:r>
            <w:r>
              <w:rPr>
                <w:b/>
                <w:bCs/>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t xml:space="preserve">Cột điện chắn trước mặt tiền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Không có bất lợi</w:t>
            </w:r>
            <w:r>
              <w:rPr>
                <w:color w:val="000000" w:themeColor="text1"/>
                <w:sz w:val="22"/>
                <w:szCs w:val="22"/>
              </w:rPr>
            </w:r>
            <w:r>
              <w:rPr>
                <w:color w:val="000000" w:themeColor="text1"/>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điều chỉnh</w:t>
            </w:r>
            <w:r>
              <w:rPr>
                <w:b w:val="0"/>
                <w:bCs w:val="0"/>
                <w:color w:val="000000"/>
                <w:sz w:val="22"/>
                <w:szCs w:val="22"/>
              </w:rPr>
            </w:r>
            <w:r>
              <w:rPr>
                <w:b w:val="0"/>
                <w:bCs w:val="0"/>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ind/>
              <w:jc w:val="center"/>
              <w:rPr>
                <w:b w:val="0"/>
                <w:bCs w:val="0"/>
                <w:color w:val="000000"/>
                <w:sz w:val="22"/>
                <w:szCs w:val="22"/>
                <w14:ligatures w14:val="none"/>
              </w:rPr>
            </w:pPr>
            <w:r>
              <w:rPr>
                <w:b w:val="0"/>
                <w:bCs w:val="0"/>
                <w:color w:val="000000"/>
                <w:sz w:val="22"/>
                <w:szCs w:val="22"/>
              </w:rPr>
              <w:t xml:space="preserve">-15.205.668</w:t>
            </w:r>
            <w:r>
              <w:rPr>
                <w:b w:val="0"/>
                <w:bCs w:val="0"/>
                <w:color w:val="000000"/>
                <w:sz w:val="22"/>
                <w:szCs w:val="22"/>
                <w14:ligatures w14:val="none"/>
              </w:rPr>
            </w:r>
            <w:r>
              <w:rPr>
                <w:b w:val="0"/>
                <w:bCs w:val="0"/>
                <w:color w:val="000000"/>
                <w:sz w:val="22"/>
                <w:szCs w:val="22"/>
                <w14:ligatures w14:val="none"/>
              </w:rPr>
            </w:r>
          </w:p>
        </w:tc>
        <w:tc>
          <w:tcPr>
            <w:shd w:val="clear" w:color="000000" w:fill="ffffff"/>
            <w:tcBorders/>
            <w:tcW w:w="1522"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ind/>
              <w:jc w:val="center"/>
              <w:rPr>
                <w:b w:val="0"/>
                <w:bCs w:val="0"/>
                <w:color w:val="000000"/>
                <w:sz w:val="22"/>
                <w:szCs w:val="22"/>
                <w14:ligatures w14:val="none"/>
              </w:rPr>
            </w:pPr>
            <w:r>
              <w:rPr>
                <w:b w:val="0"/>
                <w:bCs w:val="0"/>
                <w:color w:val="000000"/>
                <w:sz w:val="22"/>
                <w:szCs w:val="22"/>
              </w:rPr>
              <w:t xml:space="preserve">-14.463.652</w:t>
            </w:r>
            <w:r>
              <w:rPr>
                <w:b w:val="0"/>
                <w:bCs w:val="0"/>
                <w:color w:val="000000"/>
                <w:sz w:val="22"/>
                <w:szCs w:val="22"/>
                <w14:ligatures w14:val="none"/>
              </w:rPr>
            </w:r>
            <w:r>
              <w:rPr>
                <w:b w:val="0"/>
                <w:bCs w:val="0"/>
                <w:color w:val="000000"/>
                <w:sz w:val="22"/>
                <w:szCs w:val="22"/>
                <w14:ligatures w14:val="none"/>
              </w:rPr>
            </w:r>
          </w:p>
        </w:tc>
        <w:tc>
          <w:tcPr>
            <w:shd w:val="clear" w:color="000000" w:fill="ffffff"/>
            <w:tcBorders/>
            <w:tcW w:w="1522"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ind/>
              <w:jc w:val="center"/>
              <w:rPr>
                <w:b w:val="0"/>
                <w:bCs w:val="0"/>
                <w:color w:val="000000"/>
                <w:sz w:val="22"/>
                <w:szCs w:val="22"/>
                <w14:ligatures w14:val="none"/>
              </w:rPr>
            </w:pPr>
            <w:r>
              <w:rPr>
                <w:b w:val="0"/>
                <w:bCs w:val="0"/>
                <w:color w:val="000000"/>
                <w:sz w:val="22"/>
                <w:szCs w:val="22"/>
              </w:rPr>
              <w:t xml:space="preserve">-12.809.280</w:t>
            </w:r>
            <w:r>
              <w:rPr>
                <w:b w:val="0"/>
                <w:bCs w:val="0"/>
                <w:color w:val="000000"/>
                <w:sz w:val="22"/>
                <w:szCs w:val="22"/>
                <w14:ligatures w14:val="none"/>
              </w:rPr>
            </w:r>
            <w:r>
              <w:rPr>
                <w:b w:val="0"/>
                <w:bCs w:val="0"/>
                <w:color w:val="000000"/>
                <w:sz w:val="22"/>
                <w:szCs w:val="22"/>
                <w14:ligatures w14:val="none"/>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rPr>
            </w:pPr>
            <w:r>
              <w:rPr>
                <w:b w:val="0"/>
                <w:bCs w:val="0"/>
                <w:color w:val="000000" w:themeColor="text1"/>
                <w:sz w:val="22"/>
                <w:szCs w:val="22"/>
              </w:rPr>
              <w:t xml:space="preserve">249.372.955</w:t>
            </w:r>
            <w:r>
              <w:rPr>
                <w:b w:val="0"/>
                <w:bCs w:val="0"/>
                <w:color w:val="000000"/>
                <w:sz w:val="22"/>
                <w:szCs w:val="22"/>
              </w:rPr>
            </w:r>
            <w:r>
              <w:rPr>
                <w:b w:val="0"/>
                <w:bCs w:val="0"/>
                <w:color w:val="000000"/>
                <w:sz w:val="22"/>
                <w:szCs w:val="22"/>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rPr>
            </w:pPr>
            <w:r>
              <w:rPr>
                <w:b w:val="0"/>
                <w:bCs w:val="0"/>
                <w:color w:val="000000" w:themeColor="text1"/>
                <w:sz w:val="22"/>
                <w:szCs w:val="22"/>
              </w:rPr>
              <w:t xml:space="preserve">254.560.278</w:t>
            </w:r>
            <w:r>
              <w:rPr>
                <w:b w:val="0"/>
                <w:bCs w:val="0"/>
                <w:color w:val="000000"/>
                <w:sz w:val="22"/>
                <w:szCs w:val="22"/>
              </w:rPr>
            </w:r>
            <w:r>
              <w:rPr>
                <w:b w:val="0"/>
                <w:bCs w:val="0"/>
                <w:color w:val="000000"/>
                <w:sz w:val="22"/>
                <w:szCs w:val="22"/>
              </w:rPr>
            </w:r>
          </w:p>
        </w:tc>
        <w:tc>
          <w:tcPr>
            <w:shd w:val="clear" w:color="000000" w:fill="ffffff"/>
            <w:tcBorders/>
            <w:tcW w:w="1522" w:type="dxa"/>
            <w:vAlign w:val="center"/>
            <w:vMerge w:val="restart"/>
            <w:textDirection w:val="lrTb"/>
            <w:noWrap/>
          </w:tcPr>
          <w:p>
            <w:pPr>
              <w:pBdr/>
              <w:spacing/>
              <w:ind/>
              <w:jc w:val="center"/>
              <w:rPr>
                <w:b w:val="0"/>
                <w:bCs w:val="0"/>
                <w:color w:val="000000"/>
                <w:sz w:val="22"/>
                <w:szCs w:val="22"/>
              </w:rPr>
            </w:pPr>
            <w:r>
              <w:rPr>
                <w:b w:val="0"/>
                <w:bCs w:val="0"/>
                <w:color w:val="000000" w:themeColor="text1"/>
                <w:sz w:val="22"/>
                <w:szCs w:val="22"/>
              </w:rPr>
              <w:t xml:space="preserve">217.757.767</w:t>
            </w:r>
            <w:r>
              <w:rPr>
                <w:b w:val="0"/>
                <w:bCs w:val="0"/>
                <w:color w:val="000000"/>
                <w:sz w:val="22"/>
                <w:szCs w:val="22"/>
              </w:rPr>
            </w:r>
            <w:r>
              <w:rPr>
                <w:b w:val="0"/>
                <w:bCs w:val="0"/>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249.372.955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254.560.278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217.757.767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240.563.667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115.563.077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121.494.677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89.664.962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54.740.405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34.712.765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38.427.840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-9,48</w:t>
      </w:r>
      <w:r>
        <w:t xml:space="preserve">% </w:t>
      </w:r>
      <w:r>
        <w:t xml:space="preserve">đến</w:t>
      </w:r>
      <w:r>
        <w:t xml:space="preserve"> </w:t>
      </w:r>
      <w:r>
        <w:t xml:space="preserve">5,82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249.372.955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83.140.943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254.560.278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84.844.941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217.757.767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72.578.664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240.564.548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240.000.000</w:t>
      </w:r>
      <w:r>
        <w:rPr>
          <w:b/>
          <w:bCs/>
          <w:color w:val="000000" w:themeColor="text1"/>
        </w:rPr>
        <w:t xml:space="preserve"> </w:t>
      </w:r>
      <w:r>
        <w:rPr>
          <w:b/>
          <w:bCs/>
        </w:rPr>
        <w:t xml:space="preserve">đồng</w:t>
      </w:r>
      <w:r>
        <w:rPr>
          <w:b/>
          <w:bCs/>
        </w:rPr>
        <w:t xml:space="preserve">/m².</w:t>
      </w:r>
      <w:r>
        <w:rPr>
          <w:b/>
          <w:bCs/>
        </w:rPr>
      </w:r>
      <w:r>
        <w:rPr>
          <w:b/>
          <w:bCs/>
        </w:rPr>
      </w:r>
    </w:p>
    <w:p>
      <w:pPr>
        <w:pStyle w:val="1028"/>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28"/>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pPr>
      <w:r>
        <w:rPr>
          <w:lang w:val="pt-BR"/>
        </w:rPr>
        <w:t xml:space="preserve">Qua tham khảo thị trường về đơn giá xây dựng mới đối với công trình nhà riêng</w:t>
      </w:r>
      <w:r>
        <w:rPr>
          <w:highlight w:val="white"/>
          <w:lang w:val="pt-BR"/>
        </w:rPr>
        <w:t xml:space="preserve"> lẻ 06 tầng + 01 lửng + 01 tum, </w:t>
      </w:r>
      <w:r>
        <w:rPr>
          <w:lang w:val="pt-BR"/>
        </w:rPr>
        <w:t xml:space="preserve">cân nhắc và xem xét với mức độ hoàn thiện của công trình xây dựng hiện có, Tổ thẩm định nhận thấy đơn giá vận dụng theo Quyết định số 409/QĐ-BXD ngày 11 tháng 4 năm 2</w:t>
      </w:r>
      <w:r>
        <w:rPr>
          <w:lang w:val="pt-BR"/>
        </w:rPr>
        <w:t xml:space="preserve">025 của Bộ Xây dựng về việc công bố suất vốn đầu tư xây dựng và giá xây dựng tổng hợp bộ phận kết cấu công tr</w:t>
      </w:r>
      <w:r>
        <w:rPr>
          <w:highlight w:val="white"/>
          <w:shd w:val="clear" w:color="ffffff" w:themeColor="background1" w:fill="ffffff" w:themeFill="background1"/>
          <w:lang w:val="pt-BR"/>
        </w:rPr>
        <w:t xml:space="preserve">ì</w:t>
      </w:r>
      <w:r>
        <w:rPr>
          <w:highlight w:val="white"/>
          <w:shd w:val="clear" w:color="ffffff" w:themeColor="background1" w:fill="ffffff" w:themeFill="background1"/>
          <w:lang w:val="pt-BR"/>
        </w:rPr>
        <w:t xml:space="preserve">nh năm 2024</w:t>
      </w:r>
      <w:r>
        <w:rPr>
          <w:highlight w:val="white"/>
          <w:shd w:val="clear" w:color="ffffff" w:themeColor="background1" w:fill="ffffff" w:themeFill="background1"/>
          <w:lang w:val="pt-BR"/>
        </w:rPr>
        <w:t xml:space="preserve"> l</w:t>
      </w:r>
      <w:r>
        <w:rPr>
          <w:lang w:val="pt-BR"/>
        </w:rPr>
        <w:t xml:space="preserve">à khá phù hợp với thị trường, theo đó</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after="60" w:before="60"/>
        <w:ind w:right="0" w:firstLine="425" w:left="0"/>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Nhà từ 4 đến 5 tầng, kết cấu khung chịu lực BTCT; tường bao xây gạch; sàn, mái BTCT đổ tại chỗ, không có tầng hầm Diện tích xây dựng từ 90 - dưới 140m² </w:t>
      </w:r>
      <w:r>
        <w:rPr>
          <w:rFonts w:ascii="Times New Roman" w:hAnsi="Times New Roman" w:eastAsia="Times New Roman" w:cs="Times New Roman"/>
          <w:i/>
          <w:color w:val="000000"/>
          <w:sz w:val="24"/>
          <w:highlight w:val="white"/>
        </w:rPr>
        <w:t xml:space="preserve">là</w:t>
      </w:r>
      <w:r>
        <w:rPr>
          <w:rFonts w:ascii="Times New Roman" w:hAnsi="Times New Roman" w:eastAsia="Times New Roman" w:cs="Times New Roman"/>
          <w:i/>
          <w:color w:val="000000"/>
          <w:sz w:val="24"/>
        </w:rPr>
        <w:t xml:space="preserve"> 7.497.000 </w:t>
      </w:r>
      <w:r>
        <w:rPr>
          <w:rFonts w:ascii="Times New Roman" w:hAnsi="Times New Roman" w:eastAsia="Times New Roman" w:cs="Times New Roman"/>
          <w:i/>
          <w:color w:val="000000"/>
          <w:sz w:val="24"/>
          <w:highlight w:val="white"/>
        </w:rPr>
        <w:t xml:space="preserve">đồng/m² sàn, hệ số vùng 7 – TP Hà Nội là 0,952, tương đương đơn giá: 7.137.144 đồng/m</w:t>
      </w:r>
      <w:r>
        <w:rPr>
          <w:rFonts w:ascii="Times New Roman" w:hAnsi="Times New Roman" w:eastAsia="Times New Roman" w:cs="Times New Roman"/>
          <w:i/>
          <w:color w:val="000000"/>
          <w:sz w:val="20"/>
          <w:highlight w:val="white"/>
          <w:vertAlign w:val="superscript"/>
        </w:rPr>
        <w:t xml:space="preserve">2</w:t>
      </w:r>
      <w:r>
        <w:rPr>
          <w:rFonts w:ascii="Times New Roman" w:hAnsi="Times New Roman" w:eastAsia="Times New Roman" w:cs="Times New Roman"/>
          <w:i/>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after="60" w:before="60"/>
        <w:ind w:right="0" w:firstLine="425"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Do đó, Tổ thẩm định xác định đơn giá xây mới của công trình là</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7.137.144 đ</w:t>
      </w:r>
      <w:r>
        <w:rPr>
          <w:rFonts w:ascii="Times New Roman" w:hAnsi="Times New Roman" w:eastAsia="Times New Roman" w:cs="Times New Roman"/>
          <w:b/>
          <w:color w:val="000000"/>
          <w:sz w:val="24"/>
          <w:highlight w:val="white"/>
        </w:rPr>
        <w:t xml:space="preserve">ồng/m²</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028"/>
        <w:numPr>
          <w:ilvl w:val="0"/>
          <w:numId w:val="39"/>
        </w:numPr>
        <w:pBdr>
          <w:top w:val="none" w:color="000000" w:sz="4" w:space="0"/>
          <w:left w:val="none" w:color="000000" w:sz="4" w:space="0"/>
          <w:bottom w:val="none" w:color="000000" w:sz="4" w:space="0"/>
          <w:right w:val="none" w:color="000000" w:sz="4" w:space="0"/>
        </w:pBdr>
        <w:spacing w:after="60" w:before="60"/>
        <w:ind w:right="0"/>
        <w:rPr>
          <w:rFonts w:ascii="Times New Roman" w:hAnsi="Times New Roman" w:eastAsia="Times New Roman" w:cs="Times New Roman"/>
          <w:b/>
          <w:bCs/>
          <w:sz w:val="24"/>
          <w:szCs w:val="24"/>
        </w:rPr>
      </w:pPr>
      <w:r>
        <w:rPr>
          <w:rFonts w:ascii="Times New Roman" w:hAnsi="Times New Roman" w:eastAsia="Times New Roman" w:cs="Times New Roman"/>
          <w:b/>
          <w:bCs/>
          <w:color w:val="000000"/>
          <w:sz w:val="24"/>
          <w:highlight w:val="none"/>
        </w:rPr>
        <w:t xml:space="preserve">Xác định giá trị hao mòn:</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pStyle w:val="1028"/>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     Tỉ lệ hao mòn được tính toán theo phương pháp tuổi đời:</w:t>
      </w:r>
      <w:r>
        <w:rPr>
          <w:lang w:val="pt-BR"/>
          <w14:ligatures w14:val="none"/>
        </w:rPr>
      </w:r>
      <w:r>
        <w:rPr>
          <w:lang w:val="pt-BR"/>
          <w14:ligatures w14:val="none"/>
        </w:rPr>
      </w:r>
    </w:p>
    <w:p>
      <w:pPr>
        <w:pStyle w:val="1028"/>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     Công thức: Tỉ lệ hao mòn = Tuổi đời hiệu quả/Tuổi đời kinh tế</w:t>
      </w:r>
      <w:r>
        <w:rPr>
          <w:lang w:val="pt-BR"/>
          <w14:ligatures w14:val="none"/>
        </w:rPr>
      </w:r>
      <w:r>
        <w:rPr>
          <w:lang w:val="pt-BR"/>
          <w14:ligatures w14:val="none"/>
        </w:rPr>
      </w:r>
    </w:p>
    <w:p>
      <w:pPr>
        <w:pStyle w:val="1028"/>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      </w:t>
      </w:r>
      <w:r>
        <w:rPr>
          <w:lang w:val="pt-BR"/>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 dựng được hoàn thành năm 20</w:t>
      </w:r>
      <w:r>
        <w:rPr>
          <w:lang w:val="pt-BR"/>
        </w:rPr>
        <w:t xml:space="preserve">23, do đó, Tổ thẩm định ước tính tuổi đời hiệu quả của công trình là kho</w:t>
      </w:r>
      <w:r>
        <w:rPr>
          <w:highlight w:val="white"/>
          <w:lang w:val="pt-BR"/>
        </w:rPr>
        <w:t xml:space="preserve">ả</w:t>
      </w:r>
      <w:r>
        <w:rPr>
          <w:highlight w:val="white"/>
          <w:lang w:val="pt-BR"/>
        </w:rPr>
        <w:t xml:space="preserve">ng 3 năm.</w:t>
      </w:r>
      <w:r>
        <w:rPr>
          <w:lang w:val="pt-BR"/>
          <w14:ligatures w14:val="none"/>
        </w:rPr>
      </w:r>
      <w:r>
        <w:rPr>
          <w:lang w:val="pt-BR"/>
          <w14:ligatures w14:val="none"/>
        </w:rPr>
      </w:r>
    </w:p>
    <w:p>
      <w:pPr>
        <w:pStyle w:val="1028"/>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lang w:val="pt-BR"/>
        </w:rPr>
        <w:t xml:space="preserve">ông trình, Tổ thẩm định xác định tuổi đời kinh tế của tài sản thẩm định là 50 năm. </w:t>
      </w:r>
      <w:r>
        <w:rPr>
          <w:lang w:val="pt-BR"/>
          <w14:ligatures w14:val="none"/>
        </w:rPr>
      </w:r>
      <w:r>
        <w:rPr>
          <w:lang w:val="pt-BR"/>
          <w14:ligatures w14:val="none"/>
        </w:rPr>
      </w:r>
    </w:p>
    <w:tbl>
      <w:tblPr>
        <w:tblStyle w:val="1032"/>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161"/>
        <w:gridCol w:w="1596"/>
        <w:gridCol w:w="1305"/>
        <w:gridCol w:w="1305"/>
        <w:gridCol w:w="1304"/>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Nhà 06 tầng + 01 lửng + 01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highlight w:val="none"/>
              </w:rPr>
              <w:t xml:space="preserve">3</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6%</w:t>
            </w:r>
            <w:r/>
          </w:p>
        </w:tc>
      </w:tr>
    </w:tbl>
    <w:p>
      <w:pPr>
        <w:pBdr>
          <w:top w:val="none" w:color="000000" w:sz="4" w:space="0"/>
          <w:left w:val="none" w:color="000000" w:sz="4" w:space="0"/>
          <w:bottom w:val="none" w:color="000000" w:sz="4" w:space="0"/>
          <w:right w:val="none" w:color="000000" w:sz="4" w:space="0"/>
        </w:pBdr>
        <w:spacing w:after="60" w:before="60"/>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rPr>
        <w:t xml:space="preserve">      Tổ thẩm định xác định tỉ lệ ha</w:t>
      </w:r>
      <w:r>
        <w:rPr>
          <w:rFonts w:ascii="Times New Roman" w:hAnsi="Times New Roman" w:eastAsia="Times New Roman" w:cs="Times New Roman"/>
          <w:color w:val="000000"/>
          <w:sz w:val="24"/>
          <w:highlight w:val="white"/>
        </w:rPr>
        <w:t xml:space="preserve">o </w:t>
      </w:r>
      <w:r>
        <w:rPr>
          <w:rFonts w:ascii="Times New Roman" w:hAnsi="Times New Roman" w:eastAsia="Times New Roman" w:cs="Times New Roman"/>
          <w:color w:val="000000"/>
          <w:sz w:val="24"/>
          <w:highlight w:val="white"/>
        </w:rPr>
        <w:t xml:space="preserve">mòn của tài sản thẩm định là: </w:t>
      </w:r>
      <w:r>
        <w:rPr>
          <w:rFonts w:ascii="Times New Roman" w:hAnsi="Times New Roman" w:eastAsia="Times New Roman" w:cs="Times New Roman"/>
          <w:color w:val="000000"/>
          <w:sz w:val="24"/>
          <w:highlight w:val="white"/>
        </w:rPr>
        <w:t xml:space="preserve">6%, th</w:t>
      </w:r>
      <w:r>
        <w:rPr>
          <w:rFonts w:ascii="Times New Roman" w:hAnsi="Times New Roman" w:eastAsia="Times New Roman" w:cs="Times New Roman"/>
          <w:color w:val="000000"/>
          <w:sz w:val="24"/>
          <w:highlight w:val="white"/>
        </w:rPr>
        <w:t xml:space="preserve">eo đó tỷ lệ chất lượng còn lại của tài sản là: </w:t>
      </w:r>
      <w:r>
        <w:rPr>
          <w:rFonts w:ascii="Times New Roman" w:hAnsi="Times New Roman" w:eastAsia="Times New Roman" w:cs="Times New Roman"/>
          <w:b/>
          <w:color w:val="000000"/>
          <w:sz w:val="24"/>
          <w:highlight w:val="white"/>
        </w:rPr>
        <w:t xml:space="preserve">94%</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Style w:val="1028"/>
        <w:numPr>
          <w:ilvl w:val="0"/>
          <w:numId w:val="26"/>
        </w:numPr>
        <w:pBdr>
          <w:top w:val="none" w:color="000000" w:sz="4" w:space="0"/>
          <w:left w:val="none" w:color="000000" w:sz="4" w:space="0"/>
          <w:bottom w:val="none" w:color="000000" w:sz="4" w:space="0"/>
          <w:right w:val="none" w:color="000000" w:sz="4" w:space="0"/>
        </w:pBdr>
        <w:spacing w:after="120" w:before="120" w:line="276" w:lineRule="auto"/>
        <w:ind w:hanging="357" w:left="357"/>
        <w:jc w:val="both"/>
        <w:rPr>
          <w:b/>
          <w:bCs/>
          <w:highlight w:val="none"/>
          <w:lang w:val="pt-BR"/>
        </w:rPr>
      </w:pPr>
      <w:r>
        <w:rPr>
          <w:b/>
          <w:bCs/>
          <w:lang w:val="pt-BR"/>
        </w:rPr>
        <w:t xml:space="preserve"> Xác định giá trị công trình xây dựng:</w:t>
      </w:r>
      <w:r>
        <w:rPr>
          <w:b/>
          <w:highlight w:val="none"/>
          <w:lang w:val="pt-BR"/>
        </w:rPr>
        <w:t xml:space="preserve"> </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after="80" w:before="8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32"/>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233"/>
        <w:gridCol w:w="350"/>
        <w:gridCol w:w="4"/>
        <w:gridCol w:w="1134"/>
        <w:gridCol w:w="1559"/>
        <w:gridCol w:w="1732"/>
        <w:gridCol w:w="1670"/>
        <w:gridCol w:w="1702"/>
      </w:tblGrid>
      <w:tr>
        <w:trPr>
          <w:trHeight w:val="794"/>
        </w:trPr>
        <w:tc>
          <w:tcPr>
            <w:tcBorders>
              <w:bottom w:val="single" w:color="000000" w:sz="8" w:space="0"/>
            </w:tcBorders>
            <w:tcMar>
              <w:left w:w="108" w:type="dxa"/>
              <w:top w:w="0" w:type="dxa"/>
              <w:right w:w="108" w:type="dxa"/>
              <w:bottom w:w="0" w:type="dxa"/>
            </w:tcMar>
            <w:tcW w:w="12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bottom w:val="single" w:color="000000" w:sz="8" w:space="0"/>
            </w:tcBorders>
            <w:tcMar>
              <w:left w:w="108" w:type="dxa"/>
              <w:top w:w="0" w:type="dxa"/>
              <w:right w:w="108" w:type="dxa"/>
              <w:bottom w:w="0" w:type="dxa"/>
            </w:tcMar>
            <w:tcW w:w="3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tcBorders>
            <w:tcMar>
              <w:left w:w="108" w:type="dxa"/>
              <w:top w:w="0" w:type="dxa"/>
              <w:right w:w="108" w:type="dxa"/>
              <w:bottom w:w="0" w:type="dxa"/>
            </w:tcMar>
            <w:tcW w:w="44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 đã bao gồm lợi nhuận của nhà sản xuất/nhà đầu tư)</w:t>
            </w:r>
            <w:r/>
          </w:p>
        </w:tc>
        <w:tc>
          <w:tcPr>
            <w:tcBorders>
              <w:bottom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gridSpan w:val="3"/>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sàn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tại thời điểm thẩm định giá (đồng)</w:t>
            </w:r>
            <w:r/>
          </w:p>
        </w:tc>
      </w:tr>
      <w:tr>
        <w:trPr>
          <w:trHeight w:val="20"/>
        </w:trPr>
        <w:tc>
          <w:tcPr>
            <w:gridSpan w:val="3"/>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(6) = (4) - (5)</w:t>
            </w:r>
            <w:r/>
          </w:p>
        </w:tc>
      </w:tr>
      <w:tr>
        <w:trPr>
          <w:trHeight w:val="20"/>
        </w:trPr>
        <w:tc>
          <w:tcPr>
            <w:gridSpan w:val="3"/>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Nhà 06 tầng +01 lửng + 01 tum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776,82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7.137.144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5.544.276.202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99" w:firstLine="0" w:left="0"/>
              <w:jc w:val="center"/>
              <w:rPr/>
            </w:pPr>
            <w:r>
              <w:rPr>
                <w:rFonts w:ascii="Times New Roman" w:hAnsi="Times New Roman" w:eastAsia="Times New Roman" w:cs="Times New Roman"/>
                <w:color w:val="000000"/>
                <w:sz w:val="24"/>
              </w:rPr>
              <w:t xml:space="preserve">332.656.572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5.211.619.630</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bl>
    <w:p>
      <w:pPr>
        <w:pBdr>
          <w:top w:val="none" w:color="000000" w:sz="4" w:space="0"/>
          <w:left w:val="none" w:color="000000" w:sz="4" w:space="0"/>
          <w:bottom w:val="none" w:color="000000" w:sz="4" w:space="0"/>
          <w:right w:val="none" w:color="000000" w:sz="4" w:space="0"/>
        </w:pBdr>
        <w:spacing w:after="60" w:before="60"/>
        <w:ind w:right="0" w:firstLine="0" w:left="0"/>
        <w:jc w:val="both"/>
        <w:rPr>
          <w:b/>
          <w:bCs/>
          <w:highlight w:val="none"/>
          <w:lang w:val="pt-BR"/>
        </w:rPr>
      </w:pPr>
      <w:r>
        <w:rPr>
          <w:rFonts w:ascii="Times New Roman" w:hAnsi="Times New Roman" w:eastAsia="Times New Roman" w:cs="Times New Roman"/>
          <w:color w:val="000000"/>
          <w:sz w:val="24"/>
          <w:highlight w:val="none"/>
          <w:lang w:val="pt-BR" w:bidi="pt-BR"/>
        </w:rPr>
      </w:r>
      <w:r>
        <w:rPr>
          <w:b/>
          <w:bCs/>
          <w:highlight w:val="none"/>
          <w:lang w:val="pt-BR"/>
        </w:rPr>
      </w:r>
      <w:r>
        <w:rPr>
          <w:b/>
          <w:bCs/>
          <w:highlight w:val="none"/>
          <w:lang w:val="pt-BR"/>
        </w:rPr>
      </w:r>
    </w:p>
    <w:p>
      <w:pPr>
        <w:pStyle w:val="1028"/>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16"/>
        <w:gridCol w:w="583"/>
        <w:gridCol w:w="1648"/>
        <w:gridCol w:w="1472"/>
        <w:gridCol w:w="2089"/>
        <w:gridCol w:w="1758"/>
        <w:gridCol w:w="1758"/>
      </w:tblGrid>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64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7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758" w:type="dxa"/>
            <w:vAlign w:val="center"/>
            <w:textDirection w:val="lrTb"/>
            <w:noWrap w:val="false"/>
          </w:tcPr>
          <w:p>
            <w:pPr>
              <w:pBdr/>
              <w:spacing/>
              <w:ind/>
              <w:jc w:val="center"/>
              <w:rPr>
                <w:b/>
                <w:bCs/>
              </w:rPr>
            </w:pPr>
            <w:r>
              <w:rPr>
                <w:b/>
                <w:bCs/>
              </w:rPr>
              <w:t xml:space="preserve">Tỷ lệ CLCL</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209" w:type="dxa"/>
            <w:vAlign w:val="center"/>
            <w:textDirection w:val="lrTb"/>
            <w:noWrap w:val="false"/>
          </w:tcPr>
          <w:p>
            <w:pPr>
              <w:pBdr/>
              <w:spacing w:after="40" w:before="40" w:line="288" w:lineRule="auto"/>
              <w:ind/>
              <w:jc w:val="both"/>
              <w:rPr>
                <w:b/>
                <w:bCs/>
              </w:rPr>
            </w:pPr>
            <w:r>
              <w:rPr>
                <w:b w:val="0"/>
                <w:bCs w:val="0"/>
                <w:color w:val="000000"/>
              </w:rPr>
              <w:t xml:space="preserve">Q</w:t>
            </w:r>
            <w:r>
              <w:rPr>
                <w:color w:val="000000"/>
              </w:rPr>
              <w:t xml:space="preserve">uyền sử dụng đất tại thửa đất số: 13-1, tờ bản đồ số: 52; có địa chỉ: Số 337, tổ 14, ph</w:t>
            </w:r>
            <w:r>
              <w:rPr>
                <w:color w:val="000000"/>
              </w:rPr>
              <w:t xml:space="preserve">ường Láng Thượng, quận Đồng Đa (nay là phường Láng, quận Đống Đa, thành phố Hà Nội) theo Giấy chứng nhận quyền sử dụng đất số: AH 871050, Số vào sổ cấp GCN: 0026.2110/QĐUB do UBND Thành phố Hà Nội cấp ngày 08/6/2007; chủ sử dụng đất là Ông Nguyễn Huy Hoàng</w:t>
            </w:r>
            <w:r>
              <w:rPr>
                <w:b/>
                <w:bCs/>
              </w:rPr>
              <w:t xml:space="preserve">.</w:t>
            </w:r>
            <w:r>
              <w:rPr>
                <w:b/>
                <w:bCs/>
              </w:rPr>
            </w:r>
            <w:r>
              <w:rPr>
                <w:b/>
                <w:bCs/>
              </w:rPr>
            </w:r>
          </w:p>
        </w:tc>
        <w:tc>
          <w:tcPr>
            <w:shd w:val="clear" w:color="000000" w:fill="ffffff"/>
            <w:tcBorders/>
            <w:tcW w:w="1758" w:type="dxa"/>
            <w:vAlign w:val="center"/>
            <w:textDirection w:val="lrTb"/>
            <w:noWrap w:val="false"/>
          </w:tcPr>
          <w:p>
            <w:pPr>
              <w:pBdr/>
              <w:spacing/>
              <w:ind/>
              <w:rPr>
                <w:b/>
                <w:bCs/>
              </w:rPr>
            </w:pPr>
            <w:r>
              <w:rPr>
                <w:b/>
                <w:bCs/>
              </w:rPr>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648" w:type="dxa"/>
            <w:vAlign w:val="center"/>
            <w:textDirection w:val="lrTb"/>
            <w:noWrap w:val="false"/>
          </w:tcPr>
          <w:p>
            <w:pPr>
              <w:pBdr/>
              <w:spacing w:after="40" w:before="40" w:line="288" w:lineRule="auto"/>
              <w:ind/>
              <w:rPr/>
            </w:pPr>
            <w:r>
              <w:rPr>
                <w:b/>
                <w:bCs/>
              </w:rPr>
              <w:t xml:space="preserve">Đất ở tại đô thị</w:t>
            </w:r>
            <w:r/>
          </w:p>
        </w:tc>
        <w:tc>
          <w:tcPr>
            <w:tcBorders/>
            <w:tcW w:w="1472" w:type="dxa"/>
            <w:vAlign w:val="center"/>
            <w:textDirection w:val="lrTb"/>
            <w:noWrap/>
          </w:tcPr>
          <w:p>
            <w:pPr>
              <w:pBdr/>
              <w:spacing w:after="40" w:before="40" w:line="288" w:lineRule="auto"/>
              <w:ind/>
              <w:jc w:val="center"/>
              <w:rPr>
                <w:color w:val="000000"/>
              </w:rPr>
            </w:pPr>
            <w:r>
              <w:rPr>
                <w:color w:val="000000" w:themeColor="text1"/>
              </w:rPr>
              <w:t xml:space="preserve">139,1</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240.000.000</w:t>
            </w:r>
            <w:r/>
          </w:p>
        </w:tc>
        <w:tc>
          <w:tcPr>
            <w:shd w:val="clear" w:color="000000" w:fill="ffffff"/>
            <w:tcBorders/>
            <w:tcW w:w="1758"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pPr>
            <w:r>
              <w:rPr>
                <w:color w:val="000000" w:themeColor="text1"/>
              </w:rPr>
              <w:t xml:space="preserve">33.384.000.000</w:t>
            </w:r>
            <w:r/>
          </w:p>
        </w:tc>
      </w:tr>
      <w:tr>
        <w:trPr>
          <w:trHeight w:val="20"/>
        </w:trPr>
        <w:tc>
          <w:tcPr>
            <w:gridSpan w:val="2"/>
            <w:shd w:val="clear" w:color="000000" w:fill="ffffff"/>
            <w:tcBorders/>
            <w:tcW w:w="799" w:type="dxa"/>
            <w:vAlign w:val="center"/>
            <w:vMerge w:val="restart"/>
            <w:textDirection w:val="lrTb"/>
            <w:noWrap w:val="false"/>
          </w:tcPr>
          <w:p>
            <w:pPr>
              <w:pBdr/>
              <w:spacing w:after="40" w:before="40" w:line="288" w:lineRule="auto"/>
              <w:ind/>
              <w:jc w:val="center"/>
              <w:rPr>
                <w:b/>
                <w:bCs/>
              </w:rPr>
            </w:pPr>
            <w:r>
              <w:rPr>
                <w:b/>
                <w:bCs/>
              </w:rPr>
              <w:t xml:space="preserve">2</w:t>
            </w:r>
            <w:r>
              <w:rPr>
                <w:b/>
                <w:bCs/>
              </w:rPr>
            </w:r>
            <w:r>
              <w:rPr>
                <w:b/>
                <w:bCs/>
              </w:rPr>
            </w:r>
          </w:p>
        </w:tc>
        <w:tc>
          <w:tcPr>
            <w:shd w:val="clear" w:color="000000" w:fill="ffffff"/>
            <w:tcBorders/>
            <w:tcW w:w="1648" w:type="dxa"/>
            <w:vAlign w:val="center"/>
            <w:vMerge w:val="restart"/>
            <w:textDirection w:val="lrTb"/>
            <w:noWrap w:val="false"/>
          </w:tcPr>
          <w:p>
            <w:pPr>
              <w:pBdr/>
              <w:spacing w:after="40" w:before="40" w:line="288" w:lineRule="auto"/>
              <w:ind/>
              <w:rPr>
                <w:b/>
                <w:bCs/>
              </w:rPr>
            </w:pPr>
            <w:r>
              <w:rPr>
                <w:b/>
                <w:bCs/>
              </w:rPr>
              <w:t xml:space="preserve">Nhà 6 tầng + 1 lửng + 1 tum</w:t>
            </w:r>
            <w:r>
              <w:rPr>
                <w:b/>
                <w:bCs/>
              </w:rPr>
            </w:r>
            <w:r>
              <w:rPr>
                <w:b/>
                <w:bCs/>
              </w:rPr>
            </w:r>
          </w:p>
        </w:tc>
        <w:tc>
          <w:tcPr>
            <w:tcBorders/>
            <w:tcW w:w="147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776,82</w:t>
            </w:r>
            <w:r>
              <w:rPr>
                <w:color w:val="000000" w:themeColor="text1"/>
              </w:rPr>
            </w:r>
            <w:r>
              <w:rPr>
                <w:color w:val="000000" w:themeColor="text1"/>
              </w:rPr>
            </w:r>
          </w:p>
        </w:tc>
        <w:tc>
          <w:tcPr>
            <w:shd w:val="clear" w:color="000000" w:fill="ffffff"/>
            <w:tcBorders/>
            <w:tcW w:w="208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7.137.144</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ind/>
              <w:jc w:val="center"/>
              <w:rPr>
                <w:color w:val="000000" w:themeColor="text1"/>
              </w:rPr>
            </w:pPr>
            <w:r>
              <w:rPr>
                <w:color w:val="000000" w:themeColor="text1"/>
              </w:rPr>
              <w:t xml:space="preserve">94%</w:t>
            </w:r>
            <w:r>
              <w:rPr>
                <w:color w:val="000000" w:themeColor="text1"/>
              </w:rPr>
            </w:r>
            <w:r>
              <w:rPr>
                <w:color w:val="000000" w:themeColor="text1"/>
              </w:rPr>
            </w:r>
          </w:p>
        </w:tc>
        <w:tc>
          <w:tcPr>
            <w:shd w:val="clear" w:color="000000" w:fill="ffffff"/>
            <w:tcBorders/>
            <w:tcW w:w="175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5.211.619.630</w:t>
            </w:r>
            <w:r>
              <w:rPr>
                <w:color w:val="000000" w:themeColor="text1"/>
              </w:rPr>
            </w:r>
            <w:r>
              <w:rPr>
                <w:color w:val="000000" w:themeColor="text1"/>
              </w:rPr>
            </w:r>
          </w:p>
        </w:tc>
      </w:tr>
      <w:tr>
        <w:trPr>
          <w:trHeight w:val="20"/>
        </w:trPr>
        <w:tc>
          <w:tcPr>
            <w:gridSpan w:val="5"/>
            <w:tcBorders/>
            <w:tcW w:w="600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58" w:type="dxa"/>
            <w:vAlign w:val="center"/>
            <w:textDirection w:val="lrTb"/>
            <w:noWrap/>
          </w:tcPr>
          <w:p>
            <w:pPr>
              <w:pBdr/>
              <w:spacing/>
              <w:ind/>
              <w:rPr/>
            </w:pPr>
            <w:r/>
            <w:r/>
          </w:p>
        </w:tc>
        <w:tc>
          <w:tcPr>
            <w:tcBorders/>
            <w:tcW w:w="1758" w:type="dxa"/>
            <w:vAlign w:val="center"/>
            <w:textDirection w:val="lrTb"/>
            <w:noWrap/>
          </w:tcPr>
          <w:p>
            <w:pPr>
              <w:pBdr/>
              <w:spacing w:after="40" w:before="40" w:line="288" w:lineRule="auto"/>
              <w:ind/>
              <w:jc w:val="center"/>
              <w:rPr>
                <w:b/>
                <w:bCs/>
                <w:color w:val="000000"/>
              </w:rPr>
            </w:pPr>
            <w:r>
              <w:t xml:space="preserve">38.595.619.630</w:t>
            </w:r>
            <w:r>
              <w:rPr>
                <w:b/>
                <w:bCs/>
                <w:color w:val="000000"/>
              </w:rPr>
            </w:r>
            <w:r>
              <w:rPr>
                <w:b/>
                <w:bCs/>
                <w:color w:val="000000"/>
              </w:rPr>
            </w:r>
          </w:p>
        </w:tc>
      </w:tr>
      <w:tr>
        <w:trPr>
          <w:trHeight w:val="20"/>
        </w:trPr>
        <w:tc>
          <w:tcPr>
            <w:gridSpan w:val="5"/>
            <w:tcBorders/>
            <w:tcW w:w="600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58"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758" w:type="dxa"/>
            <w:vAlign w:val="center"/>
            <w:textDirection w:val="lrTb"/>
            <w:noWrap/>
          </w:tcPr>
          <w:p>
            <w:pPr>
              <w:pBdr/>
              <w:spacing w:after="40" w:before="40" w:line="288" w:lineRule="auto"/>
              <w:ind/>
              <w:jc w:val="center"/>
              <w:rPr>
                <w:b/>
                <w:bCs/>
                <w:color w:val="000000"/>
              </w:rPr>
            </w:pPr>
            <w:r>
              <w:rPr>
                <w:b/>
                <w:bCs/>
                <w:color w:val="000000"/>
              </w:rPr>
              <w:t xml:space="preserve">38.595.620.000</w:t>
            </w:r>
            <w:r>
              <w:rPr>
                <w:b/>
                <w:bCs/>
                <w:color w:val="000000"/>
              </w:rPr>
            </w:r>
            <w:r>
              <w:rPr>
                <w:b/>
                <w:bCs/>
                <w:color w:val="000000"/>
              </w:rPr>
            </w:r>
          </w:p>
        </w:tc>
      </w:tr>
      <w:tr>
        <w:trPr>
          <w:trHeight w:val="20"/>
        </w:trPr>
        <w:tc>
          <w:tcPr>
            <w:tcBorders/>
            <w:tcW w:w="216" w:type="dxa"/>
            <w:vAlign w:val="center"/>
            <w:textDirection w:val="lrTb"/>
            <w:noWrap w:val="false"/>
          </w:tcPr>
          <w:p>
            <w:pPr>
              <w:pBdr/>
              <w:spacing/>
              <w:ind/>
              <w:rPr>
                <w:b/>
                <w:bCs/>
                <w:i/>
                <w:color w:val="000000"/>
              </w:rPr>
            </w:pPr>
            <w:r>
              <w:rPr>
                <w:b/>
                <w:bCs/>
                <w:i/>
                <w:iCs/>
                <w:color w:val="000000"/>
              </w:rPr>
            </w:r>
            <w:r>
              <w:rPr>
                <w:b/>
                <w:bCs/>
                <w:i/>
                <w:color w:val="000000"/>
              </w:rPr>
            </w:r>
            <w:r>
              <w:rPr>
                <w:b/>
                <w:bCs/>
                <w:i/>
                <w:color w:val="000000"/>
              </w:rPr>
            </w:r>
          </w:p>
        </w:tc>
        <w:tc>
          <w:tcPr>
            <w:gridSpan w:val="6"/>
            <w:tcBorders/>
            <w:tcW w:w="9309"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mươi tám tỷ năm trăm chín mươi lăm triệu sáu trăm hai mươi nghìn đồng</w:t>
            </w:r>
            <w:r>
              <w:rPr>
                <w:b/>
                <w:bCs/>
                <w:i/>
                <w:iCs/>
                <w:color w:val="000000"/>
              </w:rPr>
              <w:t xml:space="preserve">./.)</w:t>
            </w:r>
            <w:r>
              <w:rPr>
                <w:b/>
                <w:bCs/>
                <w:i/>
                <w:iCs/>
                <w:color w:val="000000"/>
              </w:rPr>
            </w:r>
            <w:r>
              <w:rPr>
                <w:b/>
                <w:bCs/>
                <w:i/>
                <w:iCs/>
                <w:color w:val="000000"/>
              </w:rPr>
            </w:r>
          </w:p>
        </w:tc>
      </w:tr>
    </w:tbl>
    <w:p>
      <w:pPr>
        <w:pStyle w:val="1028"/>
        <w:pBdr/>
        <w:tabs>
          <w:tab w:val="left" w:leader="none" w:pos="993"/>
        </w:tabs>
        <w:spacing w:after="120" w:before="120" w:line="288" w:lineRule="auto"/>
        <w:ind w:left="0"/>
        <w:jc w:val="both"/>
        <w:rPr>
          <w:b/>
          <w:bCs/>
          <w:lang w:val="pt-BR"/>
        </w:rPr>
      </w:pPr>
      <w:r>
        <w:rPr>
          <w:b/>
          <w:bCs/>
          <w:highlight w:val="none"/>
          <w:lang w:val="pt-BR"/>
        </w:rPr>
      </w:r>
      <w:r>
        <w:rPr>
          <w:b/>
          <w:bCs/>
          <w:lang w:val="pt-BR"/>
        </w:rPr>
      </w:r>
      <w:r>
        <w:rPr>
          <w:b/>
          <w:bCs/>
          <w:lang w:val="pt-BR"/>
        </w:rPr>
      </w:r>
    </w:p>
    <w:p>
      <w:pPr>
        <w:pStyle w:val="1028"/>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8"/>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8"/>
        <w:numPr>
          <w:ilvl w:val="0"/>
          <w:numId w:val="5"/>
        </w:numPr>
        <w:pBdr/>
        <w:tabs>
          <w:tab w:val="left" w:leader="none" w:pos="993"/>
        </w:tabs>
        <w:spacing w:after="120" w:before="120" w:line="288" w:lineRule="auto"/>
        <w:ind w:hanging="357" w:left="357"/>
        <w:jc w:val="both"/>
        <w:rPr>
          <w:lang w:val="pt-BR"/>
          <w14:ligatures w14:val="none"/>
        </w:rPr>
      </w:pPr>
      <w:r>
        <w:rPr>
          <w:lang w:val="pt-BR" w:bidi="pt-BR"/>
        </w:rPr>
      </w:r>
      <w:r>
        <w:rPr>
          <w:lang w:val="pt-BR"/>
        </w:rPr>
        <w:t xml:space="preserve">Tại thời điểm khảo sát, dưới sự hướng dẫn của chủ tài sản, Tổ thẩm định xác định trên đất có công trình nhà 06 tầng + 01 lửng + 01 tum, tổng diện tích sàn khoảng 776,82m2. Công trình chưa được công nhận trên GCN QSDĐ số: AH 871050</w:t>
      </w:r>
      <w:r>
        <w:rPr>
          <w:lang w:val="pt-BR"/>
        </w:rPr>
        <w:t xml:space="preserve">. Do vậy, theo yêu cầu của Ngân hàng/khách hàng, Tổ thẩm định ước tính giá trị của công trình xây dựng theo khảo sát và đo đạc thực tế với giả định thông số đo đạc được là chính x</w:t>
      </w:r>
      <w:r>
        <w:rPr>
          <w:lang w:val="pt-BR"/>
        </w:rPr>
        <w:t xml:space="preserve">ác, giá trị công trình xây dựng chỉ mang tính chất tham khảo. Ngoài ra, Tổ thẩm định không có trách nhiệm xác minh chủ sở hữu công trình xây dựng trên. Kính đề nghị đơn vị sử dụng kết quả lưu ý.</w:t>
      </w:r>
      <w:r>
        <w:rPr>
          <w:lang w:val="pt-BR"/>
        </w:rPr>
      </w:r>
      <w:r>
        <w:rPr>
          <w:lang w:val="pt-BR"/>
          <w14:ligatures w14:val="none"/>
        </w:rPr>
      </w:r>
    </w:p>
    <w:p>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8"/>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275/2026/0277/VFI-CT.63.A</w:t>
      </w:r>
      <w:r>
        <w:rPr>
          <w:color w:val="ff0000"/>
          <w:lang w:val="vi-VN"/>
        </w:rPr>
        <w:t xml:space="preserve"> </w:t>
      </w:r>
      <w:r>
        <w:rPr>
          <w:color w:val="000000" w:themeColor="text1"/>
        </w:rPr>
        <w:t xml:space="preserve">ngày 5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275/2026/0277/VFI-BC.63.A</w:t>
      </w:r>
      <w:r>
        <w:rPr>
          <w:i/>
          <w:lang w:val="pt-BR"/>
        </w:rPr>
        <w:t xml:space="preserve"> </w:t>
      </w:r>
      <w:r>
        <w:rPr>
          <w:i/>
          <w:lang w:val="pt-BR"/>
        </w:rPr>
        <w:t xml:space="preserve">ngày 5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6511" cy="310662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37886" name=""/>
                              <pic:cNvPicPr>
                                <a:picLocks noChangeAspect="1"/>
                              </pic:cNvPicPr>
                              <pic:nvPr/>
                            </pic:nvPicPr>
                            <pic:blipFill rotWithShape="1">
                              <a:blip r:embed="rId18"/>
                              <a:stretch/>
                            </pic:blipFill>
                            <pic:spPr bwMode="auto">
                              <a:xfrm flipH="0" flipV="0">
                                <a:off x="0" y="0"/>
                                <a:ext cx="2626511" cy="31066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6.81pt;height:244.6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4514" cy="228338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907" name=""/>
                              <pic:cNvPicPr>
                                <a:picLocks noChangeAspect="1"/>
                              </pic:cNvPicPr>
                              <pic:nvPr/>
                            </pic:nvPicPr>
                            <pic:blipFill rotWithShape="1">
                              <a:blip r:embed="rId19"/>
                              <a:stretch/>
                            </pic:blipFill>
                            <pic:spPr bwMode="auto">
                              <a:xfrm flipH="0" flipV="0">
                                <a:off x="0" y="0"/>
                                <a:ext cx="3044514" cy="22833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9.73pt;height:179.7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4160" cy="205812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20946" name=""/>
                              <pic:cNvPicPr>
                                <a:picLocks noChangeAspect="1"/>
                              </pic:cNvPicPr>
                              <pic:nvPr/>
                            </pic:nvPicPr>
                            <pic:blipFill rotWithShape="1">
                              <a:blip r:embed="rId20"/>
                              <a:stretch/>
                            </pic:blipFill>
                            <pic:spPr bwMode="auto">
                              <a:xfrm flipH="0" flipV="0">
                                <a:off x="0" y="0"/>
                                <a:ext cx="2744160" cy="20581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8pt;height:162.0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2160" cy="207912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59281" name=""/>
                              <pic:cNvPicPr>
                                <a:picLocks noChangeAspect="1"/>
                              </pic:cNvPicPr>
                              <pic:nvPr/>
                            </pic:nvPicPr>
                            <pic:blipFill rotWithShape="1">
                              <a:blip r:embed="rId21"/>
                              <a:stretch/>
                            </pic:blipFill>
                            <pic:spPr bwMode="auto">
                              <a:xfrm flipH="0" flipV="0">
                                <a:off x="0" y="0"/>
                                <a:ext cx="2772160" cy="20791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28pt;height:163.7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2495" cy="20793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70392" name=""/>
                              <pic:cNvPicPr>
                                <a:picLocks noChangeAspect="1"/>
                              </pic:cNvPicPr>
                              <pic:nvPr/>
                            </pic:nvPicPr>
                            <pic:blipFill rotWithShape="1">
                              <a:blip r:embed="rId22"/>
                              <a:stretch/>
                            </pic:blipFill>
                            <pic:spPr bwMode="auto">
                              <a:xfrm flipH="0" flipV="0">
                                <a:off x="0" y="0"/>
                                <a:ext cx="2772494" cy="20793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31pt;height:163.7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4895" cy="21936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89308" name=""/>
                              <pic:cNvPicPr>
                                <a:picLocks noChangeAspect="1"/>
                              </pic:cNvPicPr>
                              <pic:nvPr/>
                            </pic:nvPicPr>
                            <pic:blipFill rotWithShape="1">
                              <a:blip r:embed="rId23"/>
                              <a:stretch/>
                            </pic:blipFill>
                            <pic:spPr bwMode="auto">
                              <a:xfrm flipH="0" flipV="0">
                                <a:off x="0" y="0"/>
                                <a:ext cx="2924894" cy="2193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31pt;height:172.7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275/2026/0277/VFI-BC.63.A</w:t>
      </w:r>
      <w:r>
        <w:rPr>
          <w:i/>
          <w:lang w:val="pt-BR"/>
        </w:rPr>
        <w:t xml:space="preserve"> </w:t>
      </w:r>
      <w:r>
        <w:rPr>
          <w:i/>
          <w:lang w:val="pt-BR"/>
        </w:rPr>
        <w:t xml:space="preserve">ngày 5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https://alonhadat.com.vn/huynh-thuc-khang-keo-dai-phao-dai-lang--17953673.html</w:t>
            </w:r>
            <w:r>
              <w:rPr>
                <w:color w:val="000000" w:themeColor="text1"/>
                <w:sz w:val="22"/>
                <w:szCs w:val="22"/>
              </w:rPr>
              <w:br/>
              <w:t xml:space="preserve">0988.756.567</w:t>
            </w:r>
            <w:r>
              <w:rPr>
                <w:sz w:val="22"/>
                <w:szCs w:val="22"/>
              </w:rPr>
              <w:t xml:space="preserve"> </w:t>
            </w:r>
            <w:r>
              <w:rPr>
                <w:sz w:val="22"/>
                <w:szCs w:val="22"/>
              </w:rPr>
              <w:br/>
              <w:t xml:space="preserve">(Lực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Láng, quận Đống Đa,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388190" cy="228928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02759" name=""/>
                              <pic:cNvPicPr>
                                <a:picLocks noChangeAspect="1"/>
                              </pic:cNvPicPr>
                              <pic:nvPr/>
                            </pic:nvPicPr>
                            <pic:blipFill rotWithShape="1">
                              <a:blip r:embed="rId24"/>
                              <a:stretch/>
                            </pic:blipFill>
                            <pic:spPr bwMode="auto">
                              <a:xfrm flipH="0" flipV="0">
                                <a:off x="0" y="0"/>
                                <a:ext cx="4388189" cy="22892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5.53pt;height:180.26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341363" cy="32527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66645" name=""/>
                              <pic:cNvPicPr>
                                <a:picLocks noChangeAspect="1"/>
                              </pic:cNvPicPr>
                              <pic:nvPr/>
                            </pic:nvPicPr>
                            <pic:blipFill rotWithShape="1">
                              <a:blip r:embed="rId25"/>
                              <a:stretch/>
                            </pic:blipFill>
                            <pic:spPr bwMode="auto">
                              <a:xfrm flipH="0" flipV="0">
                                <a:off x="0" y="0"/>
                                <a:ext cx="4341363" cy="32527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41.84pt;height:256.12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4454865" cy="333782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86012" name=""/>
                              <pic:cNvPicPr>
                                <a:picLocks noChangeAspect="1"/>
                              </pic:cNvPicPr>
                              <pic:nvPr/>
                            </pic:nvPicPr>
                            <pic:blipFill rotWithShape="1">
                              <a:blip r:embed="rId26"/>
                              <a:stretch/>
                            </pic:blipFill>
                            <pic:spPr bwMode="auto">
                              <a:xfrm flipH="0" flipV="0">
                                <a:off x="0" y="0"/>
                                <a:ext cx="4454865" cy="3337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0.78pt;height:262.82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https://alonhadat.com.vn/ban-toa-can-ho-phao-dai-lang-71mx7tang-thang-may-mt5-2m-so-dep-du-pccc-26ty-17952494.html</w:t>
            </w:r>
            <w:r>
              <w:rPr>
                <w:color w:val="000000" w:themeColor="text1"/>
                <w:sz w:val="22"/>
                <w:szCs w:val="22"/>
              </w:rPr>
              <w:br/>
              <w:t xml:space="preserve">0934.636.666</w:t>
            </w:r>
            <w:r>
              <w:rPr>
                <w:sz w:val="22"/>
                <w:szCs w:val="22"/>
              </w:rPr>
              <w:t xml:space="preserve"> </w:t>
            </w:r>
            <w:r>
              <w:rPr>
                <w:sz w:val="22"/>
                <w:szCs w:val="22"/>
              </w:rPr>
              <w:br/>
              <w:t xml:space="preserve">(Việt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Láng, quận Đống Đa,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556343" cy="182357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94400" name=""/>
                              <pic:cNvPicPr>
                                <a:picLocks noChangeAspect="1"/>
                              </pic:cNvPicPr>
                              <pic:nvPr/>
                            </pic:nvPicPr>
                            <pic:blipFill rotWithShape="1">
                              <a:blip r:embed="rId27"/>
                              <a:stretch/>
                            </pic:blipFill>
                            <pic:spPr bwMode="auto">
                              <a:xfrm flipH="0" flipV="0">
                                <a:off x="0" y="0"/>
                                <a:ext cx="3556343" cy="1823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80.03pt;height:143.59pt;mso-wrap-distance-left:0.00pt;mso-wrap-distance-top:0.00pt;mso-wrap-distance-right:0.00pt;mso-wrap-distance-bottom:0.00pt;z-index:1;" stroked="false">
                      <v:imagedata r:id="rId27" o:title=""/>
                      <o:lock v:ext="edit" rotation="t"/>
                    </v:shape>
                  </w:pict>
                </mc:Fallback>
              </mc:AlternateContent>
              <w:t xml:space="preserve"> </w:t>
            </w:r>
            <w:r>
              <mc:AlternateContent>
                <mc:Choice Requires="wpg">
                  <w:drawing>
                    <wp:inline xmlns:wp="http://schemas.openxmlformats.org/drawingml/2006/wordprocessingDrawing" distT="0" distB="0" distL="0" distR="0">
                      <wp:extent cx="3149940" cy="226736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40094" name=""/>
                              <pic:cNvPicPr>
                                <a:picLocks noChangeAspect="1"/>
                              </pic:cNvPicPr>
                              <pic:nvPr/>
                            </pic:nvPicPr>
                            <pic:blipFill rotWithShape="1">
                              <a:blip r:embed="rId28"/>
                              <a:stretch/>
                            </pic:blipFill>
                            <pic:spPr bwMode="auto">
                              <a:xfrm flipH="0" flipV="0">
                                <a:off x="0" y="0"/>
                                <a:ext cx="3149939" cy="2267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8.03pt;height:178.53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627840" cy="350378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4061" name=""/>
                              <pic:cNvPicPr>
                                <a:picLocks noChangeAspect="1"/>
                              </pic:cNvPicPr>
                              <pic:nvPr/>
                            </pic:nvPicPr>
                            <pic:blipFill rotWithShape="1">
                              <a:blip r:embed="rId29"/>
                              <a:stretch/>
                            </pic:blipFill>
                            <pic:spPr bwMode="auto">
                              <a:xfrm flipH="0" flipV="0">
                                <a:off x="0" y="0"/>
                                <a:ext cx="2627840" cy="35037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6.92pt;height:275.89pt;mso-wrap-distance-left:0.00pt;mso-wrap-distance-top:0.00pt;mso-wrap-distance-right:0.00pt;mso-wrap-distance-bottom:0.00pt;z-index:1;" stroked="false">
                      <v:imagedata r:id="rId29" o:title=""/>
                      <o:lock v:ext="edit" rotation="t"/>
                    </v:shape>
                  </w:pict>
                </mc:Fallback>
              </mc:AlternateContent>
              <w:t xml:space="preserve"> </w:t>
            </w:r>
            <w:r>
              <mc:AlternateContent>
                <mc:Choice Requires="wpg">
                  <w:drawing>
                    <wp:inline xmlns:wp="http://schemas.openxmlformats.org/drawingml/2006/wordprocessingDrawing" distT="0" distB="0" distL="0" distR="0">
                      <wp:extent cx="2601183" cy="346824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63926" name=""/>
                              <pic:cNvPicPr>
                                <a:picLocks noChangeAspect="1"/>
                              </pic:cNvPicPr>
                              <pic:nvPr/>
                            </pic:nvPicPr>
                            <pic:blipFill rotWithShape="1">
                              <a:blip r:embed="rId30"/>
                              <a:stretch/>
                            </pic:blipFill>
                            <pic:spPr bwMode="auto">
                              <a:xfrm flipH="0" flipV="0">
                                <a:off x="0" y="0"/>
                                <a:ext cx="2601183" cy="3468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4.82pt;height:273.09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https://batdongsan.com.vn/ban-nha-rieng-pho-phao-dai-lang-phuong-lang-thuong/hiem-moi-tinh-thang-may-o-ngay-trung-tam-dong-da-pr45124174</w:t>
            </w:r>
            <w:r>
              <w:rPr>
                <w:color w:val="000000" w:themeColor="text1"/>
                <w:sz w:val="22"/>
                <w:szCs w:val="22"/>
              </w:rPr>
              <w:br/>
            </w:r>
            <w:r>
              <w:rPr>
                <w:sz w:val="22"/>
                <w:szCs w:val="22"/>
              </w:rPr>
              <w:t xml:space="preserve">SĐT: </w:t>
            </w:r>
            <w:r>
              <w:rPr>
                <w:color w:val="000000" w:themeColor="text1"/>
                <w:sz w:val="22"/>
                <w:szCs w:val="22"/>
              </w:rPr>
              <w:t xml:space="preserve">0869161611</w:t>
            </w:r>
            <w:r>
              <w:rPr>
                <w:sz w:val="22"/>
                <w:szCs w:val="22"/>
              </w:rPr>
              <w:t xml:space="preserve"> </w:t>
            </w:r>
            <w:r>
              <w:rPr>
                <w:sz w:val="22"/>
                <w:szCs w:val="22"/>
              </w:rPr>
              <w:br/>
              <w:t xml:space="preserve">(Thiện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Láng, quận Đống Đa,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4787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478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10.1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78020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67802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533.8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906674" cy="85101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6561" name=""/>
                        <pic:cNvPicPr>
                          <a:picLocks noChangeAspect="1"/>
                        </pic:cNvPicPr>
                        <pic:nvPr/>
                      </pic:nvPicPr>
                      <pic:blipFill rotWithShape="1">
                        <a:blip r:embed="rId35"/>
                        <a:stretch/>
                      </pic:blipFill>
                      <pic:spPr bwMode="auto">
                        <a:xfrm flipH="0" flipV="0">
                          <a:off x="0" y="0"/>
                          <a:ext cx="3906674" cy="8510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07.61pt;height:670.09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ED7A4F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274</cp:revision>
  <dcterms:created xsi:type="dcterms:W3CDTF">2025-09-15T09:58:00Z</dcterms:created>
  <dcterms:modified xsi:type="dcterms:W3CDTF">2026-02-10T10:09:37Z</dcterms:modified>
</cp:coreProperties>
</file>