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tabs>
          <w:tab w:val="left" w:leader="none" w:pos="6481"/>
        </w:tabs>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0711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07111"/>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275/2025/1853/VFI-CT.61.A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w:t>
                            </w:r>
                            <w:r>
                              <w:rPr>
                                <w:rFonts w:ascii="Times New Roman Bold" w:hAnsi="Times New Roman Bold"/>
                                <w:b/>
                                <w:color w:val="000000" w:themeColor="text1"/>
                                <w:lang w:val="pt-BR"/>
                              </w:rPr>
                              <w:t xml:space="preserve">À</w:t>
                            </w:r>
                            <w:r>
                              <w:rPr>
                                <w:rFonts w:ascii="Times New Roman Bold" w:hAnsi="Times New Roman Bold"/>
                                <w:b/>
                                <w:color w:val="000000" w:themeColor="text1"/>
                                <w:lang w:val="pt-BR"/>
                              </w:rPr>
                              <w:t xml:space="preserve"> N</w:t>
                            </w:r>
                            <w:r>
                              <w:rPr>
                                <w:rFonts w:ascii="Times New Roman Bold" w:hAnsi="Times New Roman Bold"/>
                                <w:b/>
                                <w:color w:val="000000" w:themeColor="text1"/>
                                <w:lang w:val="pt-BR"/>
                              </w:rPr>
                              <w:t xml:space="preserve">GUYỄN </w:t>
                            </w:r>
                            <w:r>
                              <w:rPr>
                                <w:rFonts w:ascii="Times New Roman Bold" w:hAnsi="Times New Roman Bold"/>
                                <w:b/>
                                <w:color w:val="000000" w:themeColor="text1"/>
                                <w:lang w:val="pt-BR"/>
                              </w:rPr>
                              <w:t xml:space="preserve">THỊ </w:t>
                            </w:r>
                            <w:r>
                              <w:rPr>
                                <w:rFonts w:ascii="Times New Roman Bold" w:hAnsi="Times New Roman Bold"/>
                                <w:b/>
                                <w:color w:val="000000" w:themeColor="text1"/>
                                <w:lang w:val="pt-BR"/>
                              </w:rPr>
                              <w:t xml:space="preserve">PHÚC</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b w:val="0"/>
                                <w:bCs w:val="0"/>
                                <w:color w:val="000000"/>
                                <w:sz w:val="24"/>
                              </w:rPr>
                              <w:t xml:space="preserve">Quyền sử dụng đất tại thửa đất số: 345, tờ bản đồ số: 26 có địa chỉ: Thôn Do Thượng, xã Tiền Phong, huyện Mê Linh, Tp Hà Nội theo Giấy chứng nhận quyền sử dụng đất, quyền sở hữu nhà ở và tài sản khác gắn liền với đất số: DO 680913, số vào sổ cấp GCN: CN033</w:t>
                            </w:r>
                            <w:r>
                              <w:rPr>
                                <w:rFonts w:ascii="Times New Roman" w:hAnsi="Times New Roman" w:eastAsia="Times New Roman" w:cs="Times New Roman"/>
                                <w:b w:val="0"/>
                                <w:bCs w:val="0"/>
                                <w:color w:val="000000"/>
                                <w:sz w:val="24"/>
                              </w:rPr>
                              <w:t xml:space="preserve">84 do Chi nhánh văn phòng đăng kí đất đai Hà Nội huyện Mê Linh cấp ngày 17/04/2024; chủ sử dụng đất là Bà Nguyễn Thị Phúc.</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2.53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275/2025/1853/VFI-CT.61.A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w:t>
                      </w:r>
                      <w:r>
                        <w:rPr>
                          <w:rFonts w:ascii="Times New Roman Bold" w:hAnsi="Times New Roman Bold"/>
                          <w:b/>
                          <w:color w:val="000000" w:themeColor="text1"/>
                          <w:lang w:val="pt-BR"/>
                        </w:rPr>
                        <w:t xml:space="preserve">À</w:t>
                      </w:r>
                      <w:r>
                        <w:rPr>
                          <w:rFonts w:ascii="Times New Roman Bold" w:hAnsi="Times New Roman Bold"/>
                          <w:b/>
                          <w:color w:val="000000" w:themeColor="text1"/>
                          <w:lang w:val="pt-BR"/>
                        </w:rPr>
                        <w:t xml:space="preserve"> N</w:t>
                      </w:r>
                      <w:r>
                        <w:rPr>
                          <w:rFonts w:ascii="Times New Roman Bold" w:hAnsi="Times New Roman Bold"/>
                          <w:b/>
                          <w:color w:val="000000" w:themeColor="text1"/>
                          <w:lang w:val="pt-BR"/>
                        </w:rPr>
                        <w:t xml:space="preserve">GUYỄN </w:t>
                      </w:r>
                      <w:r>
                        <w:rPr>
                          <w:rFonts w:ascii="Times New Roman Bold" w:hAnsi="Times New Roman Bold"/>
                          <w:b/>
                          <w:color w:val="000000" w:themeColor="text1"/>
                          <w:lang w:val="pt-BR"/>
                        </w:rPr>
                        <w:t xml:space="preserve">THỊ </w:t>
                      </w:r>
                      <w:r>
                        <w:rPr>
                          <w:rFonts w:ascii="Times New Roman Bold" w:hAnsi="Times New Roman Bold"/>
                          <w:b/>
                          <w:color w:val="000000" w:themeColor="text1"/>
                          <w:lang w:val="pt-BR"/>
                        </w:rPr>
                        <w:t xml:space="preserve">PHÚC</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b w:val="0"/>
                          <w:bCs w:val="0"/>
                          <w:color w:val="000000"/>
                          <w:sz w:val="24"/>
                        </w:rPr>
                        <w:t xml:space="preserve">Quyền sử dụng đất tại thửa đất số: 345, tờ bản đồ số: 26 có địa chỉ: Thôn Do Thượng, xã Tiền Phong, huyện Mê Linh, Tp Hà Nội theo Giấy chứng nhận quyền sử dụng đất, quyền sở hữu nhà ở và tài sản khác gắn liền với đất số: DO 680913, số vào sổ cấp GCN: CN033</w:t>
                      </w:r>
                      <w:r>
                        <w:rPr>
                          <w:rFonts w:ascii="Times New Roman" w:hAnsi="Times New Roman" w:eastAsia="Times New Roman" w:cs="Times New Roman"/>
                          <w:b w:val="0"/>
                          <w:bCs w:val="0"/>
                          <w:color w:val="000000"/>
                          <w:sz w:val="24"/>
                        </w:rPr>
                        <w:t xml:space="preserve">84 do Chi nhánh văn phòng đăng kí đất đai Hà Nội huyện Mê Linh cấp ngày 17/04/2024; chủ sử dụng đất là Bà Nguyễn Thị Phúc.</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4"/>
              <w:pBdr/>
              <w:spacing w:after="60" w:before="200"/>
              <w:ind/>
              <w:rPr>
                <w:rStyle w:val="1033"/>
                <w:rFonts w:ascii="Times New Roman" w:hAnsi="Times New Roman"/>
                <w:color w:val="auto"/>
                <w:lang w:val="pt-BR"/>
              </w:rPr>
            </w:pPr>
            <w:r>
              <w:rPr>
                <w:rFonts w:ascii="Times New Roman" w:hAnsi="Times New Roman"/>
                <w:color w:val="auto"/>
                <w:lang w:val="pt-BR"/>
              </w:rPr>
            </w:r>
            <w:r>
              <w:rPr>
                <w:rStyle w:val="1033"/>
                <w:rFonts w:ascii="Times New Roman" w:hAnsi="Times New Roman"/>
                <w:color w:val="auto"/>
                <w:lang w:val="pt-BR"/>
              </w:rPr>
            </w:r>
            <w:r>
              <w:rPr>
                <w:rStyle w:val="1033"/>
                <w:rFonts w:ascii="Times New Roman" w:hAnsi="Times New Roman"/>
                <w:color w:val="auto"/>
                <w:lang w:val="pt-BR"/>
              </w:rPr>
            </w:r>
          </w:p>
          <w:p w14:paraId="189019A0" w14:textId="50D2DFCA">
            <w:pPr>
              <w:pStyle w:val="1034"/>
              <w:pBdr/>
              <w:spacing w:after="60" w:before="200"/>
              <w:ind/>
              <w:rPr>
                <w:sz w:val="24"/>
                <w:szCs w:val="24"/>
              </w:rPr>
            </w:pPr>
            <w:r>
              <w:rPr>
                <w:rStyle w:val="1033"/>
                <w:rFonts w:ascii="Times New Roman" w:hAnsi="Times New Roman"/>
                <w:color w:val="auto"/>
                <w:lang w:val="pt-BR"/>
              </w:rPr>
              <w:t xml:space="preserve">Số:</w:t>
            </w:r>
            <w:r>
              <w:rPr>
                <w:rStyle w:val="1033"/>
                <w:rFonts w:ascii="Times New Roman" w:hAnsi="Times New Roman"/>
                <w:color w:val="auto"/>
                <w:lang w:val="pt-BR"/>
              </w:rPr>
              <w:t xml:space="preserve"> </w:t>
            </w:r>
            <w:r>
              <w:rPr>
                <w:rStyle w:val="1033"/>
                <w:rFonts w:ascii="Times New Roman" w:hAnsi="Times New Roman"/>
                <w:color w:val="000000" w:themeColor="text1"/>
                <w:lang w:val="pt-BR"/>
              </w:rPr>
              <w:t xml:space="preserve">275/2025/1853/VFI-CT.61.A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4"/>
              <w:pBdr/>
              <w:spacing w:after="60" w:before="200"/>
              <w:ind w:right="-56"/>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p w14:paraId="6B33CD77" w14:textId="29BAA06D">
            <w:pPr>
              <w:pStyle w:val="1034"/>
              <w:pBdr/>
              <w:spacing w:after="60" w:before="200"/>
              <w:ind w:right="-56"/>
              <w:jc w:val="right"/>
              <w:rPr>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22 tháng 12 năm 2025</w:t>
            </w:r>
            <w:r>
              <w:rPr>
                <w:rStyle w:val="1033"/>
                <w:rFonts w:ascii="Times New Roman" w:hAnsi="Times New Roman"/>
                <w:i/>
                <w:color w:val="auto"/>
                <w:lang w:val="vi-VN"/>
              </w:rPr>
              <w:t xml:space="preserve">   </w:t>
            </w:r>
            <w:r>
              <w:rPr>
                <w:rStyle w:val="103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4"/>
        <w:pBdr/>
        <w:spacing w:after="120" w:before="200" w:line="288" w:lineRule="auto"/>
        <w:ind/>
        <w:jc w:val="center"/>
        <w:rPr>
          <w:rStyle w:val="103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w:t>
      </w:r>
      <w:r>
        <w:rPr>
          <w:rFonts w:ascii="Times New Roman Bold" w:hAnsi="Times New Roman Bold"/>
          <w:b/>
          <w:color w:val="000000" w:themeColor="text1"/>
          <w:lang w:val="pt-BR"/>
        </w:rPr>
        <w:t xml:space="preserve">À</w:t>
      </w:r>
      <w:r>
        <w:rPr>
          <w:rFonts w:ascii="Times New Roman Bold" w:hAnsi="Times New Roman Bold"/>
          <w:b/>
          <w:color w:val="000000" w:themeColor="text1"/>
          <w:lang w:val="pt-BR"/>
        </w:rPr>
        <w:t xml:space="preserve"> N</w:t>
      </w:r>
      <w:r>
        <w:rPr>
          <w:rFonts w:ascii="Times New Roman Bold" w:hAnsi="Times New Roman Bold"/>
          <w:b/>
          <w:color w:val="000000" w:themeColor="text1"/>
          <w:lang w:val="pt-BR"/>
        </w:rPr>
        <w:t xml:space="preserve">GUYỄN </w:t>
      </w:r>
      <w:r>
        <w:rPr>
          <w:rFonts w:ascii="Times New Roman Bold" w:hAnsi="Times New Roman Bold"/>
          <w:b/>
          <w:color w:val="000000" w:themeColor="text1"/>
          <w:lang w:val="pt-BR"/>
        </w:rPr>
        <w:t xml:space="preserve">THỊ </w:t>
      </w:r>
      <w:r>
        <w:rPr>
          <w:rFonts w:ascii="Times New Roman Bold" w:hAnsi="Times New Roman Bold"/>
          <w:b/>
          <w:color w:val="000000" w:themeColor="text1"/>
          <w:lang w:val="pt-BR"/>
        </w:rPr>
        <w:t xml:space="preserve">PHÚC</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275/2025/1853/VFI-HĐTĐ.61.A</w:t>
      </w:r>
      <w:r>
        <w:rPr>
          <w:spacing w:val="-4"/>
          <w:lang w:val="vi-VN"/>
        </w:rPr>
        <w:t xml:space="preserve"> ký ngày </w:t>
      </w:r>
      <w:r>
        <w:rPr>
          <w:color w:val="000000" w:themeColor="text1"/>
          <w:spacing w:val="-4"/>
        </w:rPr>
        <w:t xml:space="preserve">17 tháng 12 năm 2025</w:t>
      </w:r>
      <w:r>
        <w:rPr>
          <w:spacing w:val="-4"/>
          <w:lang w:val="vi-VN"/>
        </w:rPr>
        <w:t xml:space="preserve"> </w:t>
      </w:r>
      <w:r>
        <w:rPr>
          <w:spacing w:val="-4"/>
          <w:lang w:val="vi-VN"/>
        </w:rPr>
        <w:t xml:space="preserve">giữa </w:t>
      </w:r>
      <w:r>
        <w:rPr>
          <w:color w:val="000000" w:themeColor="text1"/>
          <w:spacing w:val="-4"/>
        </w:rPr>
        <w:t xml:space="preserve">Bà Nguyễn Thị Phúc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275/2025/1853/VFI-BC.61.A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rPr>
      </w:r>
      <w:r>
        <w:rPr>
          <w:b/>
          <w:bCs/>
          <w:highlight w:val="none"/>
        </w:rPr>
      </w:r>
    </w:p>
    <w:tbl>
      <w:tblPr>
        <w:tblStyle w:val="1039"/>
        <w:tblInd w:w="0" w:type="dxa"/>
        <w:tblW w:w="0" w:type="auto"/>
        <w:tblCellMar>
          <w:left w:w="113" w:type="dxa"/>
          <w:top w:w="0" w:type="dxa"/>
          <w:right w:w="113"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34"/>
        <w:gridCol w:w="1134"/>
        <w:gridCol w:w="1134"/>
        <w:gridCol w:w="1134"/>
      </w:tblGrid>
      <w:tr>
        <w:trPr>
          <w:trHeight w:val="20"/>
        </w:trPr>
        <w:tc>
          <w:tcPr>
            <w:tcBorders/>
            <w:tcMar>
              <w:left w:w="113" w:type="dxa"/>
              <w:top w:w="0" w:type="dxa"/>
              <w:right w:w="113" w:type="dxa"/>
              <w:bottom w:w="0" w:type="dxa"/>
            </w:tcMar>
            <w:tcW w:w="2073" w:type="dxa"/>
            <w:vAlign w:val="center"/>
            <w:textDirection w:val="lrTb"/>
            <w:noWrap w:val="false"/>
          </w:tcPr>
          <w:p w14:paraId="59737A97">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13" w:type="dxa"/>
              <w:top w:w="0" w:type="dxa"/>
              <w:right w:w="113" w:type="dxa"/>
              <w:bottom w:w="0" w:type="dxa"/>
            </w:tcMar>
            <w:tcW w:w="311" w:type="dxa"/>
            <w:vAlign w:val="center"/>
            <w:textDirection w:val="lrTb"/>
            <w:noWrap w:val="false"/>
          </w:tcPr>
          <w:p w14:paraId="0E0AE4DB">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13" w:type="dxa"/>
              <w:top w:w="0" w:type="dxa"/>
              <w:right w:w="113" w:type="dxa"/>
              <w:bottom w:w="0" w:type="dxa"/>
            </w:tcMar>
            <w:tcW w:w="6971" w:type="dxa"/>
            <w:vAlign w:val="center"/>
            <w:textDirection w:val="lrTb"/>
            <w:noWrap w:val="false"/>
          </w:tcPr>
          <w:p w14:paraId="469BF50C">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r>
            <w:r>
              <w:rPr>
                <w:rFonts w:ascii="Times New Roman Bold" w:hAnsi="Times New Roman Bold"/>
                <w:b/>
                <w:color w:val="000000" w:themeColor="text1"/>
                <w:lang w:val="pt-BR"/>
              </w:rPr>
              <w:t xml:space="preserve">B</w:t>
            </w:r>
            <w:r>
              <w:rPr>
                <w:rFonts w:ascii="Times New Roman Bold" w:hAnsi="Times New Roman Bold"/>
                <w:b/>
                <w:color w:val="000000" w:themeColor="text1"/>
                <w:lang w:val="pt-BR"/>
              </w:rPr>
              <w:t xml:space="preserve">À</w:t>
            </w:r>
            <w:r>
              <w:rPr>
                <w:rFonts w:ascii="Times New Roman Bold" w:hAnsi="Times New Roman Bold"/>
                <w:b/>
                <w:color w:val="000000" w:themeColor="text1"/>
                <w:lang w:val="pt-BR"/>
              </w:rPr>
              <w:t xml:space="preserve"> N</w:t>
            </w:r>
            <w:r>
              <w:rPr>
                <w:rFonts w:ascii="Times New Roman Bold" w:hAnsi="Times New Roman Bold"/>
                <w:b/>
                <w:color w:val="000000" w:themeColor="text1"/>
                <w:lang w:val="pt-BR"/>
              </w:rPr>
              <w:t xml:space="preserve">GUYỄN </w:t>
            </w:r>
            <w:r>
              <w:rPr>
                <w:rFonts w:ascii="Times New Roman Bold" w:hAnsi="Times New Roman Bold"/>
                <w:b/>
                <w:color w:val="000000" w:themeColor="text1"/>
                <w:lang w:val="pt-BR"/>
              </w:rPr>
              <w:t xml:space="preserve">THỊ </w:t>
            </w:r>
            <w:r>
              <w:rPr>
                <w:rFonts w:ascii="Times New Roman Bold" w:hAnsi="Times New Roman Bold"/>
                <w:b/>
                <w:color w:val="000000" w:themeColor="text1"/>
                <w:lang w:val="pt-BR"/>
              </w:rPr>
              <w:t xml:space="preserve">PHÚC</w:t>
            </w:r>
            <w:r>
              <w:rPr>
                <w:rFonts w:ascii="Times New Roman" w:hAnsi="Times New Roman" w:eastAsia="Times New Roman" w:cs="Times New Roman"/>
                <w:b/>
                <w:color w:val="000000"/>
                <w:spacing w:val="-8"/>
                <w:sz w:val="24"/>
              </w:rPr>
              <w:t xml:space="preserve">   </w:t>
            </w:r>
            <w:r/>
          </w:p>
        </w:tc>
        <w:tc>
          <w:tcPr>
            <w:tcBorders/>
            <w:tcMar>
              <w:left w:w="0" w:type="dxa"/>
              <w:top w:w="0" w:type="dxa"/>
              <w:right w:w="0" w:type="dxa"/>
              <w:bottom w:w="0" w:type="dxa"/>
            </w:tcMar>
            <w:tcW w:w="0" w:type="dxa"/>
            <w:vAlign w:val="center"/>
            <w:textDirection w:val="lrTb"/>
            <w:noWrap w:val="false"/>
          </w:tcPr>
          <w:p w14:paraId="4C39D7EB">
            <w:pPr>
              <w:pBdr/>
              <w:spacing w:after="0" w:before="0" w:line="240" w:lineRule="auto"/>
              <w:ind/>
              <w:rPr/>
            </w:pPr>
            <w:r/>
            <w:r/>
          </w:p>
        </w:tc>
      </w:tr>
      <w:tr>
        <w:trPr>
          <w:trHeight w:val="20"/>
        </w:trPr>
        <w:tc>
          <w:tcPr>
            <w:tcBorders/>
            <w:tcMar>
              <w:left w:w="113" w:type="dxa"/>
              <w:top w:w="0" w:type="dxa"/>
              <w:right w:w="113" w:type="dxa"/>
              <w:bottom w:w="0" w:type="dxa"/>
            </w:tcMar>
            <w:tcW w:w="2073" w:type="dxa"/>
            <w:vAlign w:val="center"/>
            <w:textDirection w:val="lrTb"/>
            <w:noWrap w:val="false"/>
          </w:tcPr>
          <w:p w14:paraId="003842E9">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13" w:type="dxa"/>
              <w:top w:w="0" w:type="dxa"/>
              <w:right w:w="113" w:type="dxa"/>
              <w:bottom w:w="0" w:type="dxa"/>
            </w:tcMar>
            <w:tcW w:w="311" w:type="dxa"/>
            <w:vAlign w:val="center"/>
            <w:textDirection w:val="lrTb"/>
            <w:noWrap w:val="false"/>
          </w:tcPr>
          <w:p w14:paraId="21F6B932">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13" w:type="dxa"/>
              <w:top w:w="0" w:type="dxa"/>
              <w:right w:w="113" w:type="dxa"/>
              <w:bottom w:w="0" w:type="dxa"/>
            </w:tcMar>
            <w:tcW w:w="6971" w:type="dxa"/>
            <w:vAlign w:val="center"/>
            <w:textDirection w:val="lrTb"/>
            <w:noWrap w:val="false"/>
          </w:tcPr>
          <w:p w14:paraId="393A78A0">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198</w:t>
            </w:r>
            <w:r>
              <w:rPr>
                <w:rFonts w:ascii="Times New Roman" w:hAnsi="Times New Roman" w:eastAsia="Times New Roman" w:cs="Times New Roman"/>
                <w:color w:val="000000"/>
                <w:sz w:val="24"/>
              </w:rPr>
              <w:t xml:space="preserve">1</w:t>
            </w:r>
            <w:r/>
          </w:p>
        </w:tc>
        <w:tc>
          <w:tcPr>
            <w:tcBorders/>
            <w:tcMar>
              <w:left w:w="0" w:type="dxa"/>
              <w:top w:w="0" w:type="dxa"/>
              <w:right w:w="0" w:type="dxa"/>
              <w:bottom w:w="0" w:type="dxa"/>
            </w:tcMar>
            <w:tcW w:w="0" w:type="dxa"/>
            <w:vAlign w:val="center"/>
            <w:textDirection w:val="lrTb"/>
            <w:noWrap w:val="false"/>
          </w:tcPr>
          <w:p w14:paraId="3CE8C1BB">
            <w:pPr>
              <w:pBdr/>
              <w:spacing w:after="0" w:before="0" w:line="240" w:lineRule="auto"/>
              <w:ind/>
              <w:rPr/>
            </w:pPr>
            <w:r/>
            <w:r/>
          </w:p>
        </w:tc>
      </w:tr>
      <w:tr>
        <w:trPr>
          <w:trHeight w:val="371"/>
        </w:trPr>
        <w:tc>
          <w:tcPr>
            <w:tcBorders/>
            <w:tcMar>
              <w:left w:w="113" w:type="dxa"/>
              <w:top w:w="0" w:type="dxa"/>
              <w:right w:w="113" w:type="dxa"/>
              <w:bottom w:w="0" w:type="dxa"/>
            </w:tcMar>
            <w:tcW w:w="2073" w:type="dxa"/>
            <w:vAlign w:val="center"/>
            <w:textDirection w:val="lrTb"/>
            <w:noWrap w:val="false"/>
          </w:tcPr>
          <w:p w14:paraId="10B2B990">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13" w:type="dxa"/>
              <w:top w:w="0" w:type="dxa"/>
              <w:right w:w="113" w:type="dxa"/>
              <w:bottom w:w="0" w:type="dxa"/>
            </w:tcMar>
            <w:tcW w:w="311" w:type="dxa"/>
            <w:vAlign w:val="center"/>
            <w:textDirection w:val="lrTb"/>
            <w:noWrap w:val="false"/>
          </w:tcPr>
          <w:p w14:paraId="5094D8FA">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13" w:type="dxa"/>
              <w:top w:w="0" w:type="dxa"/>
              <w:right w:w="113" w:type="dxa"/>
              <w:bottom w:w="0" w:type="dxa"/>
            </w:tcMar>
            <w:tcW w:w="6971" w:type="dxa"/>
            <w:vAlign w:val="center"/>
            <w:textDirection w:val="lrTb"/>
            <w:noWrap w:val="false"/>
          </w:tcPr>
          <w:p w14:paraId="31711EC5">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001181005850</w:t>
            </w:r>
            <w:r>
              <w:rPr>
                <w:rFonts w:ascii="Times New Roman" w:hAnsi="Times New Roman" w:eastAsia="Times New Roman" w:cs="Times New Roman"/>
                <w:color w:val="000000"/>
                <w:sz w:val="24"/>
              </w:rPr>
            </w:r>
            <w:r/>
          </w:p>
        </w:tc>
        <w:tc>
          <w:tcPr>
            <w:tcBorders/>
            <w:tcMar>
              <w:left w:w="0" w:type="dxa"/>
              <w:top w:w="0" w:type="dxa"/>
              <w:right w:w="0" w:type="dxa"/>
              <w:bottom w:w="0" w:type="dxa"/>
            </w:tcMar>
            <w:tcW w:w="0" w:type="dxa"/>
            <w:vAlign w:val="center"/>
            <w:textDirection w:val="lrTb"/>
            <w:noWrap w:val="false"/>
          </w:tcPr>
          <w:p w14:paraId="4F7DD6A4">
            <w:pPr>
              <w:pBdr/>
              <w:spacing w:after="0" w:before="0" w:line="240" w:lineRule="auto"/>
              <w:ind/>
              <w:rPr/>
            </w:pPr>
            <w:r/>
            <w:r/>
          </w:p>
        </w:tc>
      </w:tr>
      <w:tr>
        <w:trPr>
          <w:trHeight w:val="20"/>
        </w:trPr>
        <w:tc>
          <w:tcPr>
            <w:tcBorders/>
            <w:tcMar>
              <w:left w:w="113" w:type="dxa"/>
              <w:top w:w="0" w:type="dxa"/>
              <w:right w:w="113" w:type="dxa"/>
              <w:bottom w:w="0" w:type="dxa"/>
            </w:tcMar>
            <w:tcW w:w="2073" w:type="dxa"/>
            <w:vAlign w:val="center"/>
            <w:textDirection w:val="lrTb"/>
            <w:noWrap w:val="false"/>
          </w:tcPr>
          <w:p w14:paraId="59B09233">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Địa chỉ thường trú</w:t>
            </w:r>
            <w:r/>
          </w:p>
        </w:tc>
        <w:tc>
          <w:tcPr>
            <w:tcBorders/>
            <w:tcMar>
              <w:left w:w="113" w:type="dxa"/>
              <w:top w:w="0" w:type="dxa"/>
              <w:right w:w="113" w:type="dxa"/>
              <w:bottom w:w="0" w:type="dxa"/>
            </w:tcMar>
            <w:tcW w:w="311" w:type="dxa"/>
            <w:vAlign w:val="center"/>
            <w:textDirection w:val="lrTb"/>
            <w:noWrap w:val="false"/>
          </w:tcPr>
          <w:p w14:paraId="371FA1CC">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13" w:type="dxa"/>
              <w:top w:w="0" w:type="dxa"/>
              <w:right w:w="113" w:type="dxa"/>
              <w:bottom w:w="0" w:type="dxa"/>
            </w:tcMar>
            <w:tcW w:w="6971" w:type="dxa"/>
            <w:vAlign w:val="center"/>
            <w:textDirection w:val="lrTb"/>
            <w:noWrap w:val="false"/>
          </w:tcPr>
          <w:p w14:paraId="499D1AE6">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Thôn </w:t>
            </w:r>
            <w:r>
              <w:rPr>
                <w:rFonts w:ascii="Times New Roman" w:hAnsi="Times New Roman" w:eastAsia="Times New Roman" w:cs="Times New Roman"/>
                <w:color w:val="000000"/>
                <w:sz w:val="24"/>
              </w:rPr>
              <w:t xml:space="preserve">Do </w:t>
            </w:r>
            <w:r>
              <w:rPr>
                <w:rFonts w:ascii="Times New Roman" w:hAnsi="Times New Roman" w:eastAsia="Times New Roman" w:cs="Times New Roman"/>
                <w:color w:val="000000"/>
                <w:sz w:val="24"/>
              </w:rPr>
              <w:t xml:space="preserve">Thượng, </w:t>
            </w:r>
            <w:r>
              <w:rPr>
                <w:rFonts w:ascii="Times New Roman" w:hAnsi="Times New Roman" w:eastAsia="Times New Roman" w:cs="Times New Roman"/>
                <w:color w:val="000000"/>
                <w:sz w:val="24"/>
              </w:rPr>
              <w:t xml:space="preserve">xã </w:t>
            </w:r>
            <w:r>
              <w:rPr>
                <w:rFonts w:ascii="Times New Roman" w:hAnsi="Times New Roman" w:eastAsia="Times New Roman" w:cs="Times New Roman"/>
                <w:color w:val="000000"/>
                <w:sz w:val="24"/>
              </w:rPr>
              <w:t xml:space="preserve">Tiền </w:t>
            </w:r>
            <w:r>
              <w:rPr>
                <w:rFonts w:ascii="Times New Roman" w:hAnsi="Times New Roman" w:eastAsia="Times New Roman" w:cs="Times New Roman"/>
                <w:color w:val="000000"/>
                <w:sz w:val="24"/>
              </w:rPr>
              <w:t xml:space="preserve">Phong, </w:t>
            </w:r>
            <w:r>
              <w:rPr>
                <w:rFonts w:ascii="Times New Roman" w:hAnsi="Times New Roman" w:eastAsia="Times New Roman" w:cs="Times New Roman"/>
                <w:color w:val="000000"/>
                <w:sz w:val="24"/>
              </w:rPr>
              <w:t xml:space="preserve">huyện </w:t>
            </w:r>
            <w:r>
              <w:rPr>
                <w:rFonts w:ascii="Times New Roman" w:hAnsi="Times New Roman" w:eastAsia="Times New Roman" w:cs="Times New Roman"/>
                <w:color w:val="000000"/>
                <w:sz w:val="24"/>
              </w:rPr>
              <w:t xml:space="preserve">Mê </w:t>
            </w:r>
            <w:r>
              <w:rPr>
                <w:rFonts w:ascii="Times New Roman" w:hAnsi="Times New Roman" w:eastAsia="Times New Roman" w:cs="Times New Roman"/>
                <w:color w:val="000000"/>
                <w:sz w:val="24"/>
              </w:rPr>
              <w:t xml:space="preserve">Linh, </w:t>
            </w:r>
            <w:r>
              <w:rPr>
                <w:rFonts w:ascii="Times New Roman" w:hAnsi="Times New Roman" w:eastAsia="Times New Roman" w:cs="Times New Roman"/>
                <w:color w:val="000000"/>
                <w:sz w:val="24"/>
              </w:rPr>
              <w:t xml:space="preserve">Thành </w:t>
            </w:r>
            <w:r>
              <w:rPr>
                <w:rFonts w:ascii="Times New Roman" w:hAnsi="Times New Roman" w:eastAsia="Times New Roman" w:cs="Times New Roman"/>
                <w:color w:val="000000"/>
                <w:sz w:val="24"/>
              </w:rPr>
              <w:t xml:space="preserve">phố </w:t>
            </w:r>
            <w:r>
              <w:rPr>
                <w:rFonts w:ascii="Times New Roman" w:hAnsi="Times New Roman" w:eastAsia="Times New Roman" w:cs="Times New Roman"/>
                <w:color w:val="000000"/>
                <w:sz w:val="24"/>
              </w:rPr>
              <w:t xml:space="preserve">Hà </w:t>
            </w:r>
            <w:r>
              <w:rPr>
                <w:rFonts w:ascii="Times New Roman" w:hAnsi="Times New Roman" w:eastAsia="Times New Roman" w:cs="Times New Roman"/>
                <w:color w:val="000000"/>
                <w:sz w:val="24"/>
              </w:rPr>
              <w:t xml:space="preserve">Nội</w:t>
            </w:r>
            <w:r>
              <w:rPr>
                <w:rFonts w:ascii="Times New Roman" w:hAnsi="Times New Roman" w:eastAsia="Times New Roman" w:cs="Times New Roman"/>
                <w:color w:val="000000"/>
                <w:sz w:val="24"/>
              </w:rPr>
            </w:r>
            <w:r/>
          </w:p>
        </w:tc>
        <w:tc>
          <w:tcPr>
            <w:tcBorders/>
            <w:tcMar>
              <w:left w:w="0" w:type="dxa"/>
              <w:top w:w="0" w:type="dxa"/>
              <w:right w:w="0" w:type="dxa"/>
              <w:bottom w:w="0" w:type="dxa"/>
            </w:tcMar>
            <w:tcW w:w="0" w:type="dxa"/>
            <w:vAlign w:val="center"/>
            <w:textDirection w:val="lrTb"/>
            <w:noWrap w:val="false"/>
          </w:tcPr>
          <w:p w14:paraId="47F520C8">
            <w:pPr>
              <w:pBdr/>
              <w:spacing w:after="0" w:before="0" w:line="240" w:lineRule="auto"/>
              <w:ind/>
              <w:rPr/>
            </w:pPr>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47F40060">
      <w:pPr>
        <w:pBdr/>
        <w:spacing w:after="0" w:before="0" w:line="276" w:lineRule="auto"/>
        <w:ind/>
        <w:jc w:val="both"/>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345, tờ bản đồ số: 26 có địa chỉ: Thôn Do Thượng, xã Tiền Phong, huyện Mê Linh, Tp Hà Nội theo Giấy chứng nhận quyền sử dụng đất, quyền sở hữu nhà ở và tài sản khác gắn liền với đất số: DO 680913, số vào sổ cấp GCN: CN033</w:t>
      </w:r>
      <w:r>
        <w:rPr>
          <w:rFonts w:ascii="Times New Roman" w:hAnsi="Times New Roman" w:eastAsia="Times New Roman" w:cs="Times New Roman"/>
          <w:b w:val="0"/>
          <w:bCs w:val="0"/>
          <w:color w:val="000000"/>
          <w:sz w:val="24"/>
        </w:rPr>
        <w:t xml:space="preserve">84 do Chi nhánh văn phòng đăng kí đất đai Hà Nội huyện Mê Linh cấp ngày 17/04/2024; chủ sử dụng đất là Bà Nguyễn Thị Phúc.</w:t>
      </w:r>
      <w:r>
        <w:rPr>
          <w:b w:val="0"/>
          <w:bCs w:val="0"/>
        </w:rPr>
      </w: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29616FCD">
            <w:pPr>
              <w:pBdr/>
              <w:spacing w:after="0" w:before="0" w:line="276" w:lineRule="auto"/>
              <w:ind/>
              <w:jc w:val="both"/>
              <w:rPr>
                <w:b/>
                <w:bCs/>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t xml:space="preserve">Quyền sử dụng đất tại thửa đất số: 345, tờ bản đồ số: 26 có địa chỉ: Thôn Do Thượng, xã Tiền Phong, huyện Mê Linh, Tp Hà Nội theo Giấy chứng nhận quyền sử dụng đất, quyền sở hữu nhà ở và tài sản khác gắn liền với đất số: DO 680913, số vào sổ cấp GCN: CN033</w:t>
            </w:r>
            <w:r>
              <w:rPr>
                <w:rFonts w:ascii="Times New Roman" w:hAnsi="Times New Roman" w:eastAsia="Times New Roman" w:cs="Times New Roman"/>
                <w:b/>
                <w:bCs/>
                <w:color w:val="000000"/>
                <w:sz w:val="24"/>
              </w:rPr>
              <w:t xml:space="preserve">84 do Chi nhánh văn phòng đăng kí đất đai Hà Nội huyện Mê Linh cấp ngày 17/04/2024; chủ sử dụng đất là Bà Nguyễn Thị Phúc.</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76,4</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54.000.000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4.125.600.000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4.125.600.000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4.125.600.000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một trăm hai mươi lăm triệu sáu trăm nghìn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275/2025/1853/VFI-BC.61.A</w:t>
            </w:r>
            <w:r>
              <w:rPr>
                <w:sz w:val="24"/>
                <w:szCs w:val="24"/>
              </w:rPr>
            </w:r>
            <w:r>
              <w:rPr>
                <w:sz w:val="24"/>
                <w:szCs w:val="24"/>
              </w:rPr>
            </w:r>
          </w:p>
        </w:tc>
        <w:tc>
          <w:tcPr>
            <w:tcBorders/>
            <w:tcW w:w="4781" w:type="dxa"/>
            <w:textDirection w:val="lrTb"/>
            <w:noWrap w:val="false"/>
          </w:tcPr>
          <w:p w14:paraId="4E249833" w14:textId="77777777">
            <w:pPr>
              <w:pStyle w:val="1034"/>
              <w:pBdr/>
              <w:tabs>
                <w:tab w:val="left" w:leader="none" w:pos="5103"/>
              </w:tabs>
              <w:spacing w:before="100" w:line="360" w:lineRule="auto"/>
              <w:ind/>
              <w:jc w:val="right"/>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p w14:paraId="1C1E2870" w14:textId="207F25D6">
            <w:pPr>
              <w:pStyle w:val="1034"/>
              <w:pBdr/>
              <w:tabs>
                <w:tab w:val="left" w:leader="none" w:pos="5103"/>
              </w:tabs>
              <w:spacing w:before="100" w:line="360" w:lineRule="auto"/>
              <w:ind/>
              <w:jc w:val="right"/>
              <w:rPr>
                <w:i/>
                <w:iCs/>
                <w:sz w:val="24"/>
                <w:szCs w:val="24"/>
              </w:rPr>
            </w:pPr>
            <w:r>
              <w:rPr>
                <w:rStyle w:val="1033"/>
                <w:rFonts w:ascii="Times New Roman" w:hAnsi="Times New Roman"/>
                <w:i/>
                <w:color w:val="auto"/>
              </w:rPr>
              <w:t xml:space="preserve">TP</w:t>
            </w:r>
            <w:r>
              <w:rPr>
                <w:rStyle w:val="1033"/>
                <w:rFonts w:ascii="Times New Roman" w:hAnsi="Times New Roman"/>
                <w:color w:val="auto"/>
              </w:rPr>
              <w:t xml:space="preserve">. </w:t>
            </w:r>
            <w:r>
              <w:rPr>
                <w:rStyle w:val="1033"/>
                <w:rFonts w:ascii="Times New Roman" w:hAnsi="Times New Roman"/>
                <w:i/>
                <w:color w:val="auto"/>
              </w:rPr>
              <w:t xml:space="preserve">Hà Nội</w:t>
            </w:r>
            <w:r>
              <w:rPr>
                <w:rStyle w:val="1033"/>
                <w:rFonts w:ascii="Times New Roman" w:hAnsi="Times New Roman"/>
                <w:i/>
                <w:color w:val="auto"/>
                <w:lang w:val="vi-VN"/>
              </w:rPr>
              <w:t xml:space="preserve">, </w:t>
            </w:r>
            <w:r>
              <w:rPr>
                <w:i/>
                <w:iCs/>
                <w:color w:val="000000" w:themeColor="text1"/>
                <w:sz w:val="24"/>
                <w:szCs w:val="24"/>
                <w:lang w:val="pt-BR"/>
              </w:rPr>
              <w:t xml:space="preserve">ngày 22 tháng 12 năm 2025</w:t>
            </w:r>
            <w:r>
              <w:rPr>
                <w:rStyle w:val="1033"/>
                <w:rFonts w:ascii="Times New Roman" w:hAnsi="Times New Roman"/>
                <w:i/>
                <w:color w:val="auto"/>
                <w:lang w:val="vi-VN"/>
              </w:rPr>
              <w:t xml:space="preserve">   </w:t>
            </w:r>
            <w:r>
              <w:rPr>
                <w:rStyle w:val="103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275/2025/1853/VFI-CT.61.A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4CA6E890">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25FAF3D4">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2E3610B6">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r>
            <w:r>
              <w:rPr>
                <w:rFonts w:ascii="Times New Roman Bold" w:hAnsi="Times New Roman Bold"/>
                <w:b/>
                <w:color w:val="000000" w:themeColor="text1"/>
                <w:lang w:val="pt-BR"/>
              </w:rPr>
              <w:t xml:space="preserve">B</w:t>
            </w:r>
            <w:r>
              <w:rPr>
                <w:rFonts w:ascii="Times New Roman Bold" w:hAnsi="Times New Roman Bold"/>
                <w:b/>
                <w:color w:val="000000" w:themeColor="text1"/>
                <w:lang w:val="pt-BR"/>
              </w:rPr>
              <w:t xml:space="preserve">À</w:t>
            </w:r>
            <w:r>
              <w:rPr>
                <w:rFonts w:ascii="Times New Roman Bold" w:hAnsi="Times New Roman Bold"/>
                <w:b/>
                <w:color w:val="000000" w:themeColor="text1"/>
                <w:lang w:val="pt-BR"/>
              </w:rPr>
              <w:t xml:space="preserve"> N</w:t>
            </w:r>
            <w:r>
              <w:rPr>
                <w:rFonts w:ascii="Times New Roman Bold" w:hAnsi="Times New Roman Bold"/>
                <w:b/>
                <w:color w:val="000000" w:themeColor="text1"/>
                <w:lang w:val="pt-BR"/>
              </w:rPr>
              <w:t xml:space="preserve">GUYỄN </w:t>
            </w:r>
            <w:r>
              <w:rPr>
                <w:rFonts w:ascii="Times New Roman Bold" w:hAnsi="Times New Roman Bold"/>
                <w:b/>
                <w:color w:val="000000" w:themeColor="text1"/>
                <w:lang w:val="pt-BR"/>
              </w:rPr>
              <w:t xml:space="preserve">THỊ </w:t>
            </w:r>
            <w:r>
              <w:rPr>
                <w:rFonts w:ascii="Times New Roman Bold" w:hAnsi="Times New Roman Bold"/>
                <w:b/>
                <w:color w:val="000000" w:themeColor="text1"/>
                <w:lang w:val="pt-BR"/>
              </w:rPr>
              <w:t xml:space="preserve">PHÚC</w:t>
            </w:r>
            <w:r>
              <w:rPr>
                <w:rFonts w:ascii="Times New Roman" w:hAnsi="Times New Roman" w:eastAsia="Times New Roman" w:cs="Times New Roman"/>
                <w:b/>
                <w:color w:val="000000"/>
                <w:spacing w:val="-8"/>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2DCB7E14">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Năm sinh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664F4086">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7FEFF11F">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198</w:t>
            </w:r>
            <w:r>
              <w:rPr>
                <w:rFonts w:ascii="Times New Roman" w:hAnsi="Times New Roman" w:eastAsia="Times New Roman" w:cs="Times New Roman"/>
                <w:color w:val="000000"/>
                <w:sz w:val="24"/>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3A12B477">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6C748FB4">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53912C1E">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001181005850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6006E18A">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 thường trú</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2A37B089">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5F730049">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Thôn </w:t>
            </w:r>
            <w:r>
              <w:rPr>
                <w:rFonts w:ascii="Times New Roman" w:hAnsi="Times New Roman" w:eastAsia="Times New Roman" w:cs="Times New Roman"/>
                <w:color w:val="000000"/>
                <w:sz w:val="24"/>
              </w:rPr>
              <w:t xml:space="preserve">Do </w:t>
            </w:r>
            <w:r>
              <w:rPr>
                <w:rFonts w:ascii="Times New Roman" w:hAnsi="Times New Roman" w:eastAsia="Times New Roman" w:cs="Times New Roman"/>
                <w:color w:val="000000"/>
                <w:sz w:val="24"/>
              </w:rPr>
              <w:t xml:space="preserve">Thượng, </w:t>
            </w:r>
            <w:r>
              <w:rPr>
                <w:rFonts w:ascii="Times New Roman" w:hAnsi="Times New Roman" w:eastAsia="Times New Roman" w:cs="Times New Roman"/>
                <w:color w:val="000000"/>
                <w:sz w:val="24"/>
              </w:rPr>
              <w:t xml:space="preserve">xã </w:t>
            </w:r>
            <w:r>
              <w:rPr>
                <w:rFonts w:ascii="Times New Roman" w:hAnsi="Times New Roman" w:eastAsia="Times New Roman" w:cs="Times New Roman"/>
                <w:color w:val="000000"/>
                <w:sz w:val="24"/>
              </w:rPr>
              <w:t xml:space="preserve">Tiền </w:t>
            </w:r>
            <w:r>
              <w:rPr>
                <w:rFonts w:ascii="Times New Roman" w:hAnsi="Times New Roman" w:eastAsia="Times New Roman" w:cs="Times New Roman"/>
                <w:color w:val="000000"/>
                <w:sz w:val="24"/>
              </w:rPr>
              <w:t xml:space="preserve">Phong, </w:t>
            </w:r>
            <w:r>
              <w:rPr>
                <w:rFonts w:ascii="Times New Roman" w:hAnsi="Times New Roman" w:eastAsia="Times New Roman" w:cs="Times New Roman"/>
                <w:color w:val="000000"/>
                <w:sz w:val="24"/>
              </w:rPr>
              <w:t xml:space="preserve">huyện </w:t>
            </w:r>
            <w:r>
              <w:rPr>
                <w:rFonts w:ascii="Times New Roman" w:hAnsi="Times New Roman" w:eastAsia="Times New Roman" w:cs="Times New Roman"/>
                <w:color w:val="000000"/>
                <w:sz w:val="24"/>
              </w:rPr>
              <w:t xml:space="preserve">Mê </w:t>
            </w:r>
            <w:r>
              <w:rPr>
                <w:rFonts w:ascii="Times New Roman" w:hAnsi="Times New Roman" w:eastAsia="Times New Roman" w:cs="Times New Roman"/>
                <w:color w:val="000000"/>
                <w:sz w:val="24"/>
              </w:rPr>
              <w:t xml:space="preserve">Linh, </w:t>
            </w:r>
            <w:r>
              <w:rPr>
                <w:rFonts w:ascii="Times New Roman" w:hAnsi="Times New Roman" w:eastAsia="Times New Roman" w:cs="Times New Roman"/>
                <w:color w:val="000000"/>
                <w:sz w:val="24"/>
              </w:rPr>
              <w:t xml:space="preserve">Thành </w:t>
            </w:r>
            <w:r>
              <w:rPr>
                <w:rFonts w:ascii="Times New Roman" w:hAnsi="Times New Roman" w:eastAsia="Times New Roman" w:cs="Times New Roman"/>
                <w:color w:val="000000"/>
                <w:sz w:val="24"/>
              </w:rPr>
              <w:t xml:space="preserve">phố </w:t>
            </w:r>
            <w:r>
              <w:rPr>
                <w:rFonts w:ascii="Times New Roman" w:hAnsi="Times New Roman" w:eastAsia="Times New Roman" w:cs="Times New Roman"/>
                <w:color w:val="000000"/>
                <w:sz w:val="24"/>
              </w:rPr>
              <w:t xml:space="preserve">Hà </w:t>
            </w:r>
            <w:r>
              <w:rPr>
                <w:rFonts w:ascii="Times New Roman" w:hAnsi="Times New Roman" w:eastAsia="Times New Roman" w:cs="Times New Roman"/>
                <w:color w:val="000000"/>
                <w:sz w:val="24"/>
              </w:rPr>
              <w:t xml:space="preserve">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b w:val="0"/>
                <w:bCs w:val="0"/>
                <w:color w:val="000000"/>
                <w:sz w:val="24"/>
              </w:rPr>
              <w:t xml:space="preserve">Quyền sử dụng đất tại thửa đất số: 345, tờ bản đồ số: 26 có địa chỉ: Thôn Do Thượng, xã Tiền Phong, huyện Mê Linh, Tp Hà Nội theo Giấy chứng nhận quyền sử dụng đất, quyền sở hữu nhà ở và tài sản khác gắn liền với đất số: DO 680913, số vào sổ cấp GCN: CN033</w:t>
            </w:r>
            <w:r>
              <w:rPr>
                <w:rFonts w:ascii="Times New Roman" w:hAnsi="Times New Roman" w:eastAsia="Times New Roman" w:cs="Times New Roman"/>
                <w:b w:val="0"/>
                <w:bCs w:val="0"/>
                <w:color w:val="000000"/>
                <w:sz w:val="24"/>
              </w:rPr>
              <w:t xml:space="preserve">84 do Chi nhánh văn phòng đăng kí đất đai Hà Nội huyện Mê Linh cấp ngày 17/04/2024; chủ sử dụng đất là Bà Nguyễn Thị Phúc.</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Do Thượng, xã Tiền Phong, huyện Mê Linh, Tp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21.160482, 105.767601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đất số: DO 680913, số vào sổ cấp GCN: CN033</w:t>
      </w:r>
      <w:r>
        <w:rPr>
          <w:rFonts w:ascii="Times New Roman" w:hAnsi="Times New Roman" w:eastAsia="Times New Roman" w:cs="Times New Roman"/>
          <w:b w:val="0"/>
          <w:bCs w:val="0"/>
          <w:color w:val="000000"/>
          <w:sz w:val="24"/>
        </w:rPr>
        <w:t xml:space="preserve">84 do Chi nhánh văn phòng đăng kí đất đai Hà Nội huyện Mê Linh cấp ngày 17/04/2024; chủ sử dụng đất là Bà Nguyễn Thị Phúc</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275/2025/1853/VFI-HĐTĐ.61.A ngày 17/12/2025 giữa Bà Nguyễn Thị Phúc với Công ty Cổ phần Thẩm định và Đầu tư Tài chính Hoa Sen.</w:t>
      </w:r>
      <w:r>
        <w:rPr>
          <w:b/>
          <w:lang w:val="pt-BR"/>
        </w:rPr>
      </w:r>
      <w:r>
        <w:rPr>
          <w:b/>
          <w:lang w:val="pt-BR"/>
        </w:rPr>
      </w:r>
    </w:p>
    <w:p w14:paraId="7BDC3A25" w14:textId="77D2CF95">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89888CB">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jc w:val="both"/>
        <w:rPr/>
      </w:pPr>
      <w:r>
        <w:rPr>
          <w:lang w:val="pt-BR"/>
        </w:rPr>
        <w:tab/>
      </w:r>
      <w:r>
        <w:rPr>
          <w:rFonts w:ascii="Times New Roman" w:hAnsi="Times New Roman" w:eastAsia="Times New Roman" w:cs="Times New Roman"/>
          <w:color w:val="000000"/>
          <w:sz w:val="26"/>
        </w:rPr>
        <w:t xml:space="preserve">Huyện Mê Linh cũ nằm ở Tây Bắc Hà Nội, cách trung tâm Hà Nội 30km, từng thuộc tỉnh Vĩnh Phúc cũ. Năm 2008, huyện Mê Linh cũ chính thức sáp nhập vào Hà Nội.</w:t>
      </w:r>
      <w:r/>
    </w:p>
    <w:p w14:paraId="65FA06C5">
      <w:pPr>
        <w:pBdr>
          <w:top w:val="none" w:color="000000" w:sz="4" w:space="0"/>
          <w:left w:val="none" w:color="000000" w:sz="4" w:space="0"/>
          <w:bottom w:val="none" w:color="000000" w:sz="4" w:space="0"/>
          <w:right w:val="none" w:color="000000" w:sz="4" w:space="0"/>
        </w:pBdr>
        <w:shd w:val="clear" w:color="ffffff" w:fill="ffffff"/>
        <w:spacing w:after="225" w:before="0" w:line="240" w:lineRule="auto"/>
        <w:ind w:right="0" w:firstLine="0" w:left="0"/>
        <w:jc w:val="both"/>
        <w:rPr/>
      </w:pPr>
      <w:r>
        <w:rPr>
          <w:rFonts w:ascii="Times New Roman" w:hAnsi="Times New Roman" w:eastAsia="Times New Roman" w:cs="Times New Roman"/>
          <w:color w:val="000000"/>
          <w:sz w:val="26"/>
        </w:rPr>
        <w:t xml:space="preserve">Ngay sau khi được sáp nhập, Mê Linh đã được chú trọng đầu tư đặc biệt, nâng cấp hệ thống cơ sở hạ tầng, thay đổi hoàn toàn diện mạo của khu vực. Khi ấy, nhà đầu tư ồ ạt đổ về đây. Muốn sở hữu lô đất biệt thự, liền kề Mê Linh của thời đó, ngoài tiền hợp đồn</w:t>
      </w:r>
      <w:r>
        <w:rPr>
          <w:rFonts w:ascii="Times New Roman" w:hAnsi="Times New Roman" w:eastAsia="Times New Roman" w:cs="Times New Roman"/>
          <w:color w:val="000000"/>
          <w:sz w:val="26"/>
        </w:rPr>
        <w:t xml:space="preserve">g, nhà đầu tư phải bỏ thêm khoản tiền chênh trăm triệu, phải xếp hàng chờ đến lượt cọc.</w:t>
      </w:r>
      <w:r/>
    </w:p>
    <w:p w14:paraId="04CD4ED3">
      <w:pPr>
        <w:pBdr>
          <w:top w:val="none" w:color="000000" w:sz="4" w:space="0"/>
          <w:left w:val="none" w:color="000000" w:sz="4" w:space="0"/>
          <w:bottom w:val="none" w:color="000000" w:sz="4" w:space="0"/>
          <w:right w:val="none" w:color="000000" w:sz="4" w:space="0"/>
        </w:pBdr>
        <w:shd w:val="clear" w:color="ffffff" w:fill="ffffff"/>
        <w:spacing w:after="225" w:before="0" w:line="240" w:lineRule="auto"/>
        <w:ind w:right="0" w:firstLine="0" w:left="0"/>
        <w:jc w:val="both"/>
        <w:rPr/>
      </w:pPr>
      <w:r>
        <w:rPr>
          <w:rFonts w:ascii="Times New Roman" w:hAnsi="Times New Roman" w:eastAsia="Times New Roman" w:cs="Times New Roman"/>
          <w:color w:val="000000"/>
          <w:sz w:val="26"/>
        </w:rPr>
        <w:t xml:space="preserve">Sốt đất quay cuồng ở Mê Linh diễn ra suốt 2 năm từ 2008, đỉnh điểm là năm 2010. Cơn sốt đất đã biến vùng nông thôn nghèo trở thành miền đất hứa của những đô thị mới được quảng cáo sẽ là trung tâm cực Bắc Thủ đô. Đến năm 2011, thị trường trầm lắng. Mê Linh </w:t>
      </w:r>
      <w:r>
        <w:rPr>
          <w:rFonts w:ascii="Times New Roman" w:hAnsi="Times New Roman" w:eastAsia="Times New Roman" w:cs="Times New Roman"/>
          <w:color w:val="000000"/>
          <w:sz w:val="26"/>
        </w:rPr>
        <w:t xml:space="preserve">trở thành vùng đất của những dự án đắp chiếu. Giá đất đang từ hơn 10 triệu đồng/m2 tụt dốc với mức chỉ 6-7 triệu đồng/m2, thậm chí lao xuống mức 2 triệu đồng/m2.</w:t>
      </w:r>
      <w:r/>
    </w:p>
    <w:p w14:paraId="7A999937">
      <w:pPr>
        <w:pBdr>
          <w:top w:val="none" w:color="000000" w:sz="4" w:space="0"/>
          <w:left w:val="none" w:color="000000" w:sz="4" w:space="0"/>
          <w:bottom w:val="none" w:color="000000" w:sz="4" w:space="0"/>
          <w:right w:val="none" w:color="000000" w:sz="4" w:space="0"/>
        </w:pBdr>
        <w:shd w:val="clear" w:color="ffffff" w:fill="ffffff"/>
        <w:spacing w:after="225" w:before="0" w:line="240" w:lineRule="auto"/>
        <w:ind w:right="0" w:firstLine="0" w:left="0"/>
        <w:jc w:val="both"/>
        <w:rPr/>
      </w:pPr>
      <w:r>
        <w:rPr>
          <w:rFonts w:ascii="Times New Roman" w:hAnsi="Times New Roman" w:eastAsia="Times New Roman" w:cs="Times New Roman"/>
          <w:color w:val="000000"/>
          <w:sz w:val="26"/>
        </w:rPr>
        <w:t xml:space="preserve">Sẽ là sự đáng tiếc khi Mê Linh vẫn chìm trong giấc ngủ đông kéo dài bởi nơi đây sở hữu lợi thế sẵn có về vị trí, về phát triển hạ tầng giao thông và các khu công nghiệp. Cùng với nỗ lực tháo gỡ khó khăn về quy hoạch của lãnh đạo địa phương, nhiều công trìn</w:t>
      </w:r>
      <w:r>
        <w:rPr>
          <w:rFonts w:ascii="Times New Roman" w:hAnsi="Times New Roman" w:eastAsia="Times New Roman" w:cs="Times New Roman"/>
          <w:color w:val="000000"/>
          <w:sz w:val="26"/>
        </w:rPr>
        <w:t xml:space="preserve">h giao thông kết nối quan trọng giữa Mê Linh với trung tâm Hà Nội cũng được đưa vào sử dụng như cầu Nhật Tân, dự án mở rộng đường Phạm Văn Đồng nằm trên tuyến Vành đai 3…</w:t>
      </w:r>
      <w:r/>
    </w:p>
    <w:p w14:paraId="27404BDE">
      <w:pPr>
        <w:pBdr>
          <w:top w:val="none" w:color="000000" w:sz="4" w:space="0"/>
          <w:left w:val="none" w:color="000000" w:sz="4" w:space="0"/>
          <w:bottom w:val="none" w:color="000000" w:sz="4" w:space="0"/>
          <w:right w:val="none" w:color="000000" w:sz="4" w:space="0"/>
        </w:pBdr>
        <w:shd w:val="clear" w:color="ffffff" w:fill="ffffff"/>
        <w:spacing w:after="225" w:before="0" w:line="240" w:lineRule="auto"/>
        <w:ind w:right="0" w:firstLine="0" w:left="0"/>
        <w:jc w:val="both"/>
        <w:rPr/>
      </w:pPr>
      <w:r>
        <w:rPr>
          <w:rFonts w:ascii="Times New Roman" w:hAnsi="Times New Roman" w:eastAsia="Times New Roman" w:cs="Times New Roman"/>
          <w:color w:val="000000"/>
          <w:sz w:val="26"/>
        </w:rPr>
        <w:t xml:space="preserve">Đến năm 2017, sức nóng của thị trường bất động sản lan tỏa mạnh ra các vùng ven đánh thức Mê Linh tỉnh giấc. Cùng thời điểm, chính quyền Mê Linh cũng mạnh tay tháo gỡ khó khăn, vướng mắc để nhanh chóng hồi sinh các dự án.</w:t>
      </w:r>
      <w:r/>
    </w:p>
    <w:p w14:paraId="7D08A90F">
      <w:pPr>
        <w:pBdr>
          <w:top w:val="none" w:color="000000" w:sz="4" w:space="0"/>
          <w:left w:val="none" w:color="000000" w:sz="4" w:space="0"/>
          <w:bottom w:val="none" w:color="000000" w:sz="4" w:space="0"/>
          <w:right w:val="none" w:color="000000" w:sz="4" w:space="0"/>
        </w:pBdr>
        <w:shd w:val="clear" w:color="ffffff" w:fill="ffffff"/>
        <w:spacing w:after="225" w:before="0" w:line="240" w:lineRule="auto"/>
        <w:ind w:right="0" w:firstLine="0" w:left="0"/>
        <w:jc w:val="both"/>
        <w:rPr/>
      </w:pPr>
      <w:r>
        <w:rPr>
          <w:rFonts w:ascii="Times New Roman" w:hAnsi="Times New Roman" w:eastAsia="Times New Roman" w:cs="Times New Roman"/>
          <w:color w:val="000000"/>
          <w:sz w:val="26"/>
        </w:rPr>
        <w:t xml:space="preserve">Gần đây, vùng đất Mê Linh cũ đang được các “ông lớn” bất động sản đưa vào chiến lược phát triển. Điển hình, Tập đoàn Sun Group vừa được UBND xã Mê Linh phê duyệt quy hoạch chi tiết 1/500 cho dự án khu đô thị cao cấp Mê Linh với tổng vốn gần 15.000 tỷ đồng,</w:t>
      </w:r>
      <w:r>
        <w:rPr>
          <w:rFonts w:ascii="Times New Roman" w:hAnsi="Times New Roman" w:eastAsia="Times New Roman" w:cs="Times New Roman"/>
          <w:color w:val="000000"/>
          <w:sz w:val="26"/>
        </w:rPr>
        <w:t xml:space="preserve"> quy mô dân số 21.000 người, tiến độ đến năm 2030.</w:t>
      </w:r>
      <w:r/>
    </w:p>
    <w:p w14:paraId="3DA7BBCF">
      <w:pPr>
        <w:pBdr>
          <w:top w:val="none" w:color="000000" w:sz="4" w:space="0"/>
          <w:left w:val="none" w:color="000000" w:sz="4" w:space="0"/>
          <w:bottom w:val="none" w:color="000000" w:sz="4" w:space="0"/>
          <w:right w:val="none" w:color="000000" w:sz="4" w:space="0"/>
        </w:pBdr>
        <w:shd w:val="clear" w:color="ffffff" w:fill="ffffff"/>
        <w:spacing w:after="225" w:before="0" w:line="240" w:lineRule="auto"/>
        <w:ind w:right="0" w:firstLine="0" w:left="0"/>
        <w:jc w:val="both"/>
        <w:rPr/>
      </w:pPr>
      <w:r>
        <w:rPr>
          <w:rFonts w:ascii="Times New Roman" w:hAnsi="Times New Roman" w:eastAsia="Times New Roman" w:cs="Times New Roman"/>
          <w:color w:val="000000"/>
          <w:sz w:val="26"/>
        </w:rPr>
        <w:t xml:space="preserve">Theo đó, dự án dành tới 65% quỹ đất cho cảnh quan, triển lãm và bảo tàng hoa; khoảng 70ha cho đất ở đô thị với biệt thự, liền kề, chung cư cao tầng; có trường học, phòng khám đa khoa, sân thể thao.</w:t>
      </w:r>
      <w:r>
        <w:rPr>
          <w:rFonts w:ascii="Times New Roman" w:hAnsi="Times New Roman" w:eastAsia="Times New Roman" w:cs="Times New Roman"/>
          <w:sz w:val="26"/>
        </w:rPr>
      </w:r>
      <w:r/>
    </w:p>
    <w:p w14:paraId="6835F82C">
      <w:pPr>
        <w:pBdr/>
        <w:tabs>
          <w:tab w:val="left" w:leader="none" w:pos="426"/>
        </w:tabs>
        <w:spacing w:after="120" w:before="120" w:line="240" w:lineRule="auto"/>
        <w:ind/>
        <w:jc w:val="both"/>
        <w:rPr>
          <w:highlight w:val="none"/>
          <w:lang w:val="pt-BR"/>
        </w:rPr>
      </w:pPr>
      <w:r>
        <w:rPr>
          <w:lang w:val="pt-BR"/>
        </w:rPr>
      </w:r>
      <w:r>
        <w:rPr>
          <w:rFonts w:ascii="Times New Roman" w:hAnsi="Times New Roman" w:eastAsia="Times New Roman" w:cs="Times New Roman"/>
          <w:color w:val="000000"/>
          <w:sz w:val="26"/>
          <w:highlight w:val="white"/>
        </w:rPr>
        <w:t xml:space="preserve">Ngoài những thông tin xoay quanh dự án thì chỉ riêng việc Sun Group “đặt chân” tới đây đã ngay lập tức thổi làn gió mới vào thị trường địa ốc Mê Linh vốn đang hồi phục mạnh mẽ.</w:t>
      </w:r>
      <w:r>
        <w:rPr>
          <w:highlight w:val="none"/>
          <w:lang w:val="pt-BR"/>
        </w:rPr>
      </w:r>
      <w:r>
        <w:rPr>
          <w:highlight w:val="none"/>
          <w:lang w:val="pt-BR"/>
        </w:rPr>
      </w:r>
    </w:p>
    <w:p w14:paraId="5430EB6F">
      <w:pPr>
        <w:pBdr>
          <w:top w:val="none" w:color="000000" w:sz="4" w:space="0"/>
          <w:left w:val="none" w:color="000000" w:sz="4" w:space="0"/>
          <w:bottom w:val="none" w:color="000000" w:sz="4" w:space="0"/>
          <w:right w:val="none" w:color="000000" w:sz="4" w:space="0"/>
        </w:pBdr>
        <w:shd w:val="clear" w:color="ffffff" w:fill="ffffff"/>
        <w:spacing w:after="225" w:before="0" w:line="240" w:lineRule="auto"/>
        <w:ind w:right="0" w:firstLine="0" w:left="0"/>
        <w:jc w:val="both"/>
        <w:rPr/>
      </w:pPr>
      <w:r>
        <w:rPr>
          <w:rFonts w:ascii="Times New Roman" w:hAnsi="Times New Roman" w:eastAsia="Times New Roman" w:cs="Times New Roman"/>
          <w:color w:val="000000"/>
          <w:sz w:val="26"/>
        </w:rPr>
        <w:t xml:space="preserve">Tiếp đến, CEO Group với dự án khu đô thị CEO Mê Linh (CEOHomes Hana Garden) vừa được TP Hà Nội giao hơn 17ha đất tại xã Quang Minh. Dự án này có quy mô khoảng 20,3ha với tổng mức đầu tư 1.400 tỷ đồng, được triển khai năm 2008, được phê duyệt điều chỉnh chủ</w:t>
      </w:r>
      <w:r>
        <w:rPr>
          <w:rFonts w:ascii="Times New Roman" w:hAnsi="Times New Roman" w:eastAsia="Times New Roman" w:cs="Times New Roman"/>
          <w:color w:val="000000"/>
          <w:sz w:val="26"/>
        </w:rPr>
        <w:t xml:space="preserve"> trương đầu tư năm 2020 và đặt mục tiêu hoàn thành vào quý IV/2026.</w:t>
      </w:r>
      <w:r/>
    </w:p>
    <w:p w14:paraId="68EBBCD9">
      <w:pPr>
        <w:pBdr>
          <w:top w:val="none" w:color="000000" w:sz="4" w:space="0"/>
          <w:left w:val="none" w:color="000000" w:sz="4" w:space="0"/>
          <w:bottom w:val="none" w:color="000000" w:sz="4" w:space="0"/>
          <w:right w:val="none" w:color="000000" w:sz="4" w:space="0"/>
        </w:pBdr>
        <w:shd w:val="clear" w:color="ffffff" w:fill="ffffff"/>
        <w:spacing w:after="225" w:before="0" w:line="240" w:lineRule="auto"/>
        <w:ind w:right="0" w:firstLine="0" w:left="0"/>
        <w:jc w:val="both"/>
        <w:rPr/>
      </w:pPr>
      <w:r>
        <w:rPr>
          <w:rFonts w:ascii="Times New Roman" w:hAnsi="Times New Roman" w:eastAsia="Times New Roman" w:cs="Times New Roman"/>
          <w:color w:val="000000"/>
          <w:sz w:val="26"/>
        </w:rPr>
        <w:t xml:space="preserve">Dự án gồm 40 căn biệt thự, 528 căn liền kề và khu nhà ở xã hội, hướng đến phát triển mô hình đô thị xanh - thông minh với hệ thống hạ tầng kỹ thuật đồng bộ, tiện ích đa dạng và không gian sống hiện đại. Việc thành phố giao đất cho CEO Group đánh dấu bước t</w:t>
      </w:r>
      <w:r>
        <w:rPr>
          <w:rFonts w:ascii="Times New Roman" w:hAnsi="Times New Roman" w:eastAsia="Times New Roman" w:cs="Times New Roman"/>
          <w:color w:val="000000"/>
          <w:sz w:val="26"/>
        </w:rPr>
        <w:t xml:space="preserve">iến quan trọng trong việc tháo gỡ những khó khăn, pháp lý về đất nhằm thay đổi diện mạo khu vực.</w:t>
      </w:r>
      <w:r/>
    </w:p>
    <w:p w14:paraId="58AA23C8">
      <w:pPr>
        <w:pBdr>
          <w:top w:val="none" w:color="000000" w:sz="4" w:space="0"/>
          <w:left w:val="none" w:color="000000" w:sz="4" w:space="0"/>
          <w:bottom w:val="none" w:color="000000" w:sz="4" w:space="0"/>
          <w:right w:val="none" w:color="000000" w:sz="4" w:space="0"/>
        </w:pBdr>
        <w:shd w:val="clear" w:color="ffffff" w:fill="ffffff"/>
        <w:spacing w:after="225" w:before="0" w:line="240" w:lineRule="auto"/>
        <w:ind w:right="0" w:firstLine="0" w:left="0"/>
        <w:jc w:val="both"/>
        <w:rPr/>
      </w:pPr>
      <w:r>
        <w:rPr>
          <w:rFonts w:ascii="Times New Roman" w:hAnsi="Times New Roman" w:eastAsia="Times New Roman" w:cs="Times New Roman"/>
          <w:color w:val="000000"/>
          <w:sz w:val="26"/>
        </w:rPr>
        <w:t xml:space="preserve">Tại huyện Mê Linh cũ, Tổng công ty Đầu tư Phát triển Nhà và Đô thị (HUD) cũng đã ghi dấu với dự án HUD Mê Linh Central diện tích khoảng 55,4ha, gồm liền kề, nhà vườn, biệt thự song lập - đơn lập và chung cư khoảng 1.466 căn hộ.</w:t>
      </w:r>
      <w:r/>
    </w:p>
    <w:p w14:paraId="708A9A81">
      <w:pPr>
        <w:pBdr>
          <w:top w:val="none" w:color="000000" w:sz="4" w:space="0"/>
          <w:left w:val="none" w:color="000000" w:sz="4" w:space="0"/>
          <w:bottom w:val="none" w:color="000000" w:sz="4" w:space="0"/>
          <w:right w:val="none" w:color="000000" w:sz="4" w:space="0"/>
        </w:pBdr>
        <w:shd w:val="clear" w:color="ffffff" w:fill="ffffff"/>
        <w:spacing w:after="225" w:before="0" w:line="240" w:lineRule="auto"/>
        <w:ind w:right="0" w:firstLine="0" w:left="0"/>
        <w:jc w:val="both"/>
        <w:rPr/>
      </w:pPr>
      <w:r>
        <w:rPr>
          <w:rFonts w:ascii="Times New Roman" w:hAnsi="Times New Roman" w:eastAsia="Times New Roman" w:cs="Times New Roman"/>
          <w:color w:val="000000"/>
          <w:sz w:val="26"/>
        </w:rPr>
        <w:t xml:space="preserve">Cuối năm ngoái, Công ty cổ phần Đầu tư Bất động sản TASECO (Taseco Land) được công nhận là chủ đầu tư dự án khu đô thị mới Mê Linh với diện tích 40,6ha, tổng vốn đầu tư khoảng hơn 3.200 tỷ đồng.</w:t>
      </w:r>
      <w:r/>
    </w:p>
    <w:p w14:paraId="516910F2">
      <w:pPr>
        <w:pBdr>
          <w:top w:val="none" w:color="000000" w:sz="4" w:space="0"/>
          <w:left w:val="none" w:color="000000" w:sz="4" w:space="0"/>
          <w:bottom w:val="none" w:color="000000" w:sz="4" w:space="0"/>
          <w:right w:val="none" w:color="000000" w:sz="4" w:space="0"/>
        </w:pBdr>
        <w:shd w:val="clear" w:color="ffffff" w:fill="ffffff"/>
        <w:spacing w:after="225" w:before="0" w:line="240" w:lineRule="auto"/>
        <w:ind w:right="0" w:firstLine="0" w:left="0"/>
        <w:jc w:val="both"/>
        <w:rPr/>
      </w:pPr>
      <w:r>
        <w:rPr>
          <w:rFonts w:ascii="Times New Roman" w:hAnsi="Times New Roman" w:eastAsia="Times New Roman" w:cs="Times New Roman"/>
          <w:color w:val="000000"/>
          <w:sz w:val="26"/>
        </w:rPr>
        <w:t xml:space="preserve">Được biết, dự án dự kiến sẽ bao gồm 657 căn nhà thấp tầng (cao 3-5 tầng), một tòa nhà ở xã hội 10 tầng với khoảng 809 căn, cùng hai tòa nhà thương mại dịch vụ cao 3-9 tầng. Dự án được triển khai trong vòng 4 năm (2024-2028).</w:t>
      </w:r>
      <w:r/>
    </w:p>
    <w:p w14:paraId="489E6B9C">
      <w:pPr>
        <w:pBdr>
          <w:top w:val="none" w:color="000000" w:sz="4" w:space="0"/>
          <w:left w:val="none" w:color="000000" w:sz="4" w:space="0"/>
          <w:bottom w:val="none" w:color="000000" w:sz="4" w:space="0"/>
          <w:right w:val="none" w:color="000000" w:sz="4" w:space="0"/>
        </w:pBdr>
        <w:shd w:val="clear" w:color="ffffff" w:fill="ffffff"/>
        <w:spacing w:after="225" w:before="0" w:line="240" w:lineRule="auto"/>
        <w:ind w:right="0" w:firstLine="0" w:left="0"/>
        <w:jc w:val="both"/>
        <w:rPr/>
      </w:pPr>
      <w:r>
        <w:rPr>
          <w:rFonts w:ascii="Times New Roman" w:hAnsi="Times New Roman" w:eastAsia="Times New Roman" w:cs="Times New Roman"/>
          <w:color w:val="000000"/>
          <w:sz w:val="26"/>
        </w:rPr>
        <w:t xml:space="preserve">Theo kế hoạch sử dụng đất năm 2025 của huyện Mê Linh do UBND TP Hà Nội phê duyệt có 104 dự án với tổng diện tích 1.140ha. Trong số này, phần lớn là dự án khu đô thị, khu nhà ở và khu đất đấu giá.</w:t>
      </w:r>
      <w:r/>
    </w:p>
    <w:p w14:paraId="18E1D86F">
      <w:pPr>
        <w:pBdr>
          <w:top w:val="none" w:color="000000" w:sz="4" w:space="0"/>
          <w:left w:val="none" w:color="000000" w:sz="4" w:space="0"/>
          <w:bottom w:val="none" w:color="000000" w:sz="4" w:space="0"/>
          <w:right w:val="none" w:color="000000" w:sz="4" w:space="0"/>
        </w:pBdr>
        <w:shd w:val="clear" w:color="ffffff" w:fill="ffffff"/>
        <w:spacing w:after="225" w:before="0" w:line="240" w:lineRule="auto"/>
        <w:ind w:right="0" w:firstLine="0" w:left="0"/>
        <w:jc w:val="both"/>
        <w:rPr/>
      </w:pPr>
      <w:r>
        <w:rPr>
          <w:rFonts w:ascii="Times New Roman" w:hAnsi="Times New Roman" w:eastAsia="Times New Roman" w:cs="Times New Roman"/>
          <w:color w:val="000000"/>
          <w:sz w:val="26"/>
        </w:rPr>
        <w:t xml:space="preserve">Trong những năm gần đây, giá đất Mê Linh đã có những chuyển biến tích cực. Các phiên đấu giá cũng thu hút được sự quan tâm của đông đảo các nhà đầu tư.</w:t>
      </w:r>
      <w:r/>
    </w:p>
    <w:p w14:paraId="36A40BCD">
      <w:pPr>
        <w:pBdr>
          <w:top w:val="none" w:color="000000" w:sz="4" w:space="0"/>
          <w:left w:val="none" w:color="000000" w:sz="4" w:space="0"/>
          <w:bottom w:val="none" w:color="000000" w:sz="4" w:space="0"/>
          <w:right w:val="none" w:color="000000" w:sz="4" w:space="0"/>
        </w:pBdr>
        <w:shd w:val="clear" w:color="ffffff" w:fill="ffffff"/>
        <w:spacing w:after="225" w:before="0" w:line="240" w:lineRule="auto"/>
        <w:ind w:right="0" w:firstLine="0" w:left="0"/>
        <w:jc w:val="both"/>
        <w:rPr/>
      </w:pPr>
      <w:r>
        <w:rPr>
          <w:rFonts w:ascii="Times New Roman" w:hAnsi="Times New Roman" w:eastAsia="Times New Roman" w:cs="Times New Roman"/>
          <w:color w:val="000000"/>
          <w:sz w:val="26"/>
        </w:rPr>
        <w:t xml:space="preserve">Theo dữ liệu từ Batdongsan.com.vn, trong 5 năm quá, giá bất động sản tại Mê Linh tăng trung bình khoảng 3 lần. Điều này cho thấy, bất động sản nơi đây đang có sức hút lớn đối với nhà đầu tư, bởi tiềm năng tăng trưởng. Việc các “ông lớn” đang đổ bộ khu vực </w:t>
      </w:r>
      <w:r>
        <w:rPr>
          <w:rFonts w:ascii="Times New Roman" w:hAnsi="Times New Roman" w:eastAsia="Times New Roman" w:cs="Times New Roman"/>
          <w:color w:val="000000"/>
          <w:sz w:val="26"/>
        </w:rPr>
        <w:t xml:space="preserve">Mê Linh được kỳ vọng sẽ thay đổi diện mạo khu vực và tiềm năng cho các nhà đầu tư.</w:t>
      </w:r>
      <w:r/>
    </w:p>
    <w:p w14:paraId="2322F11A">
      <w:pPr>
        <w:pBdr>
          <w:top w:val="none" w:color="000000" w:sz="4" w:space="0"/>
          <w:left w:val="none" w:color="000000" w:sz="4" w:space="0"/>
          <w:bottom w:val="none" w:color="000000" w:sz="4" w:space="0"/>
          <w:right w:val="none" w:color="000000" w:sz="4" w:space="0"/>
        </w:pBdr>
        <w:shd w:val="clear" w:color="ffffff" w:fill="ffffff"/>
        <w:spacing w:after="225" w:before="0" w:line="240" w:lineRule="auto"/>
        <w:ind w:right="0" w:firstLine="0" w:left="0"/>
        <w:jc w:val="both"/>
        <w:rPr/>
      </w:pPr>
      <w:r>
        <w:rPr>
          <w:rFonts w:ascii="Times New Roman" w:hAnsi="Times New Roman" w:eastAsia="Times New Roman" w:cs="Times New Roman"/>
          <w:color w:val="000000"/>
          <w:sz w:val="26"/>
        </w:rPr>
        <w:t xml:space="preserve">Bên cạnh đó, Mê Linh có quỹ đất rộng, hạ tầng liên kết ngày càng hoàn thiện và sự xuất hiện của các dự án lớn, Mê Linh đang dần định hình lại vị thế mới trên bản đồ bất động sản Hà Nội.</w:t>
      </w:r>
      <w:r/>
    </w:p>
    <w:p w14:paraId="736F3F2E">
      <w:pPr>
        <w:pBdr/>
        <w:tabs>
          <w:tab w:val="left" w:leader="none" w:pos="426"/>
        </w:tabs>
        <w:spacing w:after="120" w:before="120" w:line="276" w:lineRule="auto"/>
        <w:ind/>
        <w:jc w:val="center"/>
        <w:rPr>
          <w:bCs/>
          <w:i/>
        </w:rPr>
      </w:pPr>
      <w:r>
        <w:rPr>
          <w:i/>
          <w:iCs/>
          <w:highlight w:val="none"/>
          <w:lang w:val="pt-BR" w:bidi="pt-BR"/>
        </w:rPr>
        <w:t xml:space="preserve">( </w:t>
      </w:r>
      <w:r>
        <w:rPr>
          <w:i/>
          <w:iCs/>
          <w:highlight w:val="none"/>
          <w:lang w:val="pt-BR" w:bidi="pt-BR"/>
        </w:rPr>
        <w:t xml:space="preserve">Nguồn: </w:t>
      </w:r>
      <w:r>
        <w:rPr>
          <w:i/>
          <w:iCs/>
          <w:highlight w:val="none"/>
          <w:lang w:val="pt-BR" w:bidi="pt-BR"/>
        </w:rPr>
        <w:t xml:space="preserve">https://cafef.vn/vung-dat-cach-trung-tam-ha-noi-30km-tung-bi-ngu-quen-nay-duoc-cac-ong-lon-bat-dong-san-danh-thuc-188251110075657881.chn</w:t>
      </w:r>
      <w:r>
        <w:rPr>
          <w:i/>
          <w:iCs/>
          <w:highlight w:val="none"/>
          <w:lang w:val="pt-BR" w:bidi="pt-BR"/>
        </w:rPr>
        <w:t xml:space="preserve">)</w:t>
      </w:r>
      <w:r>
        <w:rPr>
          <w:bCs/>
          <w:i/>
        </w:rPr>
      </w:r>
      <w:r>
        <w:rPr>
          <w:bCs/>
          <w:i/>
        </w:rPr>
      </w:r>
    </w:p>
    <w:p w14:paraId="20BF0D54" w14:textId="312C63AB">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3E799CB3">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345, tờ bản đồ số: 26 có địa chỉ: Thôn Do Thượng, xã Tiền Phong, huyện Mê Linh, Tp Hà Nội theo Giấy chứng nhận quyền sử dụng đất, quyền sở hữu nhà ở và tài sản khác gắn liền với đất số: DO 680913, số vào sổ cấp GCN: CN033</w:t>
            </w:r>
            <w:r>
              <w:rPr>
                <w:rFonts w:ascii="Times New Roman" w:hAnsi="Times New Roman" w:eastAsia="Times New Roman" w:cs="Times New Roman"/>
                <w:b/>
                <w:color w:val="000000"/>
                <w:sz w:val="24"/>
              </w:rPr>
              <w:t xml:space="preserve">84 do Chi nhánh văn phòng đăng kí đất đai Hà Nội huyện Mê Linh cấp ngày 17/04/2024; chủ sử dụng đất là Bà Nguyễn Thị Phúc.</w:t>
            </w: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345</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26</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Thôn Do Thượng, xã Tiền Phong, huyện Mê Linh, Tp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76,4</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Được </w:t>
            </w:r>
            <w:r>
              <w:rPr>
                <w:color w:val="000000"/>
              </w:rPr>
              <w:t xml:space="preserve">tặng </w:t>
            </w:r>
            <w:r>
              <w:rPr>
                <w:color w:val="000000"/>
              </w:rPr>
              <w:t xml:space="preserve">cho </w:t>
            </w:r>
            <w:r>
              <w:rPr>
                <w:color w:val="000000"/>
              </w:rPr>
              <w:t xml:space="preserve">đất </w:t>
            </w:r>
            <w:r>
              <w:rPr>
                <w:color w:val="000000"/>
              </w:rPr>
              <w:t xml:space="preserve">được </w:t>
            </w:r>
            <w:r>
              <w:rPr>
                <w:color w:val="000000"/>
              </w:rPr>
              <w:t xml:space="preserve">Công </w:t>
            </w:r>
            <w:r>
              <w:rPr>
                <w:color w:val="000000"/>
              </w:rPr>
              <w:t xml:space="preserve">nhận </w:t>
            </w:r>
            <w:r>
              <w:rPr>
                <w:color w:val="000000"/>
              </w:rPr>
              <w:t xml:space="preserve">QSD</w:t>
            </w:r>
            <w:r>
              <w:rPr>
                <w:color w:val="000000"/>
              </w:rPr>
              <w:t xml:space="preserve">Đ </w:t>
            </w:r>
            <w:r>
              <w:rPr>
                <w:color w:val="000000"/>
              </w:rPr>
              <w:t xml:space="preserve">như </w:t>
            </w:r>
            <w:r>
              <w:rPr>
                <w:color w:val="000000"/>
              </w:rPr>
              <w:t xml:space="preserve">giao </w:t>
            </w:r>
            <w:r>
              <w:rPr>
                <w:color w:val="000000"/>
              </w:rPr>
              <w:t xml:space="preserve">đất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hiện trạng tài sản thẩm định giá qua hồ sơ, thông tin được cung cấp từ khách hàng, người hướng dẫn khảo sát tổ thẩm định không phát hiện các dấu hiệu về tranh chấp của thửa đất.</w:t>
            </w:r>
            <w:r>
              <w:rPr>
                <w:color w:val="000000"/>
              </w:rPr>
            </w:r>
            <w:r>
              <w:rPr>
                <w:color w:val="000000"/>
              </w:rPr>
            </w:r>
          </w:p>
        </w:tc>
      </w:tr>
      <w:tr>
        <w:trPr>
          <w:trHeight w:val="20"/>
        </w:trPr>
        <w:tc>
          <w:tcPr>
            <w:tcBorders/>
            <w:tcW w:w="734" w:type="dxa"/>
            <w:vAlign w:val="center"/>
            <w:vMerge w:val="restart"/>
            <w:textDirection w:val="lrTb"/>
            <w:noWrap w:val="false"/>
          </w:tcPr>
          <w:p w14:paraId="7F95162F">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6FA0EAAA">
            <w:pPr>
              <w:pBdr/>
              <w:spacing/>
              <w:ind/>
              <w:rPr>
                <w:color w:val="000000"/>
              </w:rPr>
            </w:pPr>
            <w:r>
              <w:rPr>
                <w:color w:val="000000"/>
              </w:rPr>
              <w:t xml:space="preserve">Ghi </w:t>
            </w:r>
            <w:r>
              <w:rPr>
                <w:color w:val="000000"/>
              </w:rPr>
              <w:t xml:space="preserve">chú:</w:t>
            </w:r>
            <w:r>
              <w:rPr>
                <w:color w:val="000000"/>
              </w:rPr>
            </w:r>
            <w:r>
              <w:rPr>
                <w:color w:val="000000"/>
              </w:rPr>
            </w:r>
          </w:p>
        </w:tc>
        <w:tc>
          <w:tcPr>
            <w:gridSpan w:val="3"/>
            <w:tcBorders/>
            <w:tcW w:w="6259" w:type="dxa"/>
            <w:vAlign w:val="center"/>
            <w:vMerge w:val="restart"/>
            <w:textDirection w:val="lrTb"/>
            <w:noWrap w:val="false"/>
          </w:tcPr>
          <w:p w14:paraId="20188E60">
            <w:pPr>
              <w:pStyle w:val="1035"/>
              <w:numPr>
                <w:ilvl w:val="0"/>
                <w:numId w:val="39"/>
              </w:numPr>
              <w:pBdr/>
              <w:tabs>
                <w:tab w:val="left" w:leader="none" w:pos="1160"/>
              </w:tabs>
              <w:spacing/>
              <w:ind w:right="0" w:hanging="283" w:left="283"/>
              <w:jc w:val="left"/>
              <w:rPr>
                <w:color w:val="000000"/>
                <w:highlight w:val="none"/>
              </w:rPr>
            </w:pPr>
            <w:r>
              <w:rPr>
                <w:color w:val="000000"/>
              </w:rPr>
              <w:t xml:space="preserve">Số </w:t>
            </w:r>
            <w:r>
              <w:rPr>
                <w:color w:val="000000"/>
              </w:rPr>
              <w:t xml:space="preserve">tờ </w:t>
            </w:r>
            <w:r>
              <w:rPr>
                <w:color w:val="000000"/>
              </w:rPr>
              <w:t xml:space="preserve">bản </w:t>
            </w:r>
            <w:r>
              <w:rPr>
                <w:color w:val="000000"/>
              </w:rPr>
              <w:t xml:space="preserve">đồ, </w:t>
            </w:r>
            <w:r>
              <w:rPr>
                <w:color w:val="000000"/>
              </w:rPr>
              <w:t xml:space="preserve">số </w:t>
            </w:r>
            <w:r>
              <w:rPr>
                <w:color w:val="000000"/>
              </w:rPr>
              <w:t xml:space="preserve">thửa </w:t>
            </w:r>
            <w:r>
              <w:rPr>
                <w:color w:val="000000"/>
              </w:rPr>
              <w:t xml:space="preserve">xác </w:t>
            </w:r>
            <w:r>
              <w:rPr>
                <w:color w:val="000000"/>
              </w:rPr>
              <w:t xml:space="preserve">định </w:t>
            </w:r>
            <w:r>
              <w:rPr>
                <w:color w:val="000000"/>
              </w:rPr>
              <w:t xml:space="preserve">theo </w:t>
            </w:r>
            <w:r>
              <w:rPr>
                <w:color w:val="000000"/>
              </w:rPr>
              <w:t xml:space="preserve">bản </w:t>
            </w:r>
            <w:r>
              <w:rPr>
                <w:color w:val="000000"/>
              </w:rPr>
              <w:t xml:space="preserve">đồ </w:t>
            </w:r>
            <w:r>
              <w:rPr>
                <w:color w:val="000000"/>
              </w:rPr>
              <w:t xml:space="preserve">địa </w:t>
            </w:r>
            <w:r>
              <w:rPr>
                <w:color w:val="000000"/>
              </w:rPr>
              <w:t xml:space="preserve">chính </w:t>
            </w:r>
            <w:r>
              <w:rPr>
                <w:color w:val="000000"/>
              </w:rPr>
              <w:t xml:space="preserve">đo </w:t>
            </w:r>
            <w:r>
              <w:rPr>
                <w:color w:val="000000"/>
              </w:rPr>
              <w:t xml:space="preserve">đạc </w:t>
            </w:r>
            <w:r>
              <w:rPr>
                <w:color w:val="000000"/>
              </w:rPr>
              <w:t xml:space="preserve">d</w:t>
            </w:r>
            <w:r>
              <w:rPr>
                <w:color w:val="000000"/>
              </w:rPr>
              <w:t xml:space="preserve">ự </w:t>
            </w:r>
            <w:r>
              <w:rPr>
                <w:color w:val="000000"/>
              </w:rPr>
              <w:t xml:space="preserve">án </w:t>
            </w:r>
            <w:r>
              <w:rPr>
                <w:color w:val="000000"/>
              </w:rPr>
              <w:t xml:space="preserve">tổng</w:t>
            </w:r>
            <w:r>
              <w:rPr>
                <w:color w:val="000000"/>
              </w:rPr>
              <w:t xml:space="preserve"> </w:t>
            </w:r>
            <w:r>
              <w:rPr>
                <w:color w:val="000000"/>
              </w:rPr>
              <w:t xml:space="preserve">thể. </w:t>
            </w:r>
            <w:r>
              <w:rPr>
                <w:color w:val="000000"/>
                <w:highlight w:val="none"/>
              </w:rPr>
            </w:r>
            <w:r>
              <w:rPr>
                <w:color w:val="000000"/>
                <w:highlight w:val="none"/>
              </w:rPr>
            </w:r>
          </w:p>
          <w:p w14:paraId="6B90BC92">
            <w:pPr>
              <w:pStyle w:val="1035"/>
              <w:numPr>
                <w:ilvl w:val="0"/>
                <w:numId w:val="39"/>
              </w:numPr>
              <w:pBdr/>
              <w:tabs>
                <w:tab w:val="left" w:leader="none" w:pos="1160"/>
              </w:tabs>
              <w:spacing/>
              <w:ind w:right="0" w:hanging="283" w:left="283"/>
              <w:jc w:val="left"/>
              <w:rPr>
                <w:color w:val="000000"/>
                <w:highlight w:val="none"/>
              </w:rPr>
            </w:pPr>
            <w:r>
              <w:rPr>
                <w:color w:val="000000"/>
                <w:highlight w:val="none"/>
              </w:rPr>
              <w:t xml:space="preserve">Thửa </w:t>
            </w:r>
            <w:r>
              <w:rPr>
                <w:color w:val="000000"/>
                <w:highlight w:val="none"/>
              </w:rPr>
              <w:t xml:space="preserve">đất </w:t>
            </w:r>
            <w:r>
              <w:rPr>
                <w:color w:val="000000"/>
                <w:highlight w:val="none"/>
              </w:rPr>
              <w:t xml:space="preserve">này </w:t>
            </w:r>
            <w:r>
              <w:rPr>
                <w:color w:val="000000"/>
                <w:highlight w:val="none"/>
              </w:rPr>
              <w:t xml:space="preserve">được </w:t>
            </w:r>
            <w:r>
              <w:rPr>
                <w:color w:val="000000"/>
                <w:highlight w:val="none"/>
              </w:rPr>
              <w:t xml:space="preserve">tách </w:t>
            </w:r>
            <w:r>
              <w:rPr>
                <w:color w:val="000000"/>
                <w:highlight w:val="none"/>
              </w:rPr>
              <w:t xml:space="preserve">ra </w:t>
            </w:r>
            <w:r>
              <w:rPr>
                <w:color w:val="000000"/>
                <w:highlight w:val="none"/>
              </w:rPr>
              <w:t xml:space="preserve">từ </w:t>
            </w:r>
            <w:r>
              <w:rPr>
                <w:color w:val="000000"/>
                <w:highlight w:val="none"/>
              </w:rPr>
              <w:t xml:space="preserve">thửa </w:t>
            </w:r>
            <w:r>
              <w:rPr>
                <w:color w:val="000000"/>
                <w:highlight w:val="none"/>
              </w:rPr>
              <w:t xml:space="preserve">đất </w:t>
            </w:r>
            <w:r>
              <w:rPr>
                <w:color w:val="000000"/>
                <w:highlight w:val="none"/>
              </w:rPr>
              <w:t xml:space="preserve">số </w:t>
            </w:r>
            <w:r>
              <w:rPr>
                <w:color w:val="000000"/>
                <w:highlight w:val="none"/>
              </w:rPr>
              <w:t xml:space="preserve">143, </w:t>
            </w:r>
            <w:r>
              <w:rPr>
                <w:color w:val="000000"/>
                <w:highlight w:val="none"/>
              </w:rPr>
              <w:t xml:space="preserve">tờ </w:t>
            </w:r>
            <w:r>
              <w:rPr>
                <w:color w:val="000000"/>
                <w:highlight w:val="none"/>
              </w:rPr>
              <w:t xml:space="preserve">bản </w:t>
            </w:r>
            <w:r>
              <w:rPr>
                <w:color w:val="000000"/>
                <w:highlight w:val="none"/>
              </w:rPr>
              <w:t xml:space="preserve">đồ </w:t>
            </w:r>
            <w:r>
              <w:rPr>
                <w:color w:val="000000"/>
                <w:highlight w:val="none"/>
              </w:rPr>
              <w:t xml:space="preserve">số </w:t>
            </w:r>
            <w:r>
              <w:rPr>
                <w:color w:val="000000"/>
                <w:highlight w:val="none"/>
              </w:rPr>
              <w:t xml:space="preserve">07 </w:t>
            </w:r>
            <w:r>
              <w:rPr>
                <w:color w:val="000000"/>
                <w:highlight w:val="none"/>
              </w:rPr>
              <w:t xml:space="preserve">tại </w:t>
            </w:r>
            <w:r>
              <w:rPr>
                <w:color w:val="000000"/>
                <w:highlight w:val="none"/>
              </w:rPr>
              <w:t xml:space="preserve">Giấy </w:t>
            </w:r>
            <w:r>
              <w:rPr>
                <w:color w:val="000000"/>
                <w:highlight w:val="none"/>
              </w:rPr>
              <w:t xml:space="preserve">chứn</w:t>
            </w:r>
            <w:r>
              <w:rPr>
                <w:color w:val="000000"/>
                <w:highlight w:val="none"/>
              </w:rPr>
              <w:t xml:space="preserve">g </w:t>
            </w:r>
            <w:r>
              <w:rPr>
                <w:color w:val="000000"/>
                <w:highlight w:val="none"/>
              </w:rPr>
              <w:t xml:space="preserve">nhận </w:t>
            </w:r>
            <w:r>
              <w:rPr>
                <w:color w:val="000000"/>
                <w:highlight w:val="none"/>
              </w:rPr>
              <w:t xml:space="preserve">quyển </w:t>
            </w:r>
            <w:r>
              <w:rPr>
                <w:color w:val="000000"/>
                <w:highlight w:val="none"/>
              </w:rPr>
              <w:t xml:space="preserve">sử </w:t>
            </w:r>
            <w:r>
              <w:rPr>
                <w:color w:val="000000"/>
                <w:highlight w:val="none"/>
              </w:rPr>
              <w:t xml:space="preserve">dụng </w:t>
            </w:r>
            <w:r>
              <w:rPr>
                <w:color w:val="000000"/>
                <w:highlight w:val="none"/>
              </w:rPr>
              <w:t xml:space="preserve">đất, </w:t>
            </w:r>
            <w:r>
              <w:rPr>
                <w:color w:val="000000"/>
                <w:highlight w:val="none"/>
              </w:rPr>
              <w:t xml:space="preserve">quyền </w:t>
            </w:r>
            <w:r>
              <w:rPr>
                <w:color w:val="000000"/>
                <w:highlight w:val="none"/>
              </w:rPr>
              <w:t xml:space="preserve">s</w:t>
            </w:r>
            <w:r>
              <w:rPr>
                <w:color w:val="000000"/>
                <w:highlight w:val="none"/>
              </w:rPr>
              <w:t xml:space="preserve">ở </w:t>
            </w:r>
            <w:r>
              <w:rPr>
                <w:color w:val="000000"/>
                <w:highlight w:val="none"/>
              </w:rPr>
              <w:t xml:space="preserve">hữu </w:t>
            </w:r>
            <w:r>
              <w:rPr>
                <w:color w:val="000000"/>
                <w:highlight w:val="none"/>
              </w:rPr>
              <w:t xml:space="preserve">nhà </w:t>
            </w:r>
            <w:r>
              <w:rPr>
                <w:color w:val="000000"/>
                <w:highlight w:val="none"/>
              </w:rPr>
              <w:t xml:space="preserve">ở </w:t>
            </w:r>
            <w:r>
              <w:rPr>
                <w:color w:val="000000"/>
                <w:highlight w:val="none"/>
              </w:rPr>
              <w:t xml:space="preserve">và </w:t>
            </w:r>
            <w:r>
              <w:rPr>
                <w:color w:val="000000"/>
                <w:highlight w:val="none"/>
              </w:rPr>
              <w:t xml:space="preserve">tài </w:t>
            </w:r>
            <w:r>
              <w:rPr>
                <w:color w:val="000000"/>
                <w:highlight w:val="none"/>
              </w:rPr>
              <w:t xml:space="preserve">sản </w:t>
            </w:r>
            <w:r>
              <w:rPr>
                <w:color w:val="000000"/>
                <w:highlight w:val="none"/>
              </w:rPr>
              <w:t xml:space="preserve">khác </w:t>
            </w:r>
            <w:r>
              <w:rPr>
                <w:color w:val="000000"/>
                <w:highlight w:val="none"/>
              </w:rPr>
              <w:t xml:space="preserve">găn </w:t>
            </w:r>
            <w:r>
              <w:rPr>
                <w:color w:val="000000"/>
                <w:highlight w:val="none"/>
              </w:rPr>
              <w:t xml:space="preserve">liền </w:t>
            </w:r>
            <w:r>
              <w:rPr>
                <w:color w:val="000000"/>
                <w:highlight w:val="none"/>
              </w:rPr>
              <w:t xml:space="preserve">với </w:t>
            </w:r>
            <w:r>
              <w:rPr>
                <w:color w:val="000000"/>
                <w:highlight w:val="none"/>
              </w:rPr>
              <w:t xml:space="preserve">đất </w:t>
            </w:r>
            <w:r>
              <w:rPr>
                <w:color w:val="000000"/>
                <w:highlight w:val="none"/>
              </w:rPr>
              <w:t xml:space="preserve">số </w:t>
            </w:r>
            <w:r>
              <w:rPr>
                <w:color w:val="000000"/>
                <w:highlight w:val="none"/>
              </w:rPr>
              <w:t xml:space="preserve">DO </w:t>
            </w:r>
            <w:r>
              <w:rPr>
                <w:color w:val="000000"/>
                <w:highlight w:val="none"/>
              </w:rPr>
              <w:t xml:space="preserve">698487 </w:t>
            </w:r>
            <w:r>
              <w:rPr>
                <w:color w:val="000000"/>
                <w:highlight w:val="none"/>
              </w:rPr>
              <w:t xml:space="preserve">do </w:t>
            </w:r>
            <w:r>
              <w:rPr>
                <w:color w:val="000000"/>
                <w:highlight w:val="none"/>
              </w:rPr>
              <w:t xml:space="preserve">UBND </w:t>
            </w:r>
            <w:r>
              <w:rPr>
                <w:color w:val="000000"/>
                <w:highlight w:val="none"/>
              </w:rPr>
              <w:t xml:space="preserve">huyện </w:t>
            </w:r>
            <w:r>
              <w:rPr>
                <w:color w:val="000000"/>
                <w:highlight w:val="none"/>
              </w:rPr>
              <w:t xml:space="preserve">Mê </w:t>
            </w:r>
            <w:r>
              <w:rPr>
                <w:color w:val="000000"/>
                <w:highlight w:val="none"/>
              </w:rPr>
              <w:t xml:space="preserve">Linh </w:t>
            </w:r>
            <w:r>
              <w:rPr>
                <w:color w:val="000000"/>
                <w:highlight w:val="none"/>
              </w:rPr>
              <w:t xml:space="preserve">cấp </w:t>
            </w:r>
            <w:r>
              <w:rPr>
                <w:color w:val="000000"/>
                <w:highlight w:val="none"/>
              </w:rPr>
              <w:t xml:space="preserve">ngày </w:t>
            </w:r>
            <w:r>
              <w:rPr>
                <w:color w:val="000000"/>
                <w:highlight w:val="none"/>
              </w:rPr>
              <w:t xml:space="preserve">26/</w:t>
            </w:r>
            <w:r>
              <w:rPr>
                <w:color w:val="000000"/>
                <w:highlight w:val="none"/>
              </w:rPr>
              <w:t xml:space="preserve">0</w:t>
            </w:r>
            <w:r>
              <w:rPr>
                <w:color w:val="000000"/>
                <w:highlight w:val="none"/>
              </w:rPr>
              <w:t xml:space="preserve">2/</w:t>
            </w:r>
            <w:r>
              <w:rPr>
                <w:color w:val="000000"/>
                <w:highlight w:val="none"/>
              </w:rPr>
              <w:t xml:space="preserve">2024</w:t>
            </w:r>
            <w:r>
              <w:rPr>
                <w:color w:val="000000"/>
                <w:highlight w:val="none"/>
              </w:rPr>
            </w:r>
            <w:r>
              <w:rPr>
                <w:color w:val="000000"/>
                <w:highlight w:val="none"/>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B</w:t>
            </w:r>
            <w:r>
              <w:rPr>
                <w:color w:val="000000"/>
              </w:rPr>
              <w:t xml:space="preserve">TXM</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4,4</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tabs>
                <w:tab w:val="left" w:leader="none" w:pos="1235"/>
              </w:tabs>
              <w:spacing/>
              <w:ind/>
              <w:jc w:val="left"/>
              <w:rPr>
                <w:color w:val="000000"/>
              </w:rPr>
            </w:pPr>
            <w:r>
              <w:rPr>
                <w:color w:val="000000" w:themeColor="text1"/>
              </w:rPr>
            </w:r>
            <w:r>
              <w:rPr>
                <w:color w:val="000000"/>
              </w:rPr>
              <w:t xml:space="preserve">Tiếp </w:t>
            </w:r>
            <w:r>
              <w:rPr>
                <w:color w:val="000000"/>
              </w:rPr>
              <w:t xml:space="preserve">giáp </w:t>
            </w:r>
            <w:r>
              <w:rPr>
                <w:color w:val="000000"/>
              </w:rPr>
              <w:t xml:space="preserve">mặt </w:t>
            </w:r>
            <w:r>
              <w:rPr>
                <w:color w:val="000000"/>
              </w:rPr>
              <w:t xml:space="preserve">đường </w:t>
            </w:r>
            <w:r>
              <w:rPr>
                <w:color w:val="000000"/>
              </w:rPr>
              <w:t xml:space="preserve">liên </w:t>
            </w:r>
            <w:r>
              <w:rPr>
                <w:color w:val="000000"/>
              </w:rPr>
              <w:t xml:space="preserve">thôn, </w:t>
            </w:r>
            <w:r>
              <w:rPr>
                <w:color w:val="000000"/>
              </w:rPr>
              <w:t xml:space="preserve">cách </w:t>
            </w:r>
            <w:r>
              <w:rPr>
                <w:color w:val="000000"/>
              </w:rPr>
              <w:t xml:space="preserve">3</w:t>
            </w:r>
            <w:r>
              <w:rPr>
                <w:color w:val="000000"/>
              </w:rPr>
              <w:t xml:space="preserve">00m </w:t>
            </w:r>
            <w:r>
              <w:rPr>
                <w:color w:val="000000"/>
              </w:rPr>
              <w:t xml:space="preserve">ra </w:t>
            </w:r>
            <w:r>
              <w:rPr>
                <w:color w:val="000000"/>
              </w:rPr>
              <w:t xml:space="preserve">đường </w:t>
            </w:r>
            <w:r>
              <w:rPr>
                <w:color w:val="000000"/>
              </w:rPr>
              <w:t xml:space="preserve">QL23 </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D4FCA9C" w14:textId="0B548AE7">
            <w:pPr>
              <w:pStyle w:val="1035"/>
              <w:numPr>
                <w:ilvl w:val="0"/>
                <w:numId w:val="40"/>
              </w:numPr>
              <w:pBdr/>
              <w:spacing/>
              <w:ind w:right="0" w:hanging="283" w:left="28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w:t>
            </w:r>
            <w:r>
              <w:rPr>
                <w:rFonts w:ascii="Times New Roman" w:hAnsi="Times New Roman" w:eastAsia="Times New Roman" w:cs="Times New Roman"/>
                <w:color w:val="000000"/>
                <w:sz w:val="24"/>
              </w:rPr>
              <w:t xml:space="preserve">Tây</w:t>
            </w:r>
            <w:r>
              <w:rPr>
                <w:rFonts w:ascii="Times New Roman" w:hAnsi="Times New Roman" w:eastAsia="Times New Roman" w:cs="Times New Roman"/>
                <w:color w:val="000000"/>
                <w:sz w:val="24"/>
              </w:rPr>
              <w:t xml:space="preserve">: Tiếp giáp với đường </w:t>
            </w:r>
            <w:r>
              <w:rPr>
                <w:rFonts w:ascii="Times New Roman" w:hAnsi="Times New Roman" w:eastAsia="Times New Roman" w:cs="Times New Roman"/>
                <w:color w:val="000000"/>
                <w:sz w:val="24"/>
              </w:rPr>
              <w:t xml:space="preserve">liên </w:t>
            </w:r>
            <w:r>
              <w:rPr>
                <w:rFonts w:ascii="Times New Roman" w:hAnsi="Times New Roman" w:eastAsia="Times New Roman" w:cs="Times New Roman"/>
                <w:color w:val="000000"/>
                <w:sz w:val="24"/>
              </w:rPr>
              <w:t xml:space="preserve">thôn</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45EDD79B">
            <w:pPr>
              <w:pStyle w:val="1035"/>
              <w:numPr>
                <w:ilvl w:val="0"/>
                <w:numId w:val="40"/>
              </w:numPr>
              <w:pBdr/>
              <w:spacing/>
              <w:ind w:right="0" w:hanging="283" w:left="283"/>
              <w:rPr>
                <w:color w:val="000000" w:themeColor="text1"/>
              </w:rPr>
            </w:pPr>
            <w:r>
              <w:rPr>
                <w:rFonts w:ascii="Times New Roman" w:hAnsi="Times New Roman" w:eastAsia="Times New Roman" w:cs="Times New Roman"/>
                <w:color w:val="000000"/>
                <w:sz w:val="24"/>
              </w:rPr>
              <w:t xml:space="preserve">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21.160482</w:t>
            </w:r>
            <w:r>
              <w:rPr>
                <w:color w:val="000000"/>
              </w:rPr>
              <w:t xml:space="preserve">, </w:t>
            </w:r>
            <w:r>
              <w:rPr>
                <w:color w:val="000000"/>
              </w:rPr>
              <w:t xml:space="preserve">105.767601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mc:AlternateContent>
                <mc:Choice Requires="wpg">
                  <w:drawing>
                    <wp:inline xmlns:wp="http://schemas.openxmlformats.org/drawingml/2006/wordprocessingDrawing" distT="0" distB="0" distL="0" distR="0">
                      <wp:extent cx="5466418" cy="299972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48340" name=""/>
                              <pic:cNvPicPr>
                                <a:picLocks noChangeAspect="1"/>
                              </pic:cNvPicPr>
                              <pic:nvPr/>
                            </pic:nvPicPr>
                            <pic:blipFill rotWithShape="1">
                              <a:blip r:embed="rId15"/>
                              <a:stretch/>
                            </pic:blipFill>
                            <pic:spPr bwMode="auto">
                              <a:xfrm flipH="0" flipV="0">
                                <a:off x="0" y="0"/>
                                <a:ext cx="5466418" cy="29997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0.43pt;height:236.2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76,4</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3,31</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23,08</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3508CC46">
            <w:pPr>
              <w:pStyle w:val="1035"/>
              <w:numPr>
                <w:ilvl w:val="0"/>
                <w:numId w:val="41"/>
              </w:numPr>
              <w:pBdr>
                <w:top w:val="none" w:color="000000" w:sz="4" w:space="0"/>
                <w:left w:val="none" w:color="000000" w:sz="4" w:space="0"/>
                <w:bottom w:val="none" w:color="000000" w:sz="4" w:space="0"/>
                <w:right w:val="none" w:color="000000" w:sz="4" w:space="0"/>
              </w:pBdr>
              <w:shd w:val="clear" w:color="ffffff" w:fill="ffffff"/>
              <w:spacing/>
              <w:ind w:right="0" w:hanging="283" w:left="28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Tại thời điểm khảo sát, CTXD gắn liền với đất là Nhà 2 tầng + 1 lửng, kết cấu BTCT, tường xây gạch, mái BTCT, diện tích sàn: 156,4m2;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3547C73A">
            <w:pPr>
              <w:pStyle w:val="1035"/>
              <w:numPr>
                <w:ilvl w:val="0"/>
                <w:numId w:val="41"/>
              </w:numPr>
              <w:pBdr>
                <w:top w:val="none" w:color="000000" w:sz="4" w:space="0"/>
                <w:left w:val="none" w:color="000000" w:sz="4" w:space="0"/>
                <w:bottom w:val="none" w:color="000000" w:sz="4" w:space="0"/>
                <w:right w:val="none" w:color="000000" w:sz="4" w:space="0"/>
              </w:pBdr>
              <w:shd w:val="clear" w:color="ffffff" w:fill="ffffff"/>
              <w:spacing/>
              <w:ind w:right="0" w:hanging="283" w:left="283"/>
              <w:rPr>
                <w:rFonts w:ascii="Times New Roman" w:hAnsi="Times New Roman" w:eastAsia="Times New Roman" w:cs="Times New Roman"/>
                <w:b w:val="0"/>
                <w:bCs w:val="0"/>
                <w:color w:val="000000"/>
                <w:sz w:val="24"/>
                <w:szCs w:val="24"/>
                <w:highlight w:val="none"/>
              </w:rPr>
            </w:pP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w:t>
            </w:r>
            <w:r>
              <w:rPr>
                <w:rFonts w:ascii="Times New Roman" w:hAnsi="Times New Roman" w:eastAsia="Times New Roman" w:cs="Times New Roman"/>
                <w:b w:val="0"/>
                <w:bCs w:val="0"/>
                <w:color w:val="000000"/>
                <w:sz w:val="24"/>
              </w:rPr>
              <w:t xml:space="preserve"> DO</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color w:val="000000"/>
                <w:sz w:val="24"/>
              </w:rPr>
              <w:t xml:space="preserve">680913</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color w:val="000000"/>
                <w:sz w:val="24"/>
                <w:szCs w:val="24"/>
                <w:highlight w:val="none"/>
              </w:rPr>
            </w:r>
          </w:p>
          <w:p w14:paraId="681B86BC">
            <w:pPr>
              <w:pStyle w:val="1035"/>
              <w:numPr>
                <w:ilvl w:val="0"/>
                <w:numId w:val="41"/>
              </w:numPr>
              <w:pBdr>
                <w:top w:val="none" w:color="000000" w:sz="4" w:space="0"/>
                <w:left w:val="none" w:color="000000" w:sz="4" w:space="0"/>
                <w:bottom w:val="none" w:color="000000" w:sz="4" w:space="0"/>
                <w:right w:val="none" w:color="000000" w:sz="4" w:space="0"/>
              </w:pBdr>
              <w:shd w:val="clear" w:color="ffffff" w:fill="ffffff"/>
              <w:spacing/>
              <w:ind w:right="0" w:hanging="283" w:left="283"/>
              <w:rPr>
                <w:rFonts w:ascii="Times New Roman" w:hAnsi="Times New Roman" w:eastAsia="Times New Roman" w:cs="Times New Roman"/>
                <w:b w:val="0"/>
                <w:bCs w:val="0"/>
                <w:color w:val="000000"/>
                <w:sz w:val="24"/>
                <w:szCs w:val="24"/>
                <w:highlight w:val="none"/>
              </w:rPr>
            </w:pPr>
            <w:r>
              <w:rPr>
                <w:rFonts w:ascii="Times New Roman" w:hAnsi="Times New Roman" w:eastAsia="Times New Roman" w:cs="Times New Roman"/>
                <w:b w:val="0"/>
                <w:bCs w:val="0"/>
                <w:color w:val="000000"/>
                <w:sz w:val="24"/>
                <w:highlight w:val="none"/>
              </w:rPr>
            </w: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color w:val="000000"/>
                <w:sz w:val="24"/>
                <w:szCs w:val="24"/>
                <w:highlight w:val="none"/>
              </w:rPr>
            </w:r>
          </w:p>
        </w:tc>
      </w:tr>
    </w:tbl>
    <w:p w14:paraId="6B96CE86" w14:textId="77777777">
      <w:pPr>
        <w:pBdr/>
        <w:spacing w:line="235" w:lineRule="auto"/>
        <w:ind w:left="0"/>
        <w:jc w:val="both"/>
        <w:rPr>
          <w:u w:val="single"/>
        </w:rPr>
      </w:pPr>
      <w:r>
        <w:rPr>
          <w:u w:val="single"/>
        </w:rPr>
      </w:r>
      <w:r>
        <w:rPr>
          <w:u w:val="single"/>
        </w:rPr>
      </w:r>
      <w:r>
        <w:rPr>
          <w:u w:val="single"/>
        </w:rPr>
      </w:r>
    </w:p>
    <w:p w14:paraId="7CF9D5D4" w14:textId="24DD2DA8">
      <w:pPr>
        <w:pBdr/>
        <w:spacing/>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highlight w:val="none"/>
          <w:shd w:val="clear" w:color="auto" w:fill="ffffff"/>
        </w:rPr>
      </w:r>
      <w:r>
        <w:rPr>
          <w:b/>
          <w:bCs/>
          <w:highlight w:val="none"/>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Thôn Do Thượng, xã Tiền Phong, huyện Mê Linh, Tp Hà Nội ✔</w:t>
            </w:r>
            <w:r/>
          </w:p>
        </w:tc>
        <w:tc>
          <w:tcPr>
            <w:tcBorders/>
            <w:tcW w:w="1605" w:type="dxa"/>
            <w:vAlign w:val="center"/>
            <w:textDirection w:val="lrTb"/>
            <w:noWrap w:val="false"/>
          </w:tcPr>
          <w:p w14:paraId="79F97508" w14:textId="77777777">
            <w:pPr>
              <w:pBdr/>
              <w:spacing/>
              <w:ind/>
              <w:jc w:val="center"/>
              <w:rPr/>
            </w:pPr>
            <w:r>
              <w:t xml:space="preserve">Xã Tiền Phong, Huyện Mê Linh, Thành phố Hà Nội</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Tiền Phong, Huyện Mê Linh, Thành phố Hà Nội</w:t>
            </w:r>
            <w:r/>
          </w:p>
        </w:tc>
        <w:tc>
          <w:tcPr>
            <w:tcBorders/>
            <w:tcW w:w="1605" w:type="dxa"/>
            <w:vAlign w:val="center"/>
            <w:textDirection w:val="lrTb"/>
            <w:noWrap w:val="false"/>
          </w:tcPr>
          <w:p w14:paraId="79F97508" w14:textId="77777777">
            <w:pPr>
              <w:pBdr/>
              <w:spacing/>
              <w:ind/>
              <w:jc w:val="center"/>
              <w:rPr/>
            </w:pPr>
            <w:r>
              <w:t xml:space="preserve">Xã Tiền Phong, Huyện Mê Linh,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nông thôn</w:t>
            </w:r>
            <w:r/>
          </w:p>
        </w:tc>
        <w:tc>
          <w:tcPr>
            <w:tcBorders/>
            <w:tcW w:w="1605" w:type="dxa"/>
            <w:vAlign w:val="center"/>
            <w:textDirection w:val="lrTb"/>
            <w:noWrap w:val="false"/>
          </w:tcPr>
          <w:p w14:paraId="79F97508" w14:textId="77777777">
            <w:pPr>
              <w:pBdr/>
              <w:spacing/>
              <w:ind/>
              <w:jc w:val="center"/>
              <w:rPr/>
            </w:pPr>
            <w:r>
              <w:t xml:space="preserve">Đất ở nông thôn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VT3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bê tông</w:t>
            </w:r>
            <w:r/>
          </w:p>
        </w:tc>
        <w:tc>
          <w:tcPr>
            <w:tcBorders/>
            <w:tcW w:w="1605" w:type="dxa"/>
            <w:vAlign w:val="center"/>
            <w:textDirection w:val="lrTb"/>
            <w:noWrap w:val="false"/>
          </w:tcPr>
          <w:p w14:paraId="79F97508" w14:textId="77777777">
            <w:pPr>
              <w:pBdr/>
              <w:spacing/>
              <w:ind/>
              <w:jc w:val="center"/>
              <w:rPr/>
            </w:pPr>
            <w:r>
              <w:t xml:space="preserve">Đường bê tông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5</w:t>
            </w:r>
            <w:r/>
          </w:p>
        </w:tc>
        <w:tc>
          <w:tcPr>
            <w:tcBorders/>
            <w:tcW w:w="1605" w:type="dxa"/>
            <w:vAlign w:val="center"/>
            <w:textDirection w:val="lrTb"/>
            <w:noWrap w:val="false"/>
          </w:tcPr>
          <w:p w14:paraId="79F97508" w14:textId="77777777">
            <w:pPr>
              <w:pBdr/>
              <w:spacing/>
              <w:ind/>
              <w:jc w:val="center"/>
              <w:rPr/>
            </w:pPr>
            <w:r>
              <w:t xml:space="preserve">4.4 ✔</w:t>
            </w:r>
            <w:r/>
          </w:p>
        </w:tc>
        <w:tc>
          <w:tcPr>
            <w:tcBorders/>
            <w:tcW w:w="1371" w:type="dxa"/>
            <w:vAlign w:val="center"/>
            <w:textDirection w:val="lrTb"/>
            <w:noWrap w:val="false"/>
          </w:tcPr>
          <w:p w14:paraId="720BC03F" w14:textId="77777777">
            <w:pPr>
              <w:pBdr/>
              <w:spacing/>
              <w:ind/>
              <w:jc w:val="center"/>
              <w:rPr/>
            </w:pPr>
            <w:r>
              <w:t xml:space="preserve">-0.6</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76.4</w:t>
            </w:r>
            <w:r/>
          </w:p>
        </w:tc>
        <w:tc>
          <w:tcPr>
            <w:tcBorders/>
            <w:tcW w:w="1605" w:type="dxa"/>
            <w:vAlign w:val="center"/>
            <w:textDirection w:val="lrTb"/>
            <w:noWrap w:val="false"/>
          </w:tcPr>
          <w:p w14:paraId="79F97508" w14:textId="77777777">
            <w:pPr>
              <w:pBdr/>
              <w:spacing/>
              <w:ind/>
              <w:jc w:val="center"/>
              <w:rPr/>
            </w:pPr>
            <w:r>
              <w:t xml:space="preserve">76.4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3.31 ✔</w:t>
            </w:r>
            <w:r/>
          </w:p>
        </w:tc>
        <w:tc>
          <w:tcPr>
            <w:tcBorders/>
            <w:tcW w:w="1605" w:type="dxa"/>
            <w:vAlign w:val="center"/>
            <w:textDirection w:val="lrTb"/>
            <w:noWrap w:val="false"/>
          </w:tcPr>
          <w:p w14:paraId="79F97508" w14:textId="77777777">
            <w:pPr>
              <w:pBdr/>
              <w:spacing/>
              <w:ind/>
              <w:jc w:val="center"/>
              <w:rPr/>
            </w:pPr>
            <w:r>
              <w:t xml:space="preserve">0</w:t>
            </w:r>
            <w:r/>
          </w:p>
        </w:tc>
        <w:tc>
          <w:tcPr>
            <w:tcBorders/>
            <w:tcW w:w="1371" w:type="dxa"/>
            <w:vAlign w:val="center"/>
            <w:textDirection w:val="lrTb"/>
            <w:noWrap w:val="false"/>
          </w:tcPr>
          <w:p w14:paraId="720BC03F" w14:textId="77777777">
            <w:pPr>
              <w:pBdr/>
              <w:spacing/>
              <w:ind/>
              <w:jc w:val="center"/>
              <w:rPr/>
            </w:pPr>
            <w:r>
              <w:t xml:space="preserve">-3.3</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23.08 ✔</w:t>
            </w:r>
            <w:r/>
          </w:p>
        </w:tc>
        <w:tc>
          <w:tcPr>
            <w:tcBorders/>
            <w:tcW w:w="1605" w:type="dxa"/>
            <w:vAlign w:val="center"/>
            <w:textDirection w:val="lrTb"/>
            <w:noWrap w:val="false"/>
          </w:tcPr>
          <w:p w14:paraId="79F97508" w14:textId="77777777">
            <w:pPr>
              <w:pBdr/>
              <w:spacing/>
              <w:ind/>
              <w:jc w:val="center"/>
              <w:rPr/>
            </w:pPr>
            <w:r>
              <w:t xml:space="preserve">0</w:t>
            </w:r>
            <w:r/>
          </w:p>
        </w:tc>
        <w:tc>
          <w:tcPr>
            <w:tcBorders/>
            <w:tcW w:w="1371" w:type="dxa"/>
            <w:vAlign w:val="center"/>
            <w:textDirection w:val="lrTb"/>
            <w:noWrap w:val="false"/>
          </w:tcPr>
          <w:p w14:paraId="720BC03F" w14:textId="77777777">
            <w:pPr>
              <w:pBdr/>
              <w:spacing/>
              <w:ind/>
              <w:jc w:val="center"/>
              <w:rPr/>
            </w:pPr>
            <w:r>
              <w:t xml:space="preserve">-23.1</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chữ nhật</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Tây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Khá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F889380">
      <w:pPr>
        <w:pStyle w:val="1035"/>
        <w:numPr>
          <w:ilvl w:val="0"/>
          <w:numId w:val="3"/>
        </w:numPr>
        <w:pBdr/>
        <w:tabs>
          <w:tab w:val="left" w:leader="none" w:pos="993"/>
        </w:tabs>
        <w:spacing w:after="120" w:before="120" w:line="264" w:lineRule="auto"/>
        <w:ind/>
        <w:jc w:val="both"/>
        <w:rPr>
          <w:spacing w:val="-2"/>
          <w:lang w:val="pt-BR"/>
        </w:rPr>
      </w:pPr>
      <w:r>
        <w:rPr>
          <w:spacing w:val="-2"/>
          <w:lang w:val="pt-BR"/>
        </w:rPr>
      </w:r>
      <w:r>
        <w:rPr>
          <w:rFonts w:ascii="Times New Roman" w:hAnsi="Times New Roman" w:eastAsia="Times New Roman" w:cs="Times New Roman"/>
          <w:color w:val="000000"/>
          <w:sz w:val="24"/>
        </w:rPr>
        <w:t xml:space="preserve">Tại thời điểm khảo sát, CTXD gắn liền với đất là Nhà 2 tầng + 1 lửng, kết cấu BTCT, tường xây gạch, mái BTCT, diện tích sàn: 156,4m2; </w:t>
      </w: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w:t>
      </w:r>
      <w:r>
        <w:rPr>
          <w:rFonts w:ascii="Times New Roman" w:hAnsi="Times New Roman" w:eastAsia="Times New Roman" w:cs="Times New Roman"/>
          <w:b w:val="0"/>
          <w:bCs w:val="0"/>
          <w:color w:val="000000"/>
          <w:sz w:val="24"/>
        </w:rPr>
        <w:t xml:space="preserve"> DO</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color w:val="000000"/>
          <w:sz w:val="24"/>
        </w:rPr>
        <w:t xml:space="preserve">680913. </w:t>
      </w: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14:paraId="110EA7E9" w14:textId="2D24DC9A">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Tiền Phong, Huyện Mê Linh,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Tiền Phong, Huyện Mê Linh,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Tiền Phong, Huyện Mê Linh,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Tiền Phong, Huyện Mê Linh,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https://alonhadat.com.vn/-duong-thong-o-to-tranh-sat-du-an-sienco5-kdt-ha-phong-do-thuong-tien-phong-me-linh-17888152.html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https://www.facebook.com/groups/muabannhadatdonganhmelinhsocson/permalink/2092476678173130/</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0976 731 596</w:t>
            </w:r>
            <w:r>
              <w:rPr>
                <w:sz w:val="22"/>
                <w:szCs w:val="22"/>
              </w:rPr>
              <w:t xml:space="preserve"> </w:t>
            </w:r>
            <w:r>
              <w:rPr>
                <w:sz w:val="22"/>
                <w:szCs w:val="22"/>
              </w:rPr>
              <w:br/>
              <w:t xml:space="preserve">(</w:t>
            </w:r>
            <w:r>
              <w:rPr>
                <w:sz w:val="22"/>
                <w:szCs w:val="22"/>
              </w:rPr>
              <w:t xml:space="preserve">Th</w:t>
            </w:r>
            <w:r>
              <w:rPr>
                <w:sz w:val="22"/>
                <w:szCs w:val="22"/>
              </w:rPr>
              <w:t xml:space="preserve">ù</w:t>
            </w:r>
            <w:r>
              <w:rPr>
                <w:sz w:val="22"/>
                <w:szCs w:val="22"/>
              </w:rPr>
              <w:t xml:space="preserve">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0838.566.565</w:t>
            </w:r>
            <w:r>
              <w:rPr>
                <w:sz w:val="22"/>
                <w:szCs w:val="22"/>
              </w:rPr>
              <w:br/>
            </w:r>
            <w:r>
              <w:rPr>
                <w:sz w:val="22"/>
                <w:szCs w:val="22"/>
              </w:rPr>
              <w:t xml:space="preserve">(</w:t>
            </w:r>
            <w:r>
              <w:rPr>
                <w:sz w:val="22"/>
                <w:szCs w:val="22"/>
              </w:rPr>
              <w:t xml:space="preserve">Tiến Dũng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0931201989</w:t>
            </w:r>
            <w:r>
              <w:rPr>
                <w:sz w:val="22"/>
                <w:szCs w:val="22"/>
              </w:rPr>
              <w:br/>
            </w:r>
            <w:r>
              <w:rPr>
                <w:sz w:val="22"/>
                <w:szCs w:val="22"/>
              </w:rPr>
              <w:t xml:space="preserve">(</w:t>
            </w:r>
            <w:r>
              <w:rPr>
                <w:sz w:val="22"/>
                <w:szCs w:val="22"/>
              </w:rPr>
              <w:t xml:space="preserve">Lan Anh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31858F">
            <w:pPr>
              <w:pBdr/>
              <w:spacing/>
              <w:ind/>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8BFEF7">
            <w:pPr>
              <w:pBdr/>
              <w:spacing/>
              <w:ind/>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quyển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F19FCE">
            <w:pPr>
              <w:pBdr/>
              <w:spacing/>
              <w:ind/>
              <w:jc w:val="center"/>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quyển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83D9AE">
            <w:pPr>
              <w:pBdr/>
              <w:spacing/>
              <w:ind/>
              <w:jc w:val="center"/>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quyển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C4F1F9">
            <w:pPr>
              <w:pBdr/>
              <w:spacing/>
              <w:ind/>
              <w:jc w:val="center"/>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quyển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17D4C5">
            <w:pPr>
              <w:pBdr/>
              <w:spacing/>
              <w:ind/>
              <w:jc w:val="center"/>
              <w:rPr>
                <w:color w:val="000000"/>
                <w:sz w:val="22"/>
                <w:szCs w:val="22"/>
              </w:rPr>
            </w:pPr>
            <w:r>
              <w:rPr>
                <w:color w:val="000000" w:themeColor="text1"/>
                <w:sz w:val="22"/>
                <w:szCs w:val="22"/>
              </w:rPr>
              <w:t xml:space="preserve">Xã Tiền Phong, Huyện Mê Linh, Thành phố Hà Nội. </w:t>
            </w:r>
            <w:r>
              <w:rPr>
                <w:color w:val="000000" w:themeColor="text1"/>
                <w:sz w:val="22"/>
                <w:szCs w:val="22"/>
              </w:rPr>
              <w:t xml:space="preserve">Cách đường QL23 khoảng </w:t>
            </w:r>
            <w:r>
              <w:rPr>
                <w:color w:val="000000" w:themeColor="text1"/>
                <w:sz w:val="22"/>
                <w:szCs w:val="22"/>
              </w:rPr>
              <w:t xml:space="preserve">3</w:t>
            </w:r>
            <w:r>
              <w:rPr>
                <w:color w:val="000000" w:themeColor="text1"/>
                <w:sz w:val="22"/>
                <w:szCs w:val="22"/>
              </w:rPr>
              <w:t xml:space="preserve">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Xã Tiền Phong, Huyện Mê Linh, Thành phố Hà Nội.Cách QL23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Xã Tiền Phong, Huyện Mê Linh, Thành phố Hà Nội. Cách đường QL23 khoảng 700m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Xã Tiền Phong, Huyện Mê Linh, Thành phố Hà Nội. </w:t>
            </w:r>
            <w:r>
              <w:rPr>
                <w:color w:val="000000" w:themeColor="text1"/>
                <w:sz w:val="22"/>
                <w:szCs w:val="22"/>
              </w:rPr>
              <w:t xml:space="preserve">Cách đường QL23 khoảng </w:t>
            </w:r>
            <w:r>
              <w:rPr>
                <w:color w:val="000000" w:themeColor="text1"/>
                <w:sz w:val="22"/>
                <w:szCs w:val="22"/>
              </w:rPr>
              <w:t xml:space="preserve">3</w:t>
            </w:r>
            <w:r>
              <w:rPr>
                <w:color w:val="000000" w:themeColor="text1"/>
                <w:sz w:val="22"/>
                <w:szCs w:val="22"/>
              </w:rPr>
              <w:t xml:space="preserve">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E11AE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E11AE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E11AE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9269FF">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9269FF">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9269FF">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4,19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23,08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13,44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BAD6FBE">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A1132C">
            <w:pPr>
              <w:pBdr/>
              <w:spacing/>
              <w:ind/>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48E141">
            <w:pPr>
              <w:pBdr/>
              <w:spacing/>
              <w:ind/>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44B68C">
            <w:pPr>
              <w:pBdr/>
              <w:spacing/>
              <w:ind/>
              <w:rPr/>
            </w:pPr>
            <w:r>
              <w:rPr>
                <w:color w:val="000000" w:themeColor="text1"/>
                <w:sz w:val="22"/>
                <w:szCs w:val="22"/>
              </w:rPr>
              <w:t xml:space="preserve">View khu dân cư</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210BBB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4.300.000.000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5.260.000.000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3.650.000.000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81DE12C">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3.870.000.000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4.734.000.000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3.285.000.000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3.870.000.000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4.734.000.000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3.285.000.000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64.500.000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63.120.000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58.348.135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48A4C7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141FA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CEA98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B5768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D8996D8">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141FA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CEA98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B5768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3C57FB">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4AD06BA">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F52B3D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419B9C8">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7FD696">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1"/>
        <w:gridCol w:w="1765"/>
        <w:gridCol w:w="1030"/>
        <w:gridCol w:w="1522"/>
        <w:gridCol w:w="1522"/>
        <w:gridCol w:w="1522"/>
        <w:gridCol w:w="1522"/>
      </w:tblGrid>
      <w:tr>
        <w:trPr>
          <w:trHeight w:val="20"/>
          <w:tblHeader/>
        </w:trPr>
        <w:tc>
          <w:tcPr>
            <w:shd w:val="clear" w:color="000000" w:fill="ffffff"/>
            <w:tcBorders/>
            <w:tcW w:w="731"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3.870.000.000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4.734.000.000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3.285.000.000</w:t>
            </w:r>
            <w:r>
              <w:rPr>
                <w:color w:val="000000"/>
                <w:sz w:val="20"/>
                <w:szCs w:val="20"/>
              </w:rPr>
            </w:r>
            <w:r>
              <w:rPr>
                <w:color w:val="000000"/>
                <w:sz w:val="20"/>
                <w:szCs w:val="20"/>
              </w:rPr>
            </w:r>
          </w:p>
        </w:tc>
      </w:tr>
      <w:tr>
        <w:trPr>
          <w:trHeight w:val="20"/>
        </w:trPr>
        <w:tc>
          <w:tcPr>
            <w:shd w:val="clear" w:color="000000" w:fill="ffffff"/>
            <w:tcBorders/>
            <w:tcW w:w="731"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64.500.000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63.120.000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58.348.135</w:t>
            </w:r>
            <w:r>
              <w:rPr>
                <w:color w:val="000000"/>
                <w:sz w:val="22"/>
                <w:szCs w:val="22"/>
              </w:rPr>
            </w:r>
            <w:r>
              <w:rPr>
                <w:color w:val="000000"/>
                <w:sz w:val="22"/>
                <w:szCs w:val="22"/>
              </w:rPr>
            </w:r>
          </w:p>
        </w:tc>
      </w:tr>
      <w:tr>
        <w:trPr>
          <w:trHeight w:val="20"/>
        </w:trPr>
        <w:tc>
          <w:tcPr>
            <w:shd w:val="clear" w:color="000000" w:fill="ffffff"/>
            <w:tcBorders/>
            <w:tcW w:w="731"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A4DDB06">
            <w:pPr>
              <w:pBdr/>
              <w:spacing/>
              <w:ind/>
              <w:jc w:val="center"/>
              <w:rPr>
                <w:color w:val="000000"/>
                <w:sz w:val="22"/>
                <w:szCs w:val="22"/>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quyển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16E53A">
            <w:pPr>
              <w:pBdr/>
              <w:spacing/>
              <w:ind/>
              <w:jc w:val="center"/>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quyển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p>
        </w:tc>
        <w:tc>
          <w:tcPr>
            <w:shd w:val="clear" w:color="000000" w:fill="ffffff"/>
            <w:tcBorders/>
            <w:tcW w:w="1522" w:type="dxa"/>
            <w:vAlign w:val="center"/>
            <w:textDirection w:val="lrTb"/>
            <w:noWrap w:val="false"/>
          </w:tcPr>
          <w:p w14:paraId="515CBEF6">
            <w:pPr>
              <w:pBdr/>
              <w:spacing/>
              <w:ind/>
              <w:jc w:val="center"/>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quyển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p>
        </w:tc>
        <w:tc>
          <w:tcPr>
            <w:shd w:val="clear" w:color="000000" w:fill="ffffff"/>
            <w:tcBorders/>
            <w:tcW w:w="1522" w:type="dxa"/>
            <w:vAlign w:val="center"/>
            <w:textDirection w:val="lrTb"/>
            <w:noWrap w:val="false"/>
          </w:tcPr>
          <w:p w14:paraId="38A1EC60">
            <w:pPr>
              <w:pBdr/>
              <w:spacing/>
              <w:ind/>
              <w:jc w:val="center"/>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quyển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65.933.333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64.522.667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59.644.760</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65.933.333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64.522.667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59.644.760</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F63CF82">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14:paraId="25206D07">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14:paraId="032F969B">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65.933.333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64.522.667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59.644.760</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97FBAF9">
            <w:pPr>
              <w:pBdr/>
              <w:spacing/>
              <w:ind/>
              <w:jc w:val="center"/>
              <w:rPr>
                <w:color w:val="000000"/>
                <w:sz w:val="22"/>
                <w:szCs w:val="22"/>
              </w:rPr>
            </w:pPr>
            <w:r>
              <w:rPr>
                <w:color w:val="000000" w:themeColor="text1"/>
                <w:sz w:val="22"/>
                <w:szCs w:val="22"/>
              </w:rPr>
              <w:t xml:space="preserve">Xã Tiền Phong, Huyện Mê Linh, Thành phố Hà Nội. </w:t>
            </w:r>
            <w:r>
              <w:rPr>
                <w:color w:val="000000" w:themeColor="text1"/>
                <w:sz w:val="22"/>
                <w:szCs w:val="22"/>
              </w:rPr>
              <w:t xml:space="preserve">Cách đường QL23 khoảng </w:t>
            </w:r>
            <w:r>
              <w:rPr>
                <w:color w:val="000000" w:themeColor="text1"/>
                <w:sz w:val="22"/>
                <w:szCs w:val="22"/>
              </w:rPr>
              <w:t xml:space="preserve">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FB69AF">
            <w:pPr>
              <w:pBdr/>
              <w:spacing/>
              <w:ind/>
              <w:jc w:val="center"/>
              <w:rPr>
                <w:color w:val="000000"/>
                <w:sz w:val="22"/>
                <w:szCs w:val="22"/>
              </w:rPr>
            </w:pPr>
            <w:r>
              <w:rPr>
                <w:color w:val="000000" w:themeColor="text1"/>
                <w:sz w:val="22"/>
                <w:szCs w:val="22"/>
              </w:rPr>
              <w:t xml:space="preserve">Xã Tiền Phong, Huyện Mê Linh, Thành phố Hà Nội.Cách QL23 khoảng </w:t>
            </w:r>
            <w:r>
              <w:rPr>
                <w:color w:val="000000" w:themeColor="text1"/>
                <w:sz w:val="22"/>
                <w:szCs w:val="22"/>
              </w:rPr>
              <w:t xml:space="preserve">3</w:t>
            </w:r>
            <w:r>
              <w:rPr>
                <w:color w:val="000000" w:themeColor="text1"/>
                <w:sz w:val="22"/>
                <w:szCs w:val="22"/>
              </w:rPr>
              <w:t xml:space="preserve">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882C53">
            <w:pPr>
              <w:pBdr/>
              <w:spacing/>
              <w:ind/>
              <w:jc w:val="center"/>
              <w:rPr>
                <w:color w:val="000000"/>
                <w:sz w:val="22"/>
                <w:szCs w:val="22"/>
              </w:rPr>
            </w:pPr>
            <w:r>
              <w:rPr>
                <w:color w:val="000000" w:themeColor="text1"/>
                <w:sz w:val="22"/>
                <w:szCs w:val="22"/>
              </w:rPr>
              <w:t xml:space="preserve">Xã Tiền Phong, Huyện Mê Linh, Thành phố Hà Nội. Cách đường QL23 khoảng 700m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F6B60A">
            <w:pPr>
              <w:pBdr/>
              <w:spacing/>
              <w:ind/>
              <w:jc w:val="center"/>
              <w:rPr>
                <w:color w:val="000000"/>
                <w:sz w:val="22"/>
                <w:szCs w:val="22"/>
              </w:rPr>
            </w:pPr>
            <w:r>
              <w:rPr>
                <w:color w:val="000000" w:themeColor="text1"/>
                <w:sz w:val="22"/>
                <w:szCs w:val="22"/>
              </w:rPr>
              <w:t xml:space="preserve">Xã Tiền Phong, Huyện Mê Linh, Thành phố Hà Nội. </w:t>
            </w:r>
            <w:r>
              <w:rPr>
                <w:color w:val="000000" w:themeColor="text1"/>
                <w:sz w:val="22"/>
                <w:szCs w:val="22"/>
              </w:rPr>
              <w:t xml:space="preserve">Cách đường QL23 khoảng </w:t>
            </w:r>
            <w:r>
              <w:rPr>
                <w:color w:val="000000" w:themeColor="text1"/>
                <w:sz w:val="22"/>
                <w:szCs w:val="22"/>
              </w:rPr>
              <w:t xml:space="preserve">4</w:t>
            </w:r>
            <w:r>
              <w:rPr>
                <w:color w:val="000000" w:themeColor="text1"/>
                <w:sz w:val="22"/>
                <w:szCs w:val="22"/>
              </w:rPr>
              <w:t xml:space="preserve">00m</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65.933.333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64.522.667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59.644.760</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-3.787.200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65.933.333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59.332.800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59.644.760</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CA7807">
            <w:pPr>
              <w:pBdr/>
              <w:spacing/>
              <w:ind/>
              <w:jc w:val="center"/>
              <w:rPr>
                <w:color w:val="000000"/>
                <w:sz w:val="22"/>
                <w:szCs w:val="22"/>
              </w:rPr>
            </w:pPr>
            <w:r>
              <w:rPr>
                <w:color w:val="000000" w:themeColor="text1"/>
                <w:sz w:val="22"/>
                <w:szCs w:val="22"/>
              </w:rPr>
              <w:t xml:space="preserve">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892FDA">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8D74B9">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2C734E5">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65.933.333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59.332.800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59.644.760</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BDA4FDB">
            <w:pPr>
              <w:pBdr/>
              <w:spacing/>
              <w:ind/>
              <w:jc w:val="center"/>
              <w:rPr/>
            </w:pPr>
            <w:r>
              <w:rPr>
                <w:color w:val="000000" w:themeColor="text1"/>
                <w:sz w:val="22"/>
                <w:szCs w:val="22"/>
              </w:rPr>
              <w:t xml:space="preserve">Hạ tầng khu dân cư thông thường</w:t>
            </w:r>
            <w:r>
              <w:rPr>
                <w:b/>
                <w:bCs/>
                <w:color w:val="000000"/>
                <w:sz w:val="22"/>
                <w:szCs w:val="22"/>
              </w:rPr>
            </w:r>
            <w:r/>
          </w:p>
        </w:tc>
        <w:tc>
          <w:tcPr>
            <w:shd w:val="clear" w:color="000000" w:fill="ffffff"/>
            <w:tcBorders/>
            <w:tcW w:w="1522" w:type="dxa"/>
            <w:vAlign w:val="center"/>
            <w:textDirection w:val="lrTb"/>
            <w:noWrap w:val="false"/>
          </w:tcPr>
          <w:p w14:paraId="4DDDFB2F">
            <w:pPr>
              <w:pBdr/>
              <w:spacing/>
              <w:ind/>
              <w:jc w:val="center"/>
              <w:rPr/>
            </w:pPr>
            <w:r>
              <w:rPr>
                <w:color w:val="000000" w:themeColor="text1"/>
                <w:sz w:val="22"/>
                <w:szCs w:val="22"/>
              </w:rPr>
              <w:t xml:space="preserve">Hạ tầng khu dân cư thông thường</w:t>
            </w:r>
            <w:r>
              <w:rPr>
                <w:b/>
                <w:bCs/>
                <w:color w:val="000000"/>
                <w:sz w:val="22"/>
                <w:szCs w:val="22"/>
              </w:rPr>
            </w:r>
            <w:r/>
          </w:p>
        </w:tc>
        <w:tc>
          <w:tcPr>
            <w:shd w:val="clear" w:color="000000" w:fill="ffffff"/>
            <w:tcBorders/>
            <w:tcW w:w="1522" w:type="dxa"/>
            <w:vAlign w:val="center"/>
            <w:textDirection w:val="lrTb"/>
            <w:noWrap w:val="false"/>
          </w:tcPr>
          <w:p w14:paraId="00B18453">
            <w:pPr>
              <w:pBdr/>
              <w:spacing/>
              <w:ind/>
              <w:jc w:val="center"/>
              <w:rPr/>
            </w:pPr>
            <w:r>
              <w:rPr>
                <w:color w:val="000000" w:themeColor="text1"/>
                <w:sz w:val="22"/>
                <w:szCs w:val="22"/>
              </w:rPr>
              <w:t xml:space="preserve">Hạ tầng khu dân cư thông thường</w:t>
            </w:r>
            <w:r>
              <w:rPr>
                <w:b/>
                <w:bCs/>
                <w:color w:val="000000"/>
                <w:sz w:val="22"/>
                <w:szCs w:val="22"/>
              </w:rPr>
            </w: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65.933.333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59.332.800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59.644.760</w:t>
            </w:r>
            <w:r>
              <w:rPr>
                <w:color w:val="000000"/>
                <w:sz w:val="22"/>
                <w:szCs w:val="22"/>
              </w:rPr>
            </w:r>
            <w:r>
              <w:rPr>
                <w:color w:val="000000"/>
                <w:sz w:val="22"/>
                <w:szCs w:val="22"/>
              </w:rPr>
            </w:r>
          </w:p>
        </w:tc>
      </w:tr>
      <w:tr>
        <w:trPr>
          <w:trHeight w:val="386"/>
        </w:trPr>
        <w:tc>
          <w:tcPr>
            <w:shd w:val="clear" w:color="000000" w:fill="ffffff"/>
            <w:tcBorders/>
            <w:tcW w:w="731" w:type="dxa"/>
            <w:vAlign w:val="center"/>
            <w:vMerge w:val="restart"/>
            <w:textDirection w:val="lrTb"/>
            <w:noWrap w:val="false"/>
          </w:tcPr>
          <w:p w14:paraId="08C1D51A">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AA74D20">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14:paraId="37C8E43B">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14:paraId="39558B52">
            <w:pPr>
              <w:pBdr/>
              <w:spacing/>
              <w:ind/>
              <w:jc w:val="center"/>
              <w:rPr/>
            </w:pPr>
            <w:r>
              <w:rPr>
                <w:color w:val="000000" w:themeColor="text1"/>
                <w:sz w:val="22"/>
                <w:szCs w:val="22"/>
              </w:rPr>
              <w:t xml:space="preserve">Tốt</w:t>
            </w:r>
            <w:r>
              <w:rPr>
                <w:b/>
                <w:bCs/>
                <w:color w:val="000000"/>
                <w:sz w:val="22"/>
                <w:szCs w:val="22"/>
              </w:rPr>
            </w: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65.933.333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59.332.800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59.644.760</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C4E7F2B">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CB966ED">
            <w:pPr>
              <w:pBdr/>
              <w:spacing/>
              <w:ind/>
              <w:jc w:val="center"/>
              <w:rPr>
                <w:color w:val="000000"/>
                <w:sz w:val="22"/>
                <w:szCs w:val="22"/>
              </w:rPr>
            </w:pPr>
            <w:r>
              <w:rPr>
                <w:color w:val="000000" w:themeColor="text1"/>
                <w:sz w:val="22"/>
                <w:szCs w:val="22"/>
              </w:rPr>
              <w:t xml:space="preserve">76,4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19BD26">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A62620">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E33BD8">
            <w:pPr>
              <w:pBdr/>
              <w:spacing/>
              <w:ind/>
              <w:jc w:val="center"/>
              <w:rPr>
                <w:color w:val="000000"/>
                <w:sz w:val="22"/>
                <w:szCs w:val="22"/>
              </w:rPr>
            </w:pPr>
            <w:r>
              <w:rPr>
                <w:color w:val="000000" w:themeColor="text1"/>
                <w:sz w:val="22"/>
                <w:szCs w:val="22"/>
              </w:rPr>
              <w:t xml:space="preserve">56,3</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-3.870.000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-3.500.888</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60.630.000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59.332.800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54.847.247</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457FAFF7">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4,19</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-1.978.000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-3.226.133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-1.750.444</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58.652.000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56.106.667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53.096.803</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1273BEA9">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23,08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13,44</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-1.935.000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-1.893.600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-1.750.444</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56.717.000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54.213.067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51.346.359</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E28237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56.717.000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54.213.067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51.346.359</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43E3741">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56.717.000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54.213.067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51.346.359</w:t>
            </w:r>
            <w:r>
              <w:rPr>
                <w:color w:val="000000"/>
                <w:sz w:val="22"/>
                <w:szCs w:val="22"/>
              </w:rPr>
            </w:r>
            <w:r>
              <w:rPr>
                <w:color w:val="000000"/>
                <w:sz w:val="22"/>
                <w:szCs w:val="22"/>
              </w:rPr>
            </w:r>
          </w:p>
        </w:tc>
      </w:tr>
      <w:tr>
        <w:trPr>
          <w:trHeight w:val="20"/>
        </w:trPr>
        <w:tc>
          <w:tcPr>
            <w:shd w:val="clear" w:color="000000" w:fill="ffffff"/>
            <w:tcBorders/>
            <w:tcW w:w="731"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56.717.000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54.213.067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51.346.359</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54.092.142</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4,85%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-5,08%</w:t>
            </w:r>
            <w:r>
              <w:rPr>
                <w:color w:val="000000"/>
                <w:sz w:val="22"/>
                <w:szCs w:val="22"/>
              </w:rPr>
            </w:r>
            <w:r>
              <w:rPr>
                <w:color w:val="000000"/>
                <w:sz w:val="22"/>
                <w:szCs w:val="22"/>
              </w:rPr>
            </w:r>
          </w:p>
        </w:tc>
      </w:tr>
      <w:tr>
        <w:trPr>
          <w:trHeight w:val="20"/>
        </w:trPr>
        <w:tc>
          <w:tcPr>
            <w:shd w:val="clear" w:color="000000" w:fill="ffffff"/>
            <w:tcBorders/>
            <w:tcW w:w="731"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7.783.000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8.906.933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7.001.776</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731"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- 6%%</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- 6%%</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- 6%%</w:t>
            </w:r>
            <w:r>
              <w:rPr>
                <w:sz w:val="22"/>
                <w:szCs w:val="22"/>
              </w:rPr>
            </w:r>
            <w:r>
              <w:rPr>
                <w:sz w:val="22"/>
                <w:szCs w:val="22"/>
              </w:rPr>
            </w:r>
          </w:p>
        </w:tc>
      </w:tr>
      <w:tr>
        <w:trPr>
          <w:trHeight w:val="20"/>
        </w:trPr>
        <w:tc>
          <w:tcPr>
            <w:shd w:val="clear" w:color="000000" w:fill="ffffff"/>
            <w:tcBorders/>
            <w:tcW w:w="731"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7.783.000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8.906.933</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7.001.776</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-5,08</w:t>
      </w:r>
      <w:r>
        <w:t xml:space="preserve">% đến</w:t>
      </w:r>
      <w:r>
        <w:t xml:space="preserve"> </w:t>
      </w:r>
      <w:r>
        <w:t xml:space="preserve"> </w:t>
      </w:r>
      <w:r>
        <w:t xml:space="preserve">4,85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56.717.000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18.909.448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54.213.067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18.069.215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51.346.359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17.113.741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54.092.404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54.000.000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54.000.000</w:t>
      </w:r>
      <w:r>
        <w:rPr>
          <w:b/>
          <w:bCs/>
          <w:color w:val="000000" w:themeColor="text1"/>
        </w:rPr>
        <w:t xml:space="preserve"> </w:t>
      </w:r>
      <w:r>
        <w:rPr>
          <w:b/>
          <w:bCs/>
        </w:rPr>
        <w:t xml:space="preserve">đồng/m².</w:t>
      </w:r>
      <w:r>
        <w:rPr>
          <w:b/>
          <w:bCs/>
        </w:rPr>
      </w:r>
      <w:r>
        <w:rPr>
          <w:b/>
          <w:bCs/>
        </w:rPr>
      </w:r>
    </w:p>
    <w:p w14:paraId="4B506B03" w14:textId="49B8E0F8">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03D32BE0">
            <w:pPr>
              <w:pBdr/>
              <w:spacing w:after="60" w:before="60" w:line="276" w:lineRule="auto"/>
              <w:ind/>
              <w:jc w:val="both"/>
              <w:rPr>
                <w:b/>
                <w:bCs/>
                <w:spacing w:val="2"/>
              </w:rPr>
            </w:pPr>
            <w:r>
              <w:rPr>
                <w:b/>
                <w:bCs/>
                <w:color w:val="000000" w:themeColor="text1"/>
                <w:lang w:val="pt-BR"/>
              </w:rPr>
            </w:r>
            <w:r>
              <w:rPr>
                <w:rFonts w:ascii="Times New Roman" w:hAnsi="Times New Roman" w:eastAsia="Times New Roman" w:cs="Times New Roman"/>
                <w:b/>
                <w:bCs/>
                <w:color w:val="000000"/>
                <w:sz w:val="24"/>
              </w:rPr>
              <w:t xml:space="preserve">Quyền sử dụng đất tại thửa đất số: 345, tờ bản đồ số: 26 có địa chỉ: Thôn Do Thượng, xã Tiền Phong, huyện Mê Linh, Tp Hà Nội theo Giấy chứng nhận quyền sử dụng đất, quyền sở hữu nhà ở và tài sản khác gắn liền với đất số: DO 680913, số vào sổ cấp GCN: CN033</w:t>
            </w:r>
            <w:r>
              <w:rPr>
                <w:rFonts w:ascii="Times New Roman" w:hAnsi="Times New Roman" w:eastAsia="Times New Roman" w:cs="Times New Roman"/>
                <w:b/>
                <w:bCs/>
                <w:color w:val="000000"/>
                <w:sz w:val="24"/>
              </w:rPr>
              <w:t xml:space="preserve">84 do Chi nhánh văn phòng đăng kí đất đai Hà Nội huyện Mê Linh cấp ngày 17/04/2024; chủ sử dụng đất là Bà Nguyễn Thị Phúc.</w:t>
            </w:r>
            <w:r>
              <w:rPr>
                <w:b/>
                <w:bCs/>
                <w:spacing w:val="2"/>
              </w:rPr>
            </w:r>
            <w:r>
              <w:rPr>
                <w:b/>
                <w:bCs/>
                <w:spacing w:val="2"/>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76,4</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54.000.000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4.125.600.000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4.125.600.000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4.125.600.000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một trăm hai mươi lăm triệu sáu trăm nghìn </w:t>
            </w:r>
            <w:r>
              <w:rPr>
                <w:b/>
                <w:bCs/>
                <w:i/>
                <w:iCs/>
                <w:color w:val="000000"/>
              </w:rPr>
              <w:t xml:space="preserve">đồng </w:t>
            </w:r>
            <w:r>
              <w:rPr>
                <w:b/>
                <w:bCs/>
                <w:i/>
                <w:iCs/>
                <w:color w:val="000000"/>
              </w:rPr>
              <w:t xml:space="preserve">chẵn</w:t>
            </w:r>
            <w:r>
              <w:rPr>
                <w:b/>
                <w:bCs/>
                <w:i/>
                <w:iCs/>
                <w:color w:val="000000"/>
              </w:rPr>
              <w:t xml:space="preserve">./.)</w:t>
            </w:r>
            <w:r>
              <w:rPr>
                <w:b/>
                <w:bCs/>
                <w:i/>
                <w:iCs/>
                <w:color w:val="000000"/>
              </w:rPr>
            </w:r>
            <w:r>
              <w:rPr>
                <w:b/>
                <w:bCs/>
                <w:i/>
                <w:iCs/>
                <w:color w:val="000000"/>
              </w:rPr>
            </w:r>
          </w:p>
        </w:tc>
      </w:tr>
    </w:tbl>
    <w:p w14:paraId="17CCAD14">
      <w:pPr>
        <w:pStyle w:val="1035"/>
        <w:pBdr/>
        <w:tabs>
          <w:tab w:val="left" w:leader="none" w:pos="993"/>
        </w:tabs>
        <w:spacing w:after="120" w:before="120" w:line="288" w:lineRule="auto"/>
        <w:ind w:left="0"/>
        <w:jc w:val="both"/>
        <w:rPr>
          <w:b/>
          <w:bCs/>
          <w:lang w:val="pt-BR"/>
        </w:rPr>
      </w:pPr>
      <w:r>
        <w:rPr>
          <w:b/>
          <w:bCs/>
          <w:highlight w:val="none"/>
          <w:lang w:val="pt-BR"/>
        </w:rPr>
      </w:r>
      <w:r>
        <w:rPr>
          <w:b/>
          <w:bCs/>
          <w:lang w:val="pt-BR"/>
        </w:rPr>
      </w:r>
      <w:r>
        <w:rPr>
          <w:b/>
          <w:bCs/>
          <w:lang w:val="pt-BR"/>
        </w:rPr>
      </w:r>
    </w:p>
    <w:p w14:paraId="187E2E91" w14:textId="56B58432">
      <w:pPr>
        <w:pStyle w:val="1035"/>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14:paraId="279C742C" w14:textId="6D8F76C7">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14AC6B27">
      <w:pPr>
        <w:pStyle w:val="1035"/>
        <w:numPr>
          <w:ilvl w:val="0"/>
          <w:numId w:val="43"/>
        </w:numPr>
        <w:pBdr/>
        <w:tabs>
          <w:tab w:val="left" w:leader="none" w:pos="993"/>
        </w:tabs>
        <w:spacing w:after="120" w:before="120" w:line="264" w:lineRule="auto"/>
        <w:ind/>
        <w:jc w:val="both"/>
        <w:rPr>
          <w:spacing w:val="-2"/>
          <w:lang w:val="pt-BR"/>
        </w:rPr>
      </w:pPr>
      <w:r>
        <w:rPr>
          <w:spacing w:val="-2"/>
          <w:lang w:val="pt-BR"/>
        </w:rPr>
      </w:r>
      <w:r>
        <w:rPr>
          <w:rFonts w:ascii="Times New Roman" w:hAnsi="Times New Roman" w:eastAsia="Times New Roman" w:cs="Times New Roman"/>
          <w:color w:val="000000"/>
          <w:sz w:val="24"/>
        </w:rPr>
        <w:t xml:space="preserve">Tại thời điểm khảo sát, CTXD gắn liền với đất là Nhà 2 tầng + 1 lửng, kết cấu BTCT, tường xây gạch, mái BTCT, diện tích sàn: 156,4m2; </w:t>
      </w: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w:t>
      </w:r>
      <w:r>
        <w:rPr>
          <w:rFonts w:ascii="Times New Roman" w:hAnsi="Times New Roman" w:eastAsia="Times New Roman" w:cs="Times New Roman"/>
          <w:b w:val="0"/>
          <w:bCs w:val="0"/>
          <w:color w:val="000000"/>
          <w:sz w:val="24"/>
        </w:rPr>
        <w:t xml:space="preserve"> DO</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color w:val="000000"/>
          <w:sz w:val="24"/>
        </w:rPr>
        <w:t xml:space="preserve">680913. </w:t>
      </w: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14:paraId="5F9C87DF" w14:textId="660E13BF">
      <w:pPr>
        <w:pStyle w:val="103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5"/>
        <w:numPr>
          <w:ilvl w:val="0"/>
          <w:numId w:val="5"/>
        </w:numPr>
        <w:pBdr/>
        <w:tabs>
          <w:tab w:val="left" w:leader="none" w:pos="993"/>
        </w:tabs>
        <w:spacing w:after="120" w:before="120" w:line="288" w:lineRule="auto"/>
        <w:ind w:hanging="357" w:left="357"/>
        <w:jc w:val="both"/>
        <w:rPr>
          <w:b/>
          <w:bCs/>
          <w:highlight w:val="none"/>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b/>
          <w:bCs/>
          <w:highlight w:val="none"/>
          <w:lang w:val="pt-BR"/>
        </w:rPr>
      </w:r>
      <w:r>
        <w:rPr>
          <w:b/>
          <w:bCs/>
          <w:highlight w:val="none"/>
          <w:lang w:val="pt-BR"/>
        </w:rPr>
      </w:r>
    </w:p>
    <w:p w14:paraId="18196A03">
      <w:pPr>
        <w:pBdr/>
        <w:shd w:val="nil" w:color="auto"/>
        <w:spacing/>
        <w:ind/>
        <w:rPr>
          <w:lang w:val="pt-BR"/>
        </w:rPr>
      </w:pPr>
      <w:r>
        <w:rPr>
          <w:b/>
          <w:bCs/>
          <w:highlight w:val="none"/>
          <w:lang w:val="pt-BR"/>
        </w:rPr>
        <w:br w:type="page" w:clear="all"/>
      </w:r>
      <w:r>
        <w:rPr>
          <w:lang w:val="pt-BR"/>
        </w:rPr>
      </w:r>
      <w:r>
        <w:rPr>
          <w:lang w:val="pt-BR"/>
        </w:rPr>
      </w:r>
    </w:p>
    <w:p w14:paraId="78773702">
      <w:pPr>
        <w:pBdr/>
        <w:tabs>
          <w:tab w:val="left" w:leader="none" w:pos="993"/>
        </w:tabs>
        <w:spacing w:after="120" w:before="120" w:line="288" w:lineRule="auto"/>
        <w:ind w:firstLine="0" w:left="0"/>
        <w:jc w:val="both"/>
        <w:rPr>
          <w:b/>
          <w:bCs/>
          <w:highlight w:val="none"/>
          <w:lang w:val="pt-BR"/>
        </w:rPr>
      </w:pPr>
      <w:r>
        <w:rPr>
          <w:b/>
          <w:bCs/>
          <w:highlight w:val="none"/>
          <w:lang w:val="pt-BR"/>
        </w:rPr>
      </w: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highlight w:val="none"/>
          <w:lang w:val="pt-BR"/>
        </w:rPr>
      </w:r>
      <w:r>
        <w:rPr>
          <w:b/>
          <w:bCs/>
          <w:highlight w:val="none"/>
          <w:lang w:val="pt-BR"/>
        </w:rPr>
      </w:r>
    </w:p>
    <w:p w14:paraId="149D0CDD" w14:textId="77777777">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275/2025/1853/VFI-CT.61.A</w:t>
      </w:r>
      <w:r>
        <w:rPr>
          <w:color w:val="ff0000"/>
          <w:lang w:val="vi-VN"/>
        </w:rPr>
        <w:t xml:space="preserve"> </w:t>
      </w:r>
      <w:r>
        <w:rPr>
          <w:color w:val="000000" w:themeColor="text1"/>
        </w:rPr>
        <w:t xml:space="preserve">ngày 22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Hồng Ngọc</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275/2025/1853/VFI-BC.61.A</w:t>
      </w:r>
      <w:r>
        <w:rPr>
          <w:i/>
          <w:lang w:val="pt-BR"/>
        </w:rPr>
        <w:t xml:space="preserve"> </w:t>
      </w:r>
      <w:r>
        <w:rPr>
          <w:i/>
          <w:lang w:val="pt-BR"/>
        </w:rPr>
        <w:t xml:space="preserve">ngày </w:t>
      </w:r>
      <w:r>
        <w:rPr>
          <w:i/>
          <w:lang w:val="pt-BR"/>
        </w:rPr>
        <w:t xml:space="preserve">22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Vị </w:t>
            </w:r>
            <w:r>
              <w:rPr>
                <w:b/>
                <w:bCs/>
                <w:i/>
                <w:lang w:val="pt-BR"/>
              </w:rPr>
              <w:t xml:space="preserve">trí </w:t>
            </w:r>
            <w:r>
              <w:rPr>
                <w:b/>
                <w:bCs/>
                <w:i/>
                <w:lang w:val="pt-BR"/>
              </w:rPr>
              <w:t xml:space="preserve">tài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551789" cy="206426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flipH="0" flipV="0">
                                <a:off x="0" y="0"/>
                                <a:ext cx="1551789" cy="20642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2.19pt;height:162.54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59783" cy="214709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16059" name=""/>
                              <pic:cNvPicPr>
                                <a:picLocks noChangeAspect="1"/>
                              </pic:cNvPicPr>
                              <pic:nvPr/>
                            </pic:nvPicPr>
                            <pic:blipFill rotWithShape="1">
                              <a:blip r:embed="rId17"/>
                              <a:stretch/>
                            </pic:blipFill>
                            <pic:spPr bwMode="auto">
                              <a:xfrm flipH="0" flipV="0">
                                <a:off x="0" y="0"/>
                                <a:ext cx="1359783" cy="21470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7.07pt;height:169.06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89334"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2589333"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3.88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1544134092" name="" descr=""/>
                              <pic:cNvPicPr/>
                              <pic:nvPr/>
                            </pic:nvPicPr>
                            <pic:blipFill rotWithShape="1">
                              <a:blip r:embed="rId19"/>
                              <a:stretch/>
                            </pic:blipFill>
                            <pic:spPr bwMode="auto">
                              <a:xfrm flipH="0" flipV="0">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638668" cy="1959240"/>
                      <wp:effectExtent l="0" t="0" r="0" b="0"/>
                      <wp:docPr id="10" name=""/>
                      <wp:cNvGraphicFramePr/>
                      <a:graphic xmlns:a="http://schemas.openxmlformats.org/drawingml/2006/main">
                        <a:graphicData uri="http://schemas.openxmlformats.org/drawingml/2006/picture">
                          <pic:pic xmlns:pic="http://schemas.openxmlformats.org/drawingml/2006/picture">
                            <pic:nvPicPr>
                              <pic:cNvPr id="878625827" name="" descr=""/>
                              <pic:cNvPicPr/>
                              <pic:nvPr/>
                            </pic:nvPicPr>
                            <pic:blipFill rotWithShape="1">
                              <a:blip r:embed="rId20"/>
                              <a:stretch/>
                            </pic:blipFill>
                            <pic:spPr bwMode="auto">
                              <a:xfrm flipH="0" flipV="0">
                                <a:off x="0" y="0"/>
                                <a:ext cx="2638666" cy="19592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7.77pt;height:154.2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022666" cy="24375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420731" name=""/>
                              <pic:cNvPicPr>
                                <a:picLocks noChangeAspect="1"/>
                              </pic:cNvPicPr>
                              <pic:nvPr/>
                            </pic:nvPicPr>
                            <pic:blipFill rotWithShape="1">
                              <a:blip r:embed="rId21"/>
                              <a:stretch/>
                            </pic:blipFill>
                            <pic:spPr bwMode="auto">
                              <a:xfrm flipH="0" flipV="0">
                                <a:off x="0" y="0"/>
                                <a:ext cx="2022666" cy="24375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59.27pt;height:191.93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275/2025/1853/VFI-BC.61.A</w:t>
      </w:r>
      <w:r>
        <w:rPr>
          <w:i/>
          <w:lang w:val="pt-BR"/>
        </w:rPr>
        <w:t xml:space="preserve"> </w:t>
      </w:r>
      <w:r>
        <w:rPr>
          <w:i/>
          <w:lang w:val="pt-BR"/>
        </w:rPr>
        <w:t xml:space="preserve">ngày</w:t>
      </w:r>
      <w:r>
        <w:rPr>
          <w:i/>
          <w:lang w:val="pt-BR"/>
        </w:rPr>
        <w:t xml:space="preserve"> </w:t>
      </w:r>
      <w:r>
        <w:rPr>
          <w:i/>
          <w:lang w:val="pt-BR"/>
        </w:rPr>
        <w:t xml:space="preserve">22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0976 731 596</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4.300.000.000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3.870.000.000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quyền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Xã Tiền Phong, Huyện Mê Linh, Thành phố Hà Nội, khoảng cách ra đường chính Cách QL23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48483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Thích hợp để ở/ 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EE5799">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05891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13B315">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81812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jc w:val="center"/>
              <w:rPr>
                <w:color w:val="000000"/>
                <w:sz w:val="22"/>
                <w:szCs w:val="22"/>
              </w:rPr>
            </w:pP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50777" cy="2116768"/>
                      <wp:effectExtent l="0" t="0" r="0" b="0"/>
                      <wp:docPr id="12" name=""/>
                      <wp:cNvGraphicFramePr/>
                      <a:graphic xmlns:a="http://schemas.openxmlformats.org/drawingml/2006/main">
                        <a:graphicData uri="http://schemas.openxmlformats.org/drawingml/2006/picture">
                          <pic:pic xmlns:pic="http://schemas.openxmlformats.org/drawingml/2006/picture">
                            <pic:nvPicPr>
                              <pic:cNvPr id="864520870" name="" descr=""/>
                              <pic:cNvPicPr/>
                              <pic:nvPr/>
                            </pic:nvPicPr>
                            <pic:blipFill rotWithShape="1">
                              <a:blip r:embed="rId22"/>
                              <a:stretch/>
                            </pic:blipFill>
                            <pic:spPr bwMode="auto">
                              <a:xfrm flipH="0" flipV="0">
                                <a:off x="0" y="0"/>
                                <a:ext cx="2050777" cy="21167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61.48pt;height:166.67pt;mso-wrap-distance-left:0.00pt;mso-wrap-distance-top:0.00pt;mso-wrap-distance-right:0.00pt;mso-wrap-distance-bottom:0.00pt;z-index:1;" stroked="false">
                      <v:imagedata r:id="rId22"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024299" cy="2069098"/>
                      <wp:effectExtent l="0" t="0" r="0" b="0"/>
                      <wp:docPr id="13" name=""/>
                      <wp:cNvGraphicFramePr/>
                      <a:graphic xmlns:a="http://schemas.openxmlformats.org/drawingml/2006/main">
                        <a:graphicData uri="http://schemas.openxmlformats.org/drawingml/2006/picture">
                          <pic:pic xmlns:pic="http://schemas.openxmlformats.org/drawingml/2006/picture">
                            <pic:nvPicPr>
                              <pic:cNvPr id="570449214" name="" descr=""/>
                              <pic:cNvPicPr/>
                              <pic:nvPr/>
                            </pic:nvPicPr>
                            <pic:blipFill rotWithShape="1">
                              <a:blip r:embed="rId23"/>
                              <a:stretch/>
                            </pic:blipFill>
                            <pic:spPr bwMode="auto">
                              <a:xfrm flipH="0" flipV="0">
                                <a:off x="0" y="0"/>
                                <a:ext cx="2024299" cy="20690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59.39pt;height:162.92pt;mso-wrap-distance-left:0.00pt;mso-wrap-distance-top:0.00pt;mso-wrap-distance-right:0.00pt;mso-wrap-distance-bottom:0.00pt;z-index:1;" stroked="false">
                      <v:imagedata r:id="rId23" o:title=""/>
                      <o:lock v:ext="edit" rotation="t"/>
                    </v:shape>
                  </w:pict>
                </mc:Fallback>
              </mc:AlternateContent>
            </w:r>
            <w:r>
              <w:rPr>
                <w:color w:val="000000"/>
                <w:sz w:val="22"/>
                <w:szCs w:val="22"/>
              </w:rPr>
            </w:r>
            <w:r>
              <w:rPr>
                <w:color w:val="000000"/>
                <w:sz w:val="22"/>
                <w:szCs w:val="22"/>
              </w:rPr>
            </w:r>
          </w:p>
        </w:tc>
      </w:tr>
    </w:tbl>
    <w:p w14:paraId="4E8E94C3" w14:textId="3987087A">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Thị Hồng Ngọc</w:t>
            </w:r>
            <w:r/>
          </w:p>
        </w:tc>
      </w:tr>
    </w:tbl>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https://alonhadat.com.vn/-duong-thong-o-to-tranh-sat-du-an-sienco5-kdt-ha-phong-do-thuong-tien-phong-me-linh-17888152.html</w:t>
            </w:r>
            <w:r>
              <w:rPr>
                <w:color w:val="000000" w:themeColor="text1"/>
                <w:sz w:val="22"/>
                <w:szCs w:val="22"/>
              </w:rPr>
              <w:br/>
              <w:t xml:space="preserve">0838.566.565</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5.260.000.000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4.734.000.000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3EBC81">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472"/>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quyền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Xã Tiền Phong, Huyện Mê Linh, Thành phố Hà Nội, khoảng cách ra đường chính Cách đường QL23 khoảng 700m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3075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Thích hợp để ở/ 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9EA8DA6">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57ED3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8CED6AE">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62B35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34693" cy="1697115"/>
                      <wp:effectExtent l="0" t="0" r="0" b="0"/>
                      <wp:docPr id="14" name=""/>
                      <wp:cNvGraphicFramePr/>
                      <a:graphic xmlns:a="http://schemas.openxmlformats.org/drawingml/2006/main">
                        <a:graphicData uri="http://schemas.openxmlformats.org/drawingml/2006/picture">
                          <pic:pic xmlns:pic="http://schemas.openxmlformats.org/drawingml/2006/picture">
                            <pic:nvPicPr>
                              <pic:cNvPr id="2078560142" name="" descr=""/>
                              <pic:cNvPicPr/>
                              <pic:nvPr/>
                            </pic:nvPicPr>
                            <pic:blipFill rotWithShape="1">
                              <a:blip r:embed="rId24"/>
                              <a:stretch/>
                            </pic:blipFill>
                            <pic:spPr bwMode="auto">
                              <a:xfrm flipH="0" flipV="0">
                                <a:off x="0" y="0"/>
                                <a:ext cx="2134692" cy="16971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68.09pt;height:133.63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99927" cy="1697115"/>
                      <wp:effectExtent l="0" t="0" r="0" b="0"/>
                      <wp:docPr id="15" name=""/>
                      <wp:cNvGraphicFramePr/>
                      <a:graphic xmlns:a="http://schemas.openxmlformats.org/drawingml/2006/main">
                        <a:graphicData uri="http://schemas.openxmlformats.org/drawingml/2006/picture">
                          <pic:pic xmlns:pic="http://schemas.openxmlformats.org/drawingml/2006/picture">
                            <pic:nvPicPr>
                              <pic:cNvPr id="1898535304" name="" descr=""/>
                              <pic:cNvPicPr/>
                              <pic:nvPr/>
                            </pic:nvPicPr>
                            <pic:blipFill rotWithShape="1">
                              <a:blip r:embed="rId25"/>
                              <a:stretch/>
                            </pic:blipFill>
                            <pic:spPr bwMode="auto">
                              <a:xfrm flipH="0" flipV="0">
                                <a:off x="0" y="0"/>
                                <a:ext cx="2199926" cy="16971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73.22pt;height:133.63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2A038B4E" w14:textId="77777777">
            <w:pPr>
              <w:pBdr/>
              <w:spacing/>
              <w:ind/>
              <w:jc w:val="left"/>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Lê Thị Hồng Ngọc</w:t>
            </w:r>
            <w:r/>
          </w:p>
          <w:p w14:paraId="2FFCC431" w14:textId="77777777">
            <w:pPr>
              <w:pBdr/>
              <w:spacing/>
              <w:ind/>
              <w:jc w:val="center"/>
              <w:rPr/>
            </w:pPr>
            <w:r/>
            <w:r/>
          </w:p>
        </w:tc>
      </w:tr>
    </w:tbl>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https://www.facebook.com/groups/muabannhadatdonganhmelinhsocson/permalink/2092476678173130/</w:t>
            </w:r>
            <w:r>
              <w:rPr>
                <w:color w:val="000000" w:themeColor="text1"/>
                <w:sz w:val="22"/>
                <w:szCs w:val="22"/>
              </w:rPr>
              <w:br/>
            </w:r>
            <w:r>
              <w:rPr>
                <w:sz w:val="22"/>
                <w:szCs w:val="22"/>
              </w:rPr>
              <w:t xml:space="preserve">SĐT: </w:t>
            </w:r>
            <w:r>
              <w:rPr>
                <w:color w:val="000000" w:themeColor="text1"/>
                <w:sz w:val="22"/>
                <w:szCs w:val="22"/>
              </w:rPr>
              <w:t xml:space="preserve">0931201989</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3.285.000.000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8D8811">
            <w:pPr>
              <w:pBdr/>
              <w:spacing w:line="276" w:lineRule="auto"/>
              <w:ind/>
              <w:jc w:val="center"/>
              <w:rPr>
                <w:sz w:val="22"/>
                <w:szCs w:val="22"/>
              </w:rPr>
            </w:pPr>
            <w:r>
              <w:rPr>
                <w:color w:val="000000" w:themeColor="text1"/>
                <w:sz w:val="22"/>
                <w:szCs w:val="22"/>
              </w:rPr>
              <w:t xml:space="preserve">Có </w:t>
            </w:r>
            <w:r>
              <w:rPr>
                <w:color w:val="000000" w:themeColor="text1"/>
                <w:sz w:val="22"/>
                <w:szCs w:val="22"/>
              </w:rPr>
              <w:t xml:space="preserve">Giấy </w:t>
            </w:r>
            <w:r>
              <w:rPr>
                <w:color w:val="000000" w:themeColor="text1"/>
                <w:sz w:val="22"/>
                <w:szCs w:val="22"/>
              </w:rPr>
              <w:t xml:space="preserve">chứng </w:t>
            </w:r>
            <w:r>
              <w:rPr>
                <w:color w:val="000000" w:themeColor="text1"/>
                <w:sz w:val="22"/>
                <w:szCs w:val="22"/>
              </w:rPr>
              <w:t xml:space="preserve">nhận </w:t>
            </w:r>
            <w:r>
              <w:rPr>
                <w:color w:val="000000" w:themeColor="text1"/>
                <w:sz w:val="22"/>
                <w:szCs w:val="22"/>
              </w:rPr>
              <w:t xml:space="preserve">quyền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Xã Tiền Phong, Huyện Mê Linh, Thành phố Hà Nội, khoảng cách ra đường </w:t>
            </w:r>
            <w:r>
              <w:rPr>
                <w:color w:val="000000" w:themeColor="text1"/>
                <w:sz w:val="22"/>
                <w:szCs w:val="22"/>
              </w:rPr>
              <w:t xml:space="preserve">Q</w:t>
            </w:r>
            <w:r>
              <w:rPr>
                <w:color w:val="000000" w:themeColor="text1"/>
                <w:sz w:val="22"/>
                <w:szCs w:val="22"/>
              </w:rPr>
              <w:t xml:space="preserve">L</w:t>
            </w:r>
            <w:r>
              <w:rPr>
                <w:color w:val="000000" w:themeColor="text1"/>
                <w:sz w:val="22"/>
                <w:szCs w:val="22"/>
              </w:rPr>
              <w:t xml:space="preserve">23 </w:t>
            </w:r>
            <w:r>
              <w:rPr>
                <w:color w:val="000000" w:themeColor="text1"/>
                <w:sz w:val="22"/>
                <w:szCs w:val="22"/>
              </w:rPr>
              <w:t xml:space="preserve">là </w:t>
            </w:r>
            <w:r>
              <w:rPr>
                <w:color w:val="000000" w:themeColor="text1"/>
                <w:sz w:val="22"/>
                <w:szCs w:val="22"/>
              </w:rPr>
              <w:t xml:space="preserve">4</w:t>
            </w:r>
            <w:r>
              <w:rPr>
                <w:color w:val="000000" w:themeColor="text1"/>
                <w:sz w:val="22"/>
                <w:szCs w:val="22"/>
              </w:rPr>
              <w:t xml:space="preserve">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56,3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4,19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A21D4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Thích hợp để ở/ 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4E125C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414A4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2E4C3E2">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A714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p w14:paraId="1872AF4F" w14:textId="77777777">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631965" cy="1656728"/>
                      <wp:effectExtent l="0" t="0" r="0" b="0"/>
                      <wp:docPr id="16" name=""/>
                      <wp:cNvGraphicFramePr/>
                      <a:graphic xmlns:a="http://schemas.openxmlformats.org/drawingml/2006/main">
                        <a:graphicData uri="http://schemas.openxmlformats.org/drawingml/2006/picture">
                          <pic:pic xmlns:pic="http://schemas.openxmlformats.org/drawingml/2006/picture">
                            <pic:nvPicPr>
                              <pic:cNvPr id="425789410" name="" descr=""/>
                              <pic:cNvPicPr/>
                              <pic:nvPr/>
                            </pic:nvPicPr>
                            <pic:blipFill rotWithShape="1">
                              <a:blip r:embed="rId26"/>
                              <a:stretch/>
                            </pic:blipFill>
                            <pic:spPr bwMode="auto">
                              <a:xfrm flipH="0" flipV="0">
                                <a:off x="0" y="0"/>
                                <a:ext cx="1631964" cy="16567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28.50pt;height:130.45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46250" cy="1745628"/>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1746249" cy="17456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37.50pt;height:137.45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89127" cy="204561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1889126" cy="20456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8.75pt;height:161.07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tc>
      </w:tr>
    </w:tbl>
    <w:p w14:paraId="7B602393" w14:textId="66CEBA51">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left"/>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6F29784D">
            <w:pPr>
              <w:pBdr/>
              <w:spacing/>
              <w:ind/>
              <w:jc w:val="center"/>
              <w:rPr/>
            </w:pPr>
            <w:r>
              <w:t xml:space="preserve">Lê Thị Hồng Ngọc</w:t>
            </w:r>
            <w:r>
              <w:rPr>
                <w:b/>
                <w:bCs/>
              </w:rPr>
            </w:r>
            <w:r/>
          </w:p>
        </w:tc>
      </w:tr>
    </w:tbl>
    <w:p w14:paraId="4A4F0535">
      <w:pPr>
        <w:pBdr/>
        <w:spacing w:after="200" w:line="276" w:lineRule="auto"/>
        <w:ind/>
        <w:rPr>
          <w:lang w:val="pt-BR"/>
        </w:rPr>
      </w:pPr>
      <w:r>
        <w:rPr>
          <w:iCs/>
          <w:lang w:val="pt-BR"/>
        </w:rPr>
      </w:r>
      <w:r>
        <w:rPr>
          <w:iCs/>
          <w:lang w:val="pt-BR"/>
        </w:rPr>
      </w:r>
      <w:r>
        <w:rPr>
          <w:lang w:val="pt-BR"/>
        </w:rPr>
      </w:r>
    </w:p>
    <w:p w14:paraId="1EAD3878" w14:textId="77777777">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658" name=""/>
                        <pic:cNvPicPr>
                          <a:picLocks noChangeAspect="1"/>
                        </pic:cNvPicPr>
                        <pic:nvPr/>
                      </pic:nvPicPr>
                      <pic:blipFill rotWithShape="1">
                        <a:blip r:embed="rId2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29" o:title=""/>
                <o:lock v:ext="edit" rotation="t"/>
              </v:shape>
            </w:pict>
          </mc:Fallback>
        </mc:AlternateContent>
      </w:r>
      <w:r>
        <w:rPr>
          <w:iCs/>
          <w:lang w:val="pt-BR"/>
        </w:rPr>
      </w: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EB1B3D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879EFE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09E04F8C"/>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09E04F8C"/>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pn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Hồng Ngọc</cp:lastModifiedBy>
  <cp:revision>274</cp:revision>
  <dcterms:created xsi:type="dcterms:W3CDTF">2025-09-15T09:58:00Z</dcterms:created>
  <dcterms:modified xsi:type="dcterms:W3CDTF">2025-12-24T01:47:19Z</dcterms:modified>
</cp:coreProperties>
</file>