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275/2025/1819/VFI-CT.44.A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Ngô Thị Liên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81b3a"/>
                                <w:spacing w:val="3"/>
                                <w:sz w:val="24"/>
                                <w:szCs w:val="24"/>
                                <w:highlight w:val="white"/>
                              </w:rPr>
                              <w:t xml:space="preserve">Quyền sử dụng đất và tài sản gắn liền với đất tại thửa đất số: 116, tờ bản đồ số: 56, có địa chỉ: Lô 23-B2.10 TĐC phía Đông Xưởng 38 và Xưởng 387, phường Mỹ An, quận Ngũ Hành Sơn (nay là phường Ngũ Hành Sơn), thành phố Đà Nẵng theo Giấy chứng nhận quyền sử</w:t>
                            </w:r>
                            <w:r>
                              <w:rPr>
                                <w:rFonts w:ascii="Times New Roman" w:hAnsi="Times New Roman" w:eastAsia="Times New Roman" w:cs="Times New Roman"/>
                                <w:color w:val="081b3a"/>
                                <w:spacing w:val="3"/>
                                <w:sz w:val="24"/>
                                <w:szCs w:val="24"/>
                                <w:highlight w:val="white"/>
                              </w:rPr>
                              <w:t xml:space="preserve"> dụng đất, quyền sở hữu nhà ở và tài sản khác gắn liền với đất số: CC 842816, Số vào sổ cấp GCN: CTS90107 do Sở tài nguyên và môi trường thành phố Đà Nẵng cấp ngày 03/03/2016; chủ sử dụng đất là Bà Ngô Thị Liên (cập nhật ngày 08/03/2022) và Giấy chứng nhận</w:t>
                            </w:r>
                            <w:r>
                              <w:rPr>
                                <w:rFonts w:ascii="Times New Roman" w:hAnsi="Times New Roman" w:eastAsia="Times New Roman" w:cs="Times New Roman"/>
                                <w:color w:val="081b3a"/>
                                <w:spacing w:val="3"/>
                                <w:sz w:val="24"/>
                                <w:szCs w:val="24"/>
                                <w:highlight w:val="white"/>
                              </w:rPr>
                              <w:t xml:space="preserve"> quyền sử dụng đất, quyền sở hữu nhà ở và tài sản khác gắn liền với đất số: DC 890554, Số vào sổ cấp GCN: CT65912 do Sở tài nguyên và môi trường thành phố Đà Nẵng cấp ngày 25/01/2022; chủ sử dụng công trình xây dựng là Công ty TNHH Một thành viên Đầu tư và</w:t>
                            </w:r>
                            <w:r>
                              <w:rPr>
                                <w:rFonts w:ascii="Times New Roman" w:hAnsi="Times New Roman" w:eastAsia="Times New Roman" w:cs="Times New Roman"/>
                                <w:color w:val="081b3a"/>
                                <w:spacing w:val="3"/>
                                <w:sz w:val="24"/>
                                <w:szCs w:val="24"/>
                                <w:highlight w:val="white"/>
                              </w:rPr>
                              <w:t xml:space="preserve"> Xây dựng 11/3</w:t>
                            </w:r>
                            <w:r>
                              <w:rPr>
                                <w:bCs/>
                                <w:i/>
                                <w:iCs/>
                                <w:sz w:val="24"/>
                                <w:szCs w:val="24"/>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275/2025/1819/VFI-CT.44.A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Ngô Thị Liên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81b3a"/>
                          <w:spacing w:val="3"/>
                          <w:sz w:val="24"/>
                          <w:szCs w:val="24"/>
                          <w:highlight w:val="white"/>
                        </w:rPr>
                        <w:t xml:space="preserve">Quyền sử dụng đất và tài sản gắn liền với đất tại thửa đất số: 116, tờ bản đồ số: 56, có địa chỉ: Lô 23-B2.10 TĐC phía Đông Xưởng 38 và Xưởng 387, phường Mỹ An, quận Ngũ Hành Sơn (nay là phường Ngũ Hành Sơn), thành phố Đà Nẵng theo Giấy chứng nhận quyền sử</w:t>
                      </w:r>
                      <w:r>
                        <w:rPr>
                          <w:rFonts w:ascii="Times New Roman" w:hAnsi="Times New Roman" w:eastAsia="Times New Roman" w:cs="Times New Roman"/>
                          <w:color w:val="081b3a"/>
                          <w:spacing w:val="3"/>
                          <w:sz w:val="24"/>
                          <w:szCs w:val="24"/>
                          <w:highlight w:val="white"/>
                        </w:rPr>
                        <w:t xml:space="preserve"> dụng đất, quyền sở hữu nhà ở và tài sản khác gắn liền với đất số: CC 842816, Số vào sổ cấp GCN: CTS90107 do Sở tài nguyên và môi trường thành phố Đà Nẵng cấp ngày 03/03/2016; chủ sử dụng đất là Bà Ngô Thị Liên (cập nhật ngày 08/03/2022) và Giấy chứng nhận</w:t>
                      </w:r>
                      <w:r>
                        <w:rPr>
                          <w:rFonts w:ascii="Times New Roman" w:hAnsi="Times New Roman" w:eastAsia="Times New Roman" w:cs="Times New Roman"/>
                          <w:color w:val="081b3a"/>
                          <w:spacing w:val="3"/>
                          <w:sz w:val="24"/>
                          <w:szCs w:val="24"/>
                          <w:highlight w:val="white"/>
                        </w:rPr>
                        <w:t xml:space="preserve"> quyền sử dụng đất, quyền sở hữu nhà ở và tài sản khác gắn liền với đất số: DC 890554, Số vào sổ cấp GCN: CT65912 do Sở tài nguyên và môi trường thành phố Đà Nẵng cấp ngày 25/01/2022; chủ sử dụng công trình xây dựng là Công ty TNHH Một thành viên Đầu tư và</w:t>
                      </w:r>
                      <w:r>
                        <w:rPr>
                          <w:rFonts w:ascii="Times New Roman" w:hAnsi="Times New Roman" w:eastAsia="Times New Roman" w:cs="Times New Roman"/>
                          <w:color w:val="081b3a"/>
                          <w:spacing w:val="3"/>
                          <w:sz w:val="24"/>
                          <w:szCs w:val="24"/>
                          <w:highlight w:val="white"/>
                        </w:rPr>
                        <w:t xml:space="preserve"> Xây dựng 11/3</w:t>
                      </w:r>
                      <w:r>
                        <w:rPr>
                          <w:bCs/>
                          <w:i/>
                          <w:iCs/>
                          <w:sz w:val="24"/>
                          <w:szCs w:val="24"/>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25-27</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28-32</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2"/>
              <w:pBdr/>
              <w:spacing w:after="60" w:before="200"/>
              <w:ind/>
              <w:rPr>
                <w:rStyle w:val="1031"/>
                <w:rFonts w:ascii="Times New Roman" w:hAnsi="Times New Roman"/>
                <w:color w:val="auto"/>
                <w:lang w:val="pt-BR"/>
              </w:rPr>
            </w:pPr>
            <w:r>
              <w:rPr>
                <w:rFonts w:ascii="Times New Roman" w:hAnsi="Times New Roman"/>
                <w:color w:val="auto"/>
                <w:lang w:val="pt-BR"/>
              </w:rPr>
            </w:r>
            <w:r>
              <w:rPr>
                <w:rStyle w:val="1031"/>
                <w:rFonts w:ascii="Times New Roman" w:hAnsi="Times New Roman"/>
                <w:color w:val="auto"/>
                <w:lang w:val="pt-BR"/>
              </w:rPr>
            </w:r>
            <w:r>
              <w:rPr>
                <w:rStyle w:val="1031"/>
                <w:rFonts w:ascii="Times New Roman" w:hAnsi="Times New Roman"/>
                <w:color w:val="auto"/>
                <w:lang w:val="pt-BR"/>
              </w:rPr>
            </w:r>
          </w:p>
          <w:p w14:paraId="189019A0" w14:textId="50D2DFCA">
            <w:pPr>
              <w:pStyle w:val="1032"/>
              <w:pBdr/>
              <w:spacing w:after="60" w:before="200"/>
              <w:ind/>
              <w:rPr>
                <w:sz w:val="24"/>
                <w:szCs w:val="24"/>
              </w:rPr>
            </w:pPr>
            <w:r>
              <w:rPr>
                <w:rStyle w:val="1031"/>
                <w:rFonts w:ascii="Times New Roman" w:hAnsi="Times New Roman"/>
                <w:color w:val="auto"/>
                <w:lang w:val="pt-BR"/>
              </w:rPr>
              <w:t xml:space="preserve">Số:</w:t>
            </w:r>
            <w:r>
              <w:rPr>
                <w:rStyle w:val="1031"/>
                <w:rFonts w:ascii="Times New Roman" w:hAnsi="Times New Roman"/>
                <w:color w:val="auto"/>
                <w:lang w:val="pt-BR"/>
              </w:rPr>
              <w:t xml:space="preserve"> </w:t>
            </w:r>
            <w:r>
              <w:rPr>
                <w:rStyle w:val="1031"/>
                <w:rFonts w:ascii="Times New Roman" w:hAnsi="Times New Roman"/>
                <w:color w:val="000000" w:themeColor="text1"/>
                <w:lang w:val="pt-BR"/>
              </w:rPr>
              <w:t xml:space="preserve">275/2025/1819/VFI-CT.44.A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2"/>
              <w:pBdr/>
              <w:spacing w:after="60" w:before="20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6B33CD77" w14:textId="29BAA06D">
            <w:pPr>
              <w:pStyle w:val="1032"/>
              <w:pBdr/>
              <w:spacing w:after="60" w:before="200"/>
              <w:ind w:right="-56"/>
              <w:jc w:val="right"/>
              <w:rPr>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17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2"/>
        <w:pBdr/>
        <w:spacing w:after="120" w:before="200" w:line="288" w:lineRule="auto"/>
        <w:ind/>
        <w:jc w:val="center"/>
        <w:rPr>
          <w:rStyle w:val="1031"/>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Ngô Thị Liên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275/2025/1819/VFI-HĐTĐ.44.A</w:t>
      </w:r>
      <w:r>
        <w:rPr>
          <w:spacing w:val="-4"/>
          <w:lang w:val="vi-VN"/>
        </w:rPr>
        <w:t xml:space="preserve"> ký ngày </w:t>
      </w:r>
      <w:r>
        <w:rPr>
          <w:color w:val="000000" w:themeColor="text1"/>
          <w:spacing w:val="-4"/>
        </w:rPr>
        <w:t xml:space="preserve">10 tháng 12 năm 2025</w:t>
      </w:r>
      <w:r>
        <w:rPr>
          <w:spacing w:val="-4"/>
          <w:lang w:val="vi-VN"/>
        </w:rPr>
        <w:t xml:space="preserve"> </w:t>
      </w:r>
      <w:r>
        <w:rPr>
          <w:spacing w:val="-4"/>
          <w:lang w:val="vi-VN"/>
        </w:rPr>
        <w:t xml:space="preserve">giữa </w:t>
      </w:r>
      <w:r>
        <w:rPr>
          <w:color w:val="000000" w:themeColor="text1"/>
          <w:spacing w:val="-4"/>
        </w:rPr>
        <w:t xml:space="preserve">Bà Ngô Thị Liên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275/2025/1819/VFI-BC.44.A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sz w:val="24"/>
          <w:szCs w:val="24"/>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81b3a"/>
          <w:spacing w:val="3"/>
          <w:sz w:val="24"/>
          <w:szCs w:val="24"/>
          <w:highlight w:val="white"/>
        </w:rPr>
        <w:t xml:space="preserve">Quyền sử dụng đất và tài sản gắn liền với đất tại thửa đất số: 116, tờ bản đồ số: 56, có địa chỉ: Lô 23-B2.10 TĐC phía Đông Xưởng 38 và Xưởng 387, phường Mỹ An, quận Ngũ Hành Sơn (nay là phường Ngũ Hành Sơn), thành phố Đà Nẵng theo Giấy chứng nhận quyền sử</w:t>
      </w:r>
      <w:r>
        <w:rPr>
          <w:rFonts w:ascii="Times New Roman" w:hAnsi="Times New Roman" w:eastAsia="Times New Roman" w:cs="Times New Roman"/>
          <w:color w:val="081b3a"/>
          <w:spacing w:val="3"/>
          <w:sz w:val="24"/>
          <w:szCs w:val="24"/>
          <w:highlight w:val="white"/>
        </w:rPr>
        <w:t xml:space="preserve"> dụng đất, quyền sở hữu nhà ở và tài sản khác gắn liền với đất số: CC 842816, Số vào sổ cấp GCN: CTS90107 do Sở tài nguyên và môi trường thành phố Đà Nẵng cấp ngày 03/03/2016; chủ sử dụng đất là Bà Ngô Thị Liên (cập nhật ngày 08/03/2022) và Giấy chứng nhận</w:t>
      </w:r>
      <w:r>
        <w:rPr>
          <w:rFonts w:ascii="Times New Roman" w:hAnsi="Times New Roman" w:eastAsia="Times New Roman" w:cs="Times New Roman"/>
          <w:color w:val="081b3a"/>
          <w:spacing w:val="3"/>
          <w:sz w:val="24"/>
          <w:szCs w:val="24"/>
          <w:highlight w:val="white"/>
        </w:rPr>
        <w:t xml:space="preserve"> quyền sử dụng đất, quyền sở hữu nhà ở và tài sản khác gắn liền với đất số: DC 890554, Số vào sổ cấp GCN: CT65912 do Sở tài nguyên và môi trường thành phố Đà Nẵng cấp ngày 25/01/2022; chủ sử dụng công trình xây dựng là Công ty TNHH Một thành viên Đầu tư và</w:t>
      </w:r>
      <w:r>
        <w:rPr>
          <w:rFonts w:ascii="Times New Roman" w:hAnsi="Times New Roman" w:eastAsia="Times New Roman" w:cs="Times New Roman"/>
          <w:color w:val="081b3a"/>
          <w:spacing w:val="3"/>
          <w:sz w:val="24"/>
          <w:szCs w:val="24"/>
          <w:highlight w:val="white"/>
        </w:rPr>
        <w:t xml:space="preserve"> Xây dựng 11/3</w:t>
      </w:r>
      <w:r>
        <w:rPr>
          <w:bCs/>
          <w:i/>
          <w:iCs/>
          <w:sz w:val="24"/>
          <w:szCs w:val="24"/>
        </w:rPr>
        <w:t xml:space="preserve">.</w:t>
      </w:r>
      <w:r>
        <w:rPr>
          <w:b/>
          <w:bCs/>
          <w:sz w:val="24"/>
          <w:szCs w:val="24"/>
        </w:rPr>
      </w:r>
      <w:r>
        <w:rPr>
          <w:b/>
          <w:bCs/>
          <w:sz w:val="24"/>
          <w:szCs w:val="24"/>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xử lý nợ theo quy định của ngân hàng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sz w:val="24"/>
                <w:szCs w:val="24"/>
              </w:rPr>
            </w:pPr>
            <w:r>
              <w:rPr>
                <w:color w:val="000000"/>
                <w:sz w:val="24"/>
                <w:szCs w:val="24"/>
              </w:rPr>
            </w:r>
            <w:r>
              <w:rPr>
                <w:rFonts w:ascii="Times New Roman" w:hAnsi="Times New Roman" w:eastAsia="Times New Roman" w:cs="Times New Roman"/>
                <w:color w:val="081b3a"/>
                <w:spacing w:val="3"/>
                <w:sz w:val="24"/>
                <w:szCs w:val="24"/>
                <w:highlight w:val="white"/>
              </w:rPr>
              <w:t xml:space="preserve">Quyền sử dụng đất và tài sản gắn liền với đất tại thửa đất số: 116, tờ bản đồ số: 56, có địa chỉ: Lô 23-B2.10 TĐC phía Đông Xưởng 38 và Xưởng 387, phường Mỹ An, quận Ngũ Hành Sơn (nay là phường Ngũ Hành Sơn), thành phố Đà Nẵng theo Giấy chứng nhận quyền sử</w:t>
            </w:r>
            <w:r>
              <w:rPr>
                <w:rFonts w:ascii="Times New Roman" w:hAnsi="Times New Roman" w:eastAsia="Times New Roman" w:cs="Times New Roman"/>
                <w:color w:val="081b3a"/>
                <w:spacing w:val="3"/>
                <w:sz w:val="24"/>
                <w:szCs w:val="24"/>
                <w:highlight w:val="white"/>
              </w:rPr>
              <w:t xml:space="preserve"> dụng đất, quyền sở hữu nhà ở và tài sản khác gắn liền với đất số: CC 842816, Số vào sổ cấp GCN: CTS90107 do Sở tài nguyên và môi trường thành phố Đà Nẵng cấp ngày 03/03/2016; chủ sử dụng đất là Bà Ngô Thị Liên (cập nhật ngày 08/03/2022) và Giấy chứng nhận</w:t>
            </w:r>
            <w:r>
              <w:rPr>
                <w:rFonts w:ascii="Times New Roman" w:hAnsi="Times New Roman" w:eastAsia="Times New Roman" w:cs="Times New Roman"/>
                <w:color w:val="081b3a"/>
                <w:spacing w:val="3"/>
                <w:sz w:val="24"/>
                <w:szCs w:val="24"/>
                <w:highlight w:val="white"/>
              </w:rPr>
              <w:t xml:space="preserve"> quyền sử dụng đất, quyền sở hữu nhà ở và tài sản khác gắn liền với đất số: DC 890554, Số vào sổ cấp GCN: CT65912 do Sở tài nguyên và môi trường thành phố Đà Nẵng cấp ngày 25/01/2022; chủ sử dụng công trình xây dựng là Công ty TNHH Một thành viên Đầu tư và</w:t>
            </w:r>
            <w:r>
              <w:rPr>
                <w:rFonts w:ascii="Times New Roman" w:hAnsi="Times New Roman" w:eastAsia="Times New Roman" w:cs="Times New Roman"/>
                <w:color w:val="081b3a"/>
                <w:spacing w:val="3"/>
                <w:sz w:val="24"/>
                <w:szCs w:val="24"/>
                <w:highlight w:val="white"/>
              </w:rPr>
              <w:t xml:space="preserve"> Xây dựng 11/3</w:t>
            </w:r>
            <w:r>
              <w:rPr>
                <w:bCs/>
                <w:i/>
                <w:iCs/>
                <w:sz w:val="24"/>
                <w:szCs w:val="24"/>
              </w:rPr>
              <w:t xml:space="preserve">.</w:t>
            </w:r>
            <w:r>
              <w:rPr>
                <w:b/>
                <w:bCs/>
                <w:sz w:val="24"/>
                <w:szCs w:val="24"/>
              </w:rPr>
            </w:r>
            <w:r>
              <w:rPr>
                <w:b/>
                <w:bCs/>
                <w:sz w:val="24"/>
                <w:szCs w:val="24"/>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sz w:val="24"/>
                <w:szCs w:val="24"/>
              </w:rPr>
            </w:pPr>
            <w:r>
              <w:rPr>
                <w:b/>
                <w:bCs/>
                <w:sz w:val="24"/>
                <w:szCs w:val="24"/>
              </w:rPr>
              <w:t xml:space="preserve"> </w:t>
            </w:r>
            <w:r>
              <w:rPr>
                <w:b/>
                <w:bCs/>
                <w:sz w:val="24"/>
                <w:szCs w:val="24"/>
              </w:rPr>
            </w:r>
            <w:r>
              <w:rPr>
                <w:b/>
                <w:bCs/>
                <w:sz w:val="24"/>
                <w:szCs w:val="24"/>
              </w:rPr>
            </w:r>
          </w:p>
        </w:tc>
      </w:tr>
      <w:tr>
        <w:trPr>
          <w:trHeight w:val="20"/>
        </w:trPr>
        <w:tc>
          <w:tcPr>
            <w:shd w:val="clear" w:color="000000" w:fill="ffffff"/>
            <w:tcBorders/>
            <w:tcW w:w="952" w:type="dxa"/>
            <w:vAlign w:val="center"/>
            <w:vMerge w:val="restart"/>
            <w:textDirection w:val="lrTb"/>
            <w:noWrap w:val="false"/>
          </w:tcPr>
          <w:p w14:paraId="7073563D">
            <w:pPr>
              <w:pBdr/>
              <w:spacing w:after="40" w:before="40" w:line="288" w:lineRule="auto"/>
              <w:ind/>
              <w:jc w:val="center"/>
              <w:rPr/>
            </w:pPr>
            <w:r>
              <w:rPr>
                <w:b/>
                <w:bCs/>
              </w:rPr>
              <w:t xml:space="preserve">01</w:t>
            </w:r>
            <w:r/>
          </w:p>
        </w:tc>
        <w:tc>
          <w:tcPr>
            <w:shd w:val="clear" w:color="000000" w:fill="ffffff"/>
            <w:tcBorders/>
            <w:tcW w:w="2025" w:type="dxa"/>
            <w:vAlign w:val="center"/>
            <w:vMerge w:val="restart"/>
            <w:textDirection w:val="lrTb"/>
            <w:noWrap w:val="false"/>
          </w:tcPr>
          <w:p w14:paraId="546813BC">
            <w:pPr>
              <w:pBdr/>
              <w:spacing w:after="40" w:before="40" w:line="288" w:lineRule="auto"/>
              <w:ind/>
              <w:rPr/>
            </w:pPr>
            <w:r>
              <w:rPr>
                <w:b/>
                <w:bCs/>
              </w:rPr>
              <w:t xml:space="preserve">Đất ở tại đô thị</w:t>
            </w:r>
            <w:r/>
          </w:p>
        </w:tc>
        <w:tc>
          <w:tcPr>
            <w:tcBorders/>
            <w:tcW w:w="1802" w:type="dxa"/>
            <w:vAlign w:val="center"/>
            <w:vMerge w:val="restart"/>
            <w:textDirection w:val="lrTb"/>
            <w:noWrap/>
          </w:tcPr>
          <w:p w14:paraId="660A0F0B">
            <w:pPr>
              <w:pBdr/>
              <w:spacing w:after="40" w:before="40" w:line="288" w:lineRule="auto"/>
              <w:ind/>
              <w:jc w:val="center"/>
              <w:rPr>
                <w:color w:val="000000"/>
              </w:rPr>
            </w:pPr>
            <w:r>
              <w:rPr>
                <w:color w:val="000000" w:themeColor="text1"/>
              </w:rPr>
              <w:t xml:space="preserve">155,1</w:t>
            </w:r>
            <w:r>
              <w:rPr>
                <w:color w:val="000000"/>
              </w:rPr>
            </w:r>
            <w:r>
              <w:rPr>
                <w:color w:val="000000"/>
              </w:rPr>
            </w:r>
          </w:p>
        </w:tc>
        <w:tc>
          <w:tcPr>
            <w:shd w:val="clear" w:color="000000" w:fill="ffffff"/>
            <w:tcBorders/>
            <w:tcW w:w="2581" w:type="dxa"/>
            <w:vAlign w:val="center"/>
            <w:vMerge w:val="restart"/>
            <w:textDirection w:val="lrTb"/>
            <w:noWrap w:val="false"/>
          </w:tcPr>
          <w:p w14:paraId="238AEAF6">
            <w:pPr>
              <w:pBdr/>
              <w:spacing w:after="40" w:before="40" w:line="288" w:lineRule="auto"/>
              <w:ind/>
              <w:jc w:val="center"/>
              <w:rPr/>
            </w:pPr>
            <w:r>
              <w:rPr>
                <w:color w:val="000000" w:themeColor="text1"/>
              </w:rPr>
              <w:t xml:space="preserve">365.000.000</w:t>
            </w:r>
            <w:r/>
          </w:p>
        </w:tc>
        <w:tc>
          <w:tcPr>
            <w:shd w:val="clear" w:color="000000" w:fill="ffffff"/>
            <w:tcBorders/>
            <w:tcW w:w="2164" w:type="dxa"/>
            <w:vAlign w:val="center"/>
            <w:vMerge w:val="restart"/>
            <w:textDirection w:val="lrTb"/>
            <w:noWrap w:val="false"/>
          </w:tcPr>
          <w:p w14:paraId="2FB6E281">
            <w:pPr>
              <w:pBdr/>
              <w:spacing w:after="40" w:before="40" w:line="288" w:lineRule="auto"/>
              <w:ind/>
              <w:jc w:val="center"/>
              <w:rPr/>
            </w:pPr>
            <w:r>
              <w:rPr>
                <w:color w:val="000000" w:themeColor="text1"/>
              </w:rPr>
              <w:t xml:space="preserve">56.611.500.000</w:t>
            </w: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02</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Công trình xây dựng</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1.526.1</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left"/>
              <w:rPr>
                <w:highlight w:val="yellow"/>
              </w:rPr>
            </w:pPr>
            <w:r>
              <w:rPr>
                <w:highlight w:val="yellow"/>
              </w:rPr>
            </w:r>
            <w:r>
              <w:rPr>
                <w:highlight w:val="yellow"/>
              </w:rP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11.321.390.186</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67.932.890.186</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67.933.000.000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mươi bảy tỷ chín trăm ba mươi ba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14:paraId="47237DFF">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2"/>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2"/>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275/2025/1819/VFI-BC.44.A</w:t>
            </w:r>
            <w:r>
              <w:rPr>
                <w:sz w:val="24"/>
                <w:szCs w:val="24"/>
              </w:rPr>
            </w:r>
            <w:r>
              <w:rPr>
                <w:sz w:val="24"/>
                <w:szCs w:val="24"/>
              </w:rPr>
            </w:r>
          </w:p>
        </w:tc>
        <w:tc>
          <w:tcPr>
            <w:tcBorders/>
            <w:tcW w:w="4781" w:type="dxa"/>
            <w:textDirection w:val="lrTb"/>
            <w:noWrap w:val="false"/>
          </w:tcPr>
          <w:p w14:paraId="4E249833" w14:textId="77777777">
            <w:pPr>
              <w:pStyle w:val="1032"/>
              <w:pBdr/>
              <w:tabs>
                <w:tab w:val="left" w:leader="none" w:pos="5103"/>
              </w:tabs>
              <w:spacing w:before="100" w:line="360" w:lineRule="auto"/>
              <w:ind/>
              <w:jc w:val="right"/>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1C1E2870" w14:textId="207F25D6">
            <w:pPr>
              <w:pStyle w:val="1032"/>
              <w:pBdr/>
              <w:tabs>
                <w:tab w:val="left" w:leader="none" w:pos="5103"/>
              </w:tabs>
              <w:spacing w:before="100" w:line="360" w:lineRule="auto"/>
              <w:ind/>
              <w:jc w:val="right"/>
              <w:rPr>
                <w:i/>
                <w:iCs/>
                <w:sz w:val="24"/>
                <w:szCs w:val="24"/>
              </w:rPr>
            </w:pPr>
            <w:r>
              <w:rPr>
                <w:rStyle w:val="1031"/>
                <w:rFonts w:ascii="Times New Roman" w:hAnsi="Times New Roman"/>
                <w:i/>
                <w:color w:val="auto"/>
              </w:rPr>
              <w:t xml:space="preserve">TP</w:t>
            </w:r>
            <w:r>
              <w:rPr>
                <w:rStyle w:val="1031"/>
                <w:rFonts w:ascii="Times New Roman" w:hAnsi="Times New Roman"/>
                <w:color w:val="auto"/>
              </w:rPr>
              <w:t xml:space="preserve">.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2"/>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275/2025/1819/VFI-CT.44.A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81b3a"/>
                <w:spacing w:val="3"/>
                <w:sz w:val="23"/>
                <w:highlight w:val="white"/>
              </w:rPr>
              <w:t xml:space="preserve">Quyền sử dụng đất và tài sản gắn liền với đất tại thửa đất số: 116, tờ bản đồ số: 56, có địa chỉ: Lô 23-B2.10 TĐC phía Đông Xưởng 38 và Xưởng 387, phường Mỹ An, quận Ngũ Hành Sơn (nay là phường Ngũ Hành Sơn), thành phố Đà Nẵng theo Giấy chứng nhận quyền sử</w:t>
            </w:r>
            <w:r>
              <w:rPr>
                <w:rFonts w:ascii="Times New Roman" w:hAnsi="Times New Roman" w:eastAsia="Times New Roman" w:cs="Times New Roman"/>
                <w:color w:val="081b3a"/>
                <w:spacing w:val="3"/>
                <w:sz w:val="23"/>
                <w:highlight w:val="white"/>
              </w:rPr>
              <w:t xml:space="preserve"> dụng đất, quyền sở hữu nhà ở và tài sản khác gắn liền với đất số: CC 842816, Số vào sổ cấp GCN: CTS90107 do Sở tài nguyên và môi trường thành phố Đà Nẵng cấp ngày 03/03/2016; chủ sử dụng đất là Bà Ngô Thị Liên (cập nhật ngày 08/03/2022) và Giấy chứng nhận</w:t>
            </w:r>
            <w:r>
              <w:rPr>
                <w:rFonts w:ascii="Times New Roman" w:hAnsi="Times New Roman" w:eastAsia="Times New Roman" w:cs="Times New Roman"/>
                <w:color w:val="081b3a"/>
                <w:spacing w:val="3"/>
                <w:sz w:val="23"/>
                <w:highlight w:val="white"/>
              </w:rPr>
              <w:t xml:space="preserve"> quyền sử dụng đất, quyền sở hữu nhà ở và tài sản khác gắn liền với đất số: DC 890554, Số vào sổ cấp GCN: CT65912 do Sở tài nguyên và môi trường thành phố Đà Nẵng cấp ngày 25/01/2022; chủ sử dụng công trình xây dựng là Công ty TNHH Một thành viên Đầu tư và</w:t>
            </w:r>
            <w:r>
              <w:rPr>
                <w:rFonts w:ascii="Times New Roman" w:hAnsi="Times New Roman" w:eastAsia="Times New Roman" w:cs="Times New Roman"/>
                <w:color w:val="081b3a"/>
                <w:spacing w:val="3"/>
                <w:sz w:val="23"/>
                <w:highlight w:val="white"/>
              </w:rPr>
              <w:t xml:space="preserve"> Xây dựng 11/3</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xử lý nợ theo quy định của ngân hàng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16.0529484, 108.2465115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Cs/>
          <w:color w:val="000000" w:themeColor="text1"/>
          <w:lang w:val="pt-BR"/>
        </w:rPr>
      </w:pPr>
      <w:r>
        <w:rPr>
          <w:bCs/>
          <w:color w:val="000000" w:themeColor="text1"/>
          <w:lang w:val="pt-BR"/>
        </w:rPr>
      </w:r>
      <w:r>
        <w:rPr>
          <w:color w:val="000000"/>
        </w:rPr>
        <w:t xml:space="preserve">Giấy chứng nhận quyền sử dụng đất, quyền sở hữu nhà ở và tài sản khác gắn liền vớ</w:t>
      </w:r>
      <w:r>
        <w:rPr>
          <w:color w:val="000000"/>
        </w:rPr>
        <w:t xml:space="preserve">i đất  số: CC 842816, Số vào sổ cấp GCN: CTS90107 do Sở tài nguyên và môi trường thành phố Đà Nẵng cấp ngày 03/03/2016; chủ sử dụng đất là Bà Ngô Thị Liên (cập nhật ngày 08/03/2022)</w:t>
      </w:r>
      <w:r>
        <w:rPr>
          <w:color w:val="000000"/>
        </w:rPr>
        <w:t xml:space="preserve">;</w:t>
      </w:r>
      <w:r>
        <w:rPr>
          <w:iCs/>
          <w:color w:val="000000" w:themeColor="text1"/>
          <w:lang w:val="pt-BR"/>
        </w:rPr>
      </w:r>
      <w:r>
        <w:rPr>
          <w:iCs/>
          <w:color w:val="000000" w:themeColor="text1"/>
          <w:lang w:val="pt-BR"/>
        </w:rPr>
      </w:r>
    </w:p>
    <w:p w14:paraId="01C681FF">
      <w:pPr>
        <w:pStyle w:val="1033"/>
        <w:numPr>
          <w:ilvl w:val="0"/>
          <w:numId w:val="2"/>
        </w:numPr>
        <w:pBdr/>
        <w:tabs>
          <w:tab w:val="left" w:leader="none" w:pos="993"/>
        </w:tabs>
        <w:spacing w:after="120" w:before="120" w:line="276" w:lineRule="auto"/>
        <w:ind/>
        <w:jc w:val="both"/>
        <w:rPr>
          <w:bCs/>
          <w:i/>
          <w:lang w:val="pt-BR"/>
        </w:rPr>
      </w:pPr>
      <w:r>
        <w:rPr>
          <w:bCs/>
          <w:color w:val="000000" w:themeColor="text1"/>
          <w:lang w:val="pt-BR"/>
        </w:rPr>
      </w:r>
      <w:r>
        <w:rPr>
          <w:color w:val="000000"/>
        </w:rPr>
        <w:t xml:space="preserve">Giấy chứng nhận quyền sử dụng đất, quyền sở hữu nhà ở và</w:t>
      </w:r>
      <w:r>
        <w:rPr>
          <w:color w:val="000000"/>
        </w:rPr>
        <w:t xml:space="preserve"> tài sản khác gắn liền với đất  số: DC 890554, Số vào sổ cấp GCN: CT65912 do Sở tài nguyên và môi trường thành phố Đà Nẵng cấp ngày 25/01/2022; chủ sử dụng công trình xây dựng là Công ty TNHH Một thành viên Đầu tư và Xây dựng 11/3</w:t>
      </w:r>
      <w:r>
        <w:rPr>
          <w:lang w:val="pt-BR"/>
        </w:rPr>
        <w:t xml:space="preserve">.</w:t>
      </w:r>
      <w:r>
        <w:rPr>
          <w:bCs/>
          <w:i/>
          <w:lang w:val="pt-BR"/>
        </w:rPr>
      </w:r>
      <w:r>
        <w:rPr>
          <w:bCs/>
          <w:i/>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HSTD-20251216-0016/HĐTĐ-VFI ngày 22/12/2025 giữa  với Công ty Cổ phần Thẩm định và Đầu tư Tài chính Hoa Sen.</w:t>
      </w:r>
      <w:r>
        <w:rPr>
          <w:b/>
          <w:lang w:val="pt-BR"/>
        </w:rPr>
      </w:r>
      <w:r>
        <w:rPr>
          <w:b/>
          <w:lang w:val="pt-BR"/>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432AFEA">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highlight w:val="white"/>
        </w:rPr>
      </w:pPr>
      <w:r>
        <w:rPr>
          <w:highlight w:val="white"/>
          <w:lang w:val="pt-BR"/>
        </w:rPr>
        <w:tab/>
      </w:r>
      <w:r>
        <w:rPr>
          <w:rFonts w:ascii="Times New Roman" w:hAnsi="Times New Roman" w:eastAsia="Times New Roman" w:cs="Times New Roman"/>
          <w:color w:val="333333"/>
          <w:sz w:val="24"/>
          <w:highlight w:val="white"/>
        </w:rPr>
        <w:t xml:space="preserve">DKRA Consulting vừa công bố báo cáo thị trường </w:t>
      </w:r>
      <w:hyperlink r:id="rId15" w:tooltip="https://dautubds.baodautu.vn/chuyen%20dong-thi-truong-c31/" w:history="1">
        <w:r>
          <w:rPr>
            <w:rStyle w:val="1023"/>
            <w:rFonts w:ascii="Times New Roman" w:hAnsi="Times New Roman" w:eastAsia="Times New Roman" w:cs="Times New Roman"/>
            <w:color w:val="000000" w:themeColor="text1"/>
            <w:sz w:val="24"/>
            <w:highlight w:val="white"/>
            <w:u w:val="none"/>
          </w:rPr>
          <w:t xml:space="preserve">bất động sản</w:t>
        </w:r>
      </w:hyperlink>
      <w:r>
        <w:rPr>
          <w:rFonts w:ascii="Times New Roman" w:hAnsi="Times New Roman" w:eastAsia="Times New Roman" w:cs="Times New Roman"/>
          <w:color w:val="000000" w:themeColor="text1"/>
          <w:sz w:val="24"/>
          <w:highlight w:val="white"/>
        </w:rPr>
        <w:t xml:space="preserve"> nhà ở Đà Nẵng và vùng phụ cận quý I/2025.</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14:paraId="6FF023A7">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000000" w:themeColor="text1"/>
          <w:sz w:val="24"/>
          <w:highlight w:val="white"/>
        </w:rPr>
        <w:t xml:space="preserve">Theo đó, trong quý I/2025, thị trường bất động sản nhà ở khu vực Đà Nẵng và vùng phụ cận ghi nhận sự cải thiện về nguồn cung ở một số phân khúc so với cùng kỳ năm trước. Sức cầu thị trường chung duy trì đà hồi phục, tập trung ở phân khúc căn hộ và nhà phố/</w:t>
      </w:r>
      <w:r>
        <w:rPr>
          <w:rFonts w:ascii="Times New Roman" w:hAnsi="Times New Roman" w:eastAsia="Times New Roman" w:cs="Times New Roman"/>
          <w:color w:val="000000" w:themeColor="text1"/>
          <w:sz w:val="24"/>
          <w:highlight w:val="white"/>
        </w:rPr>
        <w:t xml:space="preserve">biệ</w:t>
      </w:r>
      <w:r>
        <w:rPr>
          <w:rFonts w:ascii="Times New Roman" w:hAnsi="Times New Roman" w:eastAsia="Times New Roman" w:cs="Times New Roman"/>
          <w:color w:val="333333"/>
          <w:sz w:val="24"/>
          <w:highlight w:val="white"/>
        </w:rPr>
        <w:t xml:space="preserve">t thự.</w:t>
      </w:r>
      <w:r>
        <w:rPr>
          <w:rFonts w:ascii="Times New Roman" w:hAnsi="Times New Roman" w:cs="Times New Roman"/>
          <w:highlight w:val="white"/>
        </w:rPr>
      </w:r>
      <w:r>
        <w:rPr>
          <w:rFonts w:ascii="Times New Roman" w:hAnsi="Times New Roman" w:cs="Times New Roman"/>
          <w:highlight w:val="white"/>
        </w:rPr>
      </w:r>
    </w:p>
    <w:p w14:paraId="606ECF57">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Cụ thể, phân khúc đất nền ghi nhận có 16 dự án sơ cấp được giới thiệu ra thị trường, với nguồn cung khoảng 978 nền, tăng nhẹ 5% so với cùng kỳ năm 2024.</w:t>
      </w:r>
      <w:r>
        <w:rPr>
          <w:rFonts w:ascii="Times New Roman" w:hAnsi="Times New Roman" w:cs="Times New Roman"/>
          <w:highlight w:val="white"/>
        </w:rPr>
      </w:r>
      <w:r>
        <w:rPr>
          <w:rFonts w:ascii="Times New Roman" w:hAnsi="Times New Roman" w:cs="Times New Roman"/>
          <w:highlight w:val="white"/>
        </w:rPr>
      </w:r>
    </w:p>
    <w:p w14:paraId="22B3E45A">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Trong đó, Đà Nẵng và Quảng Nam dẫn dắt thị trường khi chiếm đến 100% tổng nguồn cung sơ cấp trong quý. Nguồn cung mới vẫn duy trì tình trạng khan hiếm và chưa có dấu hiệu phục hồi trong ngắn hạn. Sức cầu thị trường vẫn duy trì ở mức thấp, lượng tiêu thụ gi</w:t>
      </w:r>
      <w:r>
        <w:rPr>
          <w:rFonts w:ascii="Times New Roman" w:hAnsi="Times New Roman" w:eastAsia="Times New Roman" w:cs="Times New Roman"/>
          <w:color w:val="333333"/>
          <w:sz w:val="24"/>
          <w:highlight w:val="white"/>
        </w:rPr>
        <w:t xml:space="preserve">ảm khoảng 39% so với quý I/2024, chỉ tương đương 9% trên tỷ trọng cung sơ cấp. Mặt bằng giá sơ cấp ghi nhận mức tăng trung bình 7% so với thời điểm cuối năm 2024, trong khi thị trường giá thứ cấp đạt mức tăng phổ biến 6% - 9% so với quý IV/2024.</w:t>
      </w:r>
      <w:r>
        <w:rPr>
          <w:rFonts w:ascii="Times New Roman" w:hAnsi="Times New Roman" w:cs="Times New Roman"/>
          <w:highlight w:val="white"/>
        </w:rPr>
      </w:r>
      <w:r>
        <w:rPr>
          <w:rFonts w:ascii="Times New Roman" w:hAnsi="Times New Roman" w:cs="Times New Roman"/>
          <w:highlight w:val="white"/>
        </w:rPr>
      </w:r>
    </w:p>
    <w:p w14:paraId="193B85B7">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Phân khúc căn hộ ghi nhận nguồn cung sơ cấp tăng 19% so với cùng kỳ năm trước, nhưng chỉ bằng 50% so với quý IV/2024, với 18 dự án triển khai bán hàng, cung ứng ra thị trường khoảng 1,244 căn hộ tập trung chủ yếu tại Đà Nẵng. Riêng TP. Huế và Quảng Nam tiế</w:t>
      </w:r>
      <w:r>
        <w:rPr>
          <w:rFonts w:ascii="Times New Roman" w:hAnsi="Times New Roman" w:eastAsia="Times New Roman" w:cs="Times New Roman"/>
          <w:color w:val="333333"/>
          <w:sz w:val="24"/>
          <w:highlight w:val="white"/>
        </w:rPr>
        <w:t xml:space="preserve">p tục khan hiếm dự án mở bán mới. Tỷ lệ tiêu thụ đạt khoảng 25% trên tổng nguồn cung sơ cấp, tương đương 306 căn và gấp 2.9 lần so với cùng kỳ. Phần lớn lượng giao dịch đến từ các dự án triển khai bán hàng cuối năm 2024. Mặt bằng giá bán sơ cấp ghi nhận mứ</w:t>
      </w:r>
      <w:r>
        <w:rPr>
          <w:rFonts w:ascii="Times New Roman" w:hAnsi="Times New Roman" w:eastAsia="Times New Roman" w:cs="Times New Roman"/>
          <w:color w:val="333333"/>
          <w:sz w:val="24"/>
          <w:highlight w:val="white"/>
        </w:rPr>
        <w:t xml:space="preserve">c tăng phổ biến dao động từ 3% - 6% so với trước Tết. Thị trường thứ cấp tiếp tục đà hồi phục, cục bộ những dự án phân khúc trung cấp khu vực quận Ngũ Hành Sơn ghi nhận mức tăng 7% - 12% so với cuối năm 2024.</w:t>
      </w:r>
      <w:r>
        <w:rPr>
          <w:rFonts w:ascii="Times New Roman" w:hAnsi="Times New Roman" w:cs="Times New Roman"/>
          <w:highlight w:val="white"/>
        </w:rPr>
      </w:r>
      <w:r>
        <w:rPr>
          <w:rFonts w:ascii="Times New Roman" w:hAnsi="Times New Roman" w:cs="Times New Roman"/>
          <w:highlight w:val="white"/>
        </w:rPr>
      </w:r>
    </w:p>
    <w:p w14:paraId="4F31CFE9">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Nguồn cung sơ cấp phân khúc nhà phố/biệt thự tại thị trường Đà Nẵng và vùng phụ cận ghi nhận tăng nhẹ 4% so với cùng kỳ, tuy nhiên vẫn ở mức thấp so với giai đoạn trước năm 2019.</w:t>
      </w:r>
      <w:r>
        <w:rPr>
          <w:rFonts w:ascii="Times New Roman" w:hAnsi="Times New Roman" w:cs="Times New Roman"/>
          <w:highlight w:val="white"/>
        </w:rPr>
      </w:r>
      <w:r>
        <w:rPr>
          <w:rFonts w:ascii="Times New Roman" w:hAnsi="Times New Roman" w:cs="Times New Roman"/>
          <w:highlight w:val="white"/>
        </w:rPr>
      </w:r>
    </w:p>
    <w:p w14:paraId="1DC0B697">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Cụ thể, thị trường đón nhận nguồn cung sơ cấp khoảng 759 căn đến từ 11 dự án mở bán. Phần lớn nguồn cung đến từ lượng hàng tồn kho của những dự án đã mở bán trước đó, chiếm đến 93% tổng nguồn cung toàn thị trường. Sức cầu thị trường ghi nhận tín hiệu tăng </w:t>
      </w:r>
      <w:r>
        <w:rPr>
          <w:rFonts w:ascii="Times New Roman" w:hAnsi="Times New Roman" w:eastAsia="Times New Roman" w:cs="Times New Roman"/>
          <w:color w:val="333333"/>
          <w:sz w:val="24"/>
          <w:highlight w:val="white"/>
        </w:rPr>
        <w:t xml:space="preserve">trưởng, với tỷ lệ tiêu thụ đạt 9% (khoảng 66 căn), tăng 40% so với cùng kỳ năm trước. Mặc dù vậy, giao dịch chỉ tập trung cục bộ tại một số dự án quy mô lớn, pháp lý hoàn thiện và được phát triển bởi các chủ đầu tư uy tín. Mặt bằng giá bán sơ cấp duy trì ổ</w:t>
      </w:r>
      <w:r>
        <w:rPr>
          <w:rFonts w:ascii="Times New Roman" w:hAnsi="Times New Roman" w:eastAsia="Times New Roman" w:cs="Times New Roman"/>
          <w:color w:val="333333"/>
          <w:sz w:val="24"/>
          <w:highlight w:val="white"/>
        </w:rPr>
        <w:t xml:space="preserve">n định, trong khi thị trường thứ cấp ghi nhận mức giá giảm trung bình 4% so với giai đoạn cuối năm và chủ yếu tập trung ở nhóm dự án đã triển khai lâu năm, xây dựng chậm tiến độ cũng như chưa có pháp lý hoàn thiện.</w:t>
      </w:r>
      <w:r>
        <w:rPr>
          <w:rFonts w:ascii="Times New Roman" w:hAnsi="Times New Roman" w:cs="Times New Roman"/>
          <w:highlight w:val="white"/>
        </w:rPr>
      </w:r>
      <w:r>
        <w:rPr>
          <w:rFonts w:ascii="Times New Roman" w:hAnsi="Times New Roman" w:cs="Times New Roman"/>
          <w:highlight w:val="white"/>
        </w:rPr>
      </w:r>
    </w:p>
    <w:p w14:paraId="14782A8D">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Trong khi đó, loại hình bất động sản nghỉ dưỡng vẫn còn khá trầm lắng và chưa có dấu hiệu khởi sắc trong ngắn hạn. Ở phân khúc biệt thự nghỉ dưỡng, nguồn cung sơ cấp tiếp tục xu hướng giảm, ghi nhận mức giảm 1% so với cùng kỳ với 9 dự án mở bán, cung ứng r</w:t>
      </w:r>
      <w:r>
        <w:rPr>
          <w:rFonts w:ascii="Times New Roman" w:hAnsi="Times New Roman" w:eastAsia="Times New Roman" w:cs="Times New Roman"/>
          <w:color w:val="333333"/>
          <w:sz w:val="24"/>
          <w:highlight w:val="white"/>
        </w:rPr>
        <w:t xml:space="preserve">a thị trường 232 căn. Trong khi đó, nguồn cung mới tiếp tục vắng bóng. Sức cầu chung thị trường vẫn ở mức thấp. Mặt bằng giá sơ cấp không biến động so với cùng kỳ năm trước và vẫn duy trì ở mức cao. Tuy nhiên, các chính sách chia sẻ lợi nhuận/doanh thu, hỗ</w:t>
      </w:r>
      <w:r>
        <w:rPr>
          <w:rFonts w:ascii="Times New Roman" w:hAnsi="Times New Roman" w:eastAsia="Times New Roman" w:cs="Times New Roman"/>
          <w:color w:val="333333"/>
          <w:sz w:val="24"/>
          <w:highlight w:val="white"/>
        </w:rPr>
        <w:t xml:space="preserve"> trợ lãi suất, ân hạn nợ gốc... vẫn tiếp tục được áp dụng rộng rãi nhằm gia tăng thanh khoản.</w:t>
      </w:r>
      <w:r>
        <w:rPr>
          <w:rFonts w:ascii="Times New Roman" w:hAnsi="Times New Roman" w:cs="Times New Roman"/>
          <w:highlight w:val="white"/>
        </w:rPr>
      </w:r>
      <w:r>
        <w:rPr>
          <w:rFonts w:ascii="Times New Roman" w:hAnsi="Times New Roman" w:cs="Times New Roman"/>
          <w:highlight w:val="white"/>
        </w:rPr>
      </w:r>
    </w:p>
    <w:p w14:paraId="13DAC834">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Đối với phân khúc nhà phố/ shophouse nghỉ dưỡng, nguồn cung sơ cấp ghi nhận ở mức thấp và không phát sinh tiêu thụ. Mặt bằng giá bán sơ cấp duy trì ổn định và không có sự biến động so với cùng kỳ, mức giá chào bán hiện tại dao động từ 7,1 - 16,3 tỷ đồng/că</w:t>
      </w:r>
      <w:r>
        <w:rPr>
          <w:rFonts w:ascii="Times New Roman" w:hAnsi="Times New Roman" w:eastAsia="Times New Roman" w:cs="Times New Roman"/>
          <w:color w:val="333333"/>
          <w:sz w:val="24"/>
          <w:highlight w:val="white"/>
        </w:rPr>
        <w:t xml:space="preserve">n. Thị trường thứ cấp tiếp tục duy trì tình trạng ảm đạm.</w:t>
      </w:r>
      <w:r>
        <w:rPr>
          <w:rFonts w:ascii="Times New Roman" w:hAnsi="Times New Roman" w:cs="Times New Roman"/>
          <w:highlight w:val="white"/>
        </w:rPr>
      </w:r>
      <w:r>
        <w:rPr>
          <w:rFonts w:ascii="Times New Roman" w:hAnsi="Times New Roman" w:cs="Times New Roman"/>
          <w:highlight w:val="white"/>
        </w:rPr>
      </w:r>
    </w:p>
    <w:p w14:paraId="0142090D">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highlight w:val="white"/>
        </w:rPr>
      </w:pPr>
      <w:r>
        <w:rPr>
          <w:rFonts w:ascii="Times New Roman" w:hAnsi="Times New Roman" w:eastAsia="Times New Roman" w:cs="Times New Roman"/>
          <w:color w:val="333333"/>
          <w:sz w:val="24"/>
          <w:highlight w:val="white"/>
        </w:rPr>
        <w:t xml:space="preserve">Riêng phân khúc condotel, nguồn cung sơ cấp quý I/2025 giảm nhẹ 1% so với cùng kỳ với 9 dự án mở bán, cung cấp ra thị trường 670 căn. Đáng chú ý, 100% nguồn cung trong quý đến từ lượng hàng tồn kho của những dự án cũ. Quảng Nam và Đà Nẵng vẫn là những địa </w:t>
      </w:r>
      <w:r>
        <w:rPr>
          <w:rFonts w:ascii="Times New Roman" w:hAnsi="Times New Roman" w:eastAsia="Times New Roman" w:cs="Times New Roman"/>
          <w:color w:val="333333"/>
          <w:sz w:val="24"/>
          <w:highlight w:val="white"/>
        </w:rPr>
        <w:t xml:space="preserve">phương dẫn dắt thị trường khi chiếm đến 93% tổng nguồn cung sơ cấp trong quý. Sức cầu thị trường ở mức rất thấp, lượng tiêu thụ giảm hơn 99% so với quý trước. Mặt bằng g</w:t>
      </w:r>
      <w:r>
        <w:rPr>
          <w:rFonts w:ascii="Times New Roman" w:hAnsi="Times New Roman" w:eastAsia="Times New Roman" w:cs="Times New Roman"/>
          <w:color w:val="333333"/>
          <w:sz w:val="24"/>
          <w:highlight w:val="white"/>
        </w:rPr>
        <w:t xml:space="preserve">iá sơ cấp không biến động nhiều so với cùng kỳ và tiếp tục xu hướng đi ngang.</w:t>
      </w:r>
      <w:r>
        <w:rPr>
          <w:rFonts w:ascii="Times New Roman" w:hAnsi="Times New Roman" w:cs="Times New Roman"/>
          <w:highlight w:val="white"/>
        </w:rPr>
      </w:r>
      <w:r>
        <w:rPr>
          <w:rFonts w:ascii="Times New Roman" w:hAnsi="Times New Roman" w:cs="Times New Roman"/>
          <w:highlight w:val="white"/>
        </w:rPr>
      </w:r>
    </w:p>
    <w:p w14:paraId="45A56CAE">
      <w:pPr>
        <w:pBdr/>
        <w:tabs>
          <w:tab w:val="left" w:leader="none" w:pos="426"/>
        </w:tabs>
        <w:spacing w:after="120" w:before="120" w:line="276" w:lineRule="auto"/>
        <w:ind/>
        <w:rPr>
          <w:rFonts w:ascii="Times New Roman" w:hAnsi="Times New Roman" w:cs="Times New Roman"/>
          <w:bCs/>
          <w:i/>
          <w:highlight w:val="white"/>
        </w:rPr>
      </w:pPr>
      <w:r>
        <w:rPr>
          <w:rFonts w:ascii="Times New Roman" w:hAnsi="Times New Roman" w:eastAsia="Times New Roman" w:cs="Times New Roman"/>
          <w:highlight w:val="white"/>
          <w:lang w:val="pt-BR"/>
        </w:rPr>
      </w:r>
      <w:r>
        <w:rPr>
          <w:rFonts w:ascii="Times New Roman" w:hAnsi="Times New Roman" w:eastAsia="Times New Roman" w:cs="Times New Roman"/>
          <w:i/>
          <w:iCs/>
          <w:highlight w:val="white"/>
          <w:lang w:val="pt-BR"/>
        </w:rPr>
        <w:t xml:space="preserve">https://baodautu.vn/batdongsan/thi-truong-bat-dong-san-da-nang-va-vung-phu-can-cai-thien-ve-nguon-cung-d269790.html</w:t>
      </w:r>
      <w:r>
        <w:rPr>
          <w:rFonts w:ascii="Times New Roman" w:hAnsi="Times New Roman" w:cs="Times New Roman"/>
          <w:bCs/>
          <w:i/>
          <w:highlight w:val="white"/>
        </w:rPr>
      </w:r>
      <w:r>
        <w:rPr>
          <w:rFonts w:ascii="Times New Roman" w:hAnsi="Times New Roman" w:cs="Times New Roman"/>
          <w:bCs/>
          <w:i/>
          <w:highlight w:val="white"/>
        </w:rPr>
      </w:r>
    </w:p>
    <w:p w14:paraId="20BF0D54" w14:textId="312C63AB">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1"/>
        <w:gridCol w:w="2231"/>
        <w:gridCol w:w="1879"/>
        <w:gridCol w:w="1954"/>
        <w:gridCol w:w="269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FA302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28E89F0E">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và tài sản gắn liên với đất tại thửa đất số: 116, tờ bản đồ số: 56, có địa chỉ: Lô 23-B2.10 TĐC phía Đông Xưởng 38 và Xưởng 387, phường Mỹ An, quận Ngũ Hành Sơn (nay là phường Ngũ Hành Sơn), thành phố Đà Nẵng theo Giấy chứng nhận quyền sử</w:t>
            </w:r>
            <w:r>
              <w:rPr>
                <w:rFonts w:ascii="Times New Roman" w:hAnsi="Times New Roman" w:eastAsia="Times New Roman" w:cs="Times New Roman"/>
                <w:b/>
                <w:color w:val="000000"/>
                <w:sz w:val="24"/>
              </w:rPr>
              <w:t xml:space="preserve"> dụng đất, quyền sở hữu nhà ở và tài sản khác gắn liền với đất  số: CC 842816, Số vào sổ cấp GCN: CTS90107 do Sở tài nguyên và môi trường thành phố Đà Nẵng cấp ngày 03/03/2016; chủ sử dụng đất là Bà Ngô Thị Liên (cập nhật ngày 08/03/2022)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1D37A62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53B0F48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54F6C13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40043C6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074E33E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78B814B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D8474D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116</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34763EA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19A73AF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3509AF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401E4A7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27" w:type="dxa"/>
            <w:vAlign w:val="center"/>
            <w:textDirection w:val="lrTb"/>
            <w:noWrap w:val="false"/>
          </w:tcPr>
          <w:p w14:paraId="294FFA6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Lô 23-B2.10 TĐC phía Đông Xưởng 38 và Xưởng 387, phường Mỹ An, quận Ngũ Hành Sơn (nay là phường Ngũ Hành Sơn), thành phố Đà Nẵng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70D9771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60030F1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0675BB9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155,10</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29A5161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5C3242D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6A78F9C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1388319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1F61C20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7B1C59E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761409A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6812A92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52A9570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27" w:type="dxa"/>
            <w:vAlign w:val="center"/>
            <w:textDirection w:val="lrTb"/>
            <w:noWrap w:val="false"/>
          </w:tcPr>
          <w:p w14:paraId="21B9A2F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87CF63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7992A6F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Nhà ở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A2F811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1DE0158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7150006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Khách sạn</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5D62BDB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1729D76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Sở hữu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510ACA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4D55BF3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xây dựng (m²):</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7E8F26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99,10</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2C15B8A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14:paraId="02E7FA3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1526,1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78CD695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66CE5E7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tầng:</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78B21A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22F48CF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công trình</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3978B50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Cấp 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B7A9AE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71C2B3F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sở hữu</w:t>
            </w:r>
            <w:r/>
          </w:p>
        </w:tc>
        <w:tc>
          <w:tcPr>
            <w:gridSpan w:val="3"/>
            <w:tcBorders>
              <w:bottom w:val="single" w:color="000000" w:sz="8" w:space="0"/>
              <w:right w:val="single" w:color="000000" w:sz="8" w:space="0"/>
            </w:tcBorders>
            <w:tcMar>
              <w:left w:w="108" w:type="dxa"/>
              <w:top w:w="0" w:type="dxa"/>
              <w:right w:w="108" w:type="dxa"/>
              <w:bottom w:w="0" w:type="dxa"/>
            </w:tcMar>
            <w:tcW w:w="6527" w:type="dxa"/>
            <w:vAlign w:val="center"/>
            <w:textDirection w:val="lrTb"/>
            <w:noWrap w:val="false"/>
          </w:tcPr>
          <w:p w14:paraId="00F8D4D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Đến ngày 12/10/2036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D72ECC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45176A2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D2D4E8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1E1BE55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Công ty TNHH Một thành viên Đầu tư và Xây dựng 11/3 sở hữu tài sản trên thửa đất thuê của ông Nguyễn Đức Phương Anh, sinh năm 1961, CMND số: 210692854 và Bà Huỳnh Thị Ngọc Hả, sinh năm 1966, CMND số: 211179304, địa chỉ hộ khẩu: Tổ 4, Hoàn Đồn, thị trấn Ba </w:t>
            </w:r>
            <w:r>
              <w:rPr>
                <w:rFonts w:ascii="Times New Roman" w:hAnsi="Times New Roman" w:eastAsia="Times New Roman" w:cs="Times New Roman"/>
                <w:color w:val="000000"/>
                <w:sz w:val="24"/>
              </w:rPr>
              <w:t xml:space="preserve">Tơ, tỉnh Quảng Ngãi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184936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5353F20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 : 116; tờ bản đồ số: 56; địa chỉ thửa đất: Lô 23-B2.10 TĐC phía Đông Xưởng 38 và Xưởng 387, phường Mỹ An, quận Ngũ Hành Sơn, thành phố Đà Nẵng; diện tích đất: 155,1m2; mục đích sử dụng đất: đất thương mại dịch vụ; GCNQSDĐ số: CC 842816 do Sở tà</w:t>
            </w:r>
            <w:r>
              <w:rPr>
                <w:rFonts w:ascii="Times New Roman" w:hAnsi="Times New Roman" w:eastAsia="Times New Roman" w:cs="Times New Roman"/>
                <w:color w:val="000000"/>
                <w:sz w:val="24"/>
              </w:rPr>
              <w:t xml:space="preserve">i nguyên và Môi trường thành phố Đà Nẵng cấp ngày 03/03/2016;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21DF2AE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530112A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thuê đất 20 năm từ ngày 12/10/2016 đã đăng ký biến động tại Văn phòng đăng ký đất đai thành phố Đà Nẵng ngày 12/10/2016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10CE0D5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1.4.</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17EDB92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0657E8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35A17CF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0EE9E4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216787F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F46A7B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3F9B362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82E3EC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0049C7D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27" w:type="dxa"/>
            <w:vAlign w:val="center"/>
            <w:textDirection w:val="lrTb"/>
            <w:noWrap w:val="false"/>
          </w:tcPr>
          <w:p w14:paraId="52ADBD5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196 đường Trần Bạch Đằng, phường Ngũ Hành Sơn, thành phố Đà Nẵng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2D71961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31" w:type="dxa"/>
            <w:vAlign w:val="center"/>
            <w:textDirection w:val="lrTb"/>
            <w:noWrap w:val="false"/>
          </w:tcPr>
          <w:p w14:paraId="640C1CF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879" w:type="dxa"/>
            <w:vAlign w:val="center"/>
            <w:textDirection w:val="lrTb"/>
            <w:noWrap w:val="false"/>
          </w:tcPr>
          <w:p w14:paraId="17AAD86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Trần Bạch Đằng</w:t>
            </w:r>
            <w:r/>
          </w:p>
        </w:tc>
        <w:tc>
          <w:tcPr>
            <w:tcBorders>
              <w:right w:val="single" w:color="000000" w:sz="8" w:space="0"/>
            </w:tcBorders>
            <w:tcMar>
              <w:left w:w="108" w:type="dxa"/>
              <w:top w:w="0" w:type="dxa"/>
              <w:right w:w="108" w:type="dxa"/>
              <w:bottom w:w="0" w:type="dxa"/>
            </w:tcMar>
            <w:tcW w:w="1954" w:type="dxa"/>
            <w:vAlign w:val="center"/>
            <w:textDirection w:val="lrTb"/>
            <w:noWrap w:val="false"/>
          </w:tcPr>
          <w:p w14:paraId="6FA6DAC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693" w:type="dxa"/>
            <w:vAlign w:val="center"/>
            <w:textDirection w:val="lrTb"/>
            <w:noWrap w:val="false"/>
          </w:tcPr>
          <w:p w14:paraId="622CF1B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Lô góc, 2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561" w:type="dxa"/>
            <w:vAlign w:val="center"/>
            <w:textDirection w:val="lrTb"/>
            <w:noWrap w:val="false"/>
          </w:tcPr>
          <w:p w14:paraId="27D24C3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2B19EAFF">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0015792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10m + vỉa hè mỗi bên 5m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3026686C">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2F95F61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10m + vỉa hè mỗi bên 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5310777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31" w:type="dxa"/>
            <w:vAlign w:val="center"/>
            <w:textDirection w:val="lrTb"/>
            <w:noWrap w:val="false"/>
          </w:tcPr>
          <w:p w14:paraId="7250A6C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27" w:type="dxa"/>
            <w:vAlign w:val="center"/>
            <w:textDirection w:val="lrTb"/>
            <w:noWrap w:val="false"/>
          </w:tcPr>
          <w:p w14:paraId="3E1639E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Tiếp giáp đường Trần Bạch Đằng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69D537D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499CFFF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27" w:type="dxa"/>
            <w:vAlign w:val="center"/>
            <w:textDirection w:val="lrTb"/>
            <w:noWrap w:val="false"/>
          </w:tcPr>
          <w:p w14:paraId="4BB2F5B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Đông Bắc tiếp giáp với đường Trần Bạch Đằng;</w:t>
              <w:br/>
              <w:t xml:space="preserve"> Hường Đông Nam tiếp giáp đường Phan Tôn;</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15E7343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3511912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Vị trí trên bản đồ vệ tinh: 16.0529484, 108.2465</w:t>
            </w:r>
            <w:commentRangeStart w:id="0"/>
            <w:r>
              <w:rPr>
                <w:rFonts w:ascii="Times New Roman" w:hAnsi="Times New Roman" w:eastAsia="Times New Roman" w:cs="Times New Roman"/>
                <w:color w:val="000000"/>
                <w:sz w:val="24"/>
              </w:rPr>
              <w:t xml:space="preserve">115</w:t>
            </w:r>
            <w:commentRangeEnd w:id="0"/>
            <w:r>
              <w:commentReference w:id="0"/>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3927B3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4944191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50714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511568617" name="" descr=""/>
                              <pic:cNvPicPr/>
                              <pic:nvPr/>
                            </pic:nvPicPr>
                            <pic:blipFill rotWithShape="1">
                              <a:blip r:embed="rId16"/>
                              <a:stretch/>
                            </pic:blipFill>
                            <pic:spPr bwMode="auto">
                              <a:xfrm rot="0" flipH="0" flipV="0">
                                <a:off x="0" y="0"/>
                                <a:ext cx="5507142" cy="2539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63pt;height:200.00pt;mso-wrap-distance-left:0.00pt;mso-wrap-distance-top:0.00pt;mso-wrap-distance-right:0.00pt;mso-wrap-distance-bottom:0.00pt;rotation:0;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686E74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53A5AE4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869005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2FA6557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40D73BC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155,10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6DDF44A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5A9197C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4B5D94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460F944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002E1E8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9,20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2853AAC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6239888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18,00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067001F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5472DD5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2810132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54DE275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5700D20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63D8E4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5950D44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218F433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1012229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42FC7BB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1F0DDA1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3F4B77F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5657C3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21A71F7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0B8656B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0A86894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172B5D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E2E450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1" w:type="dxa"/>
            <w:vAlign w:val="center"/>
            <w:textDirection w:val="lrTb"/>
            <w:noWrap w:val="false"/>
          </w:tcPr>
          <w:p w14:paraId="56CA94C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79" w:type="dxa"/>
            <w:vAlign w:val="center"/>
            <w:textDirection w:val="lrTb"/>
            <w:noWrap w:val="false"/>
          </w:tcPr>
          <w:p w14:paraId="73BF633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54" w:type="dxa"/>
            <w:vAlign w:val="center"/>
            <w:textDirection w:val="lrTb"/>
            <w:noWrap w:val="false"/>
          </w:tcPr>
          <w:p w14:paraId="4721B2A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14:paraId="235D8D5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7ADDE4A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724F603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Khách sạn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6BA145D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57" w:type="dxa"/>
            <w:vAlign w:val="center"/>
            <w:textDirection w:val="lrTb"/>
            <w:noWrap w:val="false"/>
          </w:tcPr>
          <w:p w14:paraId="28F34088">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Khách sạn 10 tầ</w:t>
            </w:r>
            <w:r>
              <w:rPr>
                <w:rFonts w:ascii="Times New Roman" w:hAnsi="Times New Roman" w:eastAsia="Times New Roman" w:cs="Times New Roman"/>
                <w:color w:val="000000"/>
                <w:sz w:val="24"/>
                <w:highlight w:val="white"/>
              </w:rPr>
              <w:t xml:space="preserve">n</w:t>
            </w:r>
            <w:r>
              <w:rPr>
                <w:rFonts w:ascii="Times New Roman" w:hAnsi="Times New Roman" w:eastAsia="Times New Roman" w:cs="Times New Roman"/>
                <w:color w:val="000000"/>
                <w:sz w:val="24"/>
                <w:highlight w:val="white"/>
              </w:rPr>
              <w:t xml:space="preserve">g + tầng bán hầm và sân thượng, c</w:t>
            </w:r>
            <w:r>
              <w:rPr>
                <w:rFonts w:ascii="Times New Roman" w:hAnsi="Times New Roman" w:eastAsia="Times New Roman" w:cs="Times New Roman"/>
                <w:color w:val="000000"/>
                <w:sz w:val="24"/>
                <w:highlight w:val="white"/>
              </w:rPr>
              <w:t xml:space="preserve">ô</w:t>
            </w:r>
            <w:r>
              <w:rPr>
                <w:rFonts w:ascii="Times New Roman" w:hAnsi="Times New Roman" w:eastAsia="Times New Roman" w:cs="Times New Roman"/>
                <w:color w:val="000000"/>
                <w:sz w:val="24"/>
              </w:rPr>
              <w:t xml:space="preserve">ng trình xây dựng có kết cấu bê tông cốt thép, tường xây gạch bao quanh, ngoại quan còn khá mới, hiện đang sử dụng bình thường. Công trìn</w:t>
            </w:r>
            <w:r>
              <w:rPr>
                <w:rFonts w:ascii="Times New Roman" w:hAnsi="Times New Roman" w:eastAsia="Times New Roman" w:cs="Times New Roman"/>
                <w:color w:val="000000"/>
                <w:sz w:val="24"/>
              </w:rPr>
              <w:t xml:space="preserve">h được công nhận trên GCN QSDĐ số: CC 842816</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B0657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196 đường Trần Bạch Đằng, phường Ngũ Hành Sơn, thành phố Đà Nẵng</w:t>
            </w:r>
            <w:r/>
            <w:r/>
            <w:r>
              <w:rPr>
                <w:color w:val="000000" w:themeColor="text1"/>
                <w:sz w:val="22"/>
                <w:szCs w:val="22"/>
              </w:rPr>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Đường Hồ Nghi, phường An Hải,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F36B27">
            <w:pPr>
              <w:pBdr/>
              <w:spacing/>
              <w:ind/>
              <w:jc w:val="center"/>
              <w:rPr>
                <w:sz w:val="22"/>
                <w:szCs w:val="22"/>
              </w:rPr>
            </w:pPr>
            <w:r>
              <w:rPr>
                <w:color w:val="000000" w:themeColor="text1"/>
                <w:sz w:val="22"/>
                <w:szCs w:val="22"/>
              </w:rPr>
              <w:t xml:space="preserve">Đường Hồ Nghi, phường An Hải, thành phố Đà Nẵng</w:t>
            </w:r>
            <w:r>
              <w:rPr>
                <w:sz w:val="22"/>
                <w:szCs w:val="22"/>
              </w:rPr>
            </w:r>
            <w:r>
              <w:rPr>
                <w:sz w:val="22"/>
                <w:szCs w:val="22"/>
              </w:rPr>
            </w: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F36B27">
            <w:pPr>
              <w:pBdr/>
              <w:spacing/>
              <w:ind/>
              <w:jc w:val="center"/>
              <w:rPr>
                <w:sz w:val="22"/>
                <w:szCs w:val="22"/>
              </w:rPr>
            </w:pPr>
            <w:r>
              <w:rPr>
                <w:color w:val="000000" w:themeColor="text1"/>
                <w:sz w:val="22"/>
                <w:szCs w:val="22"/>
              </w:rPr>
              <w:t xml:space="preserve">Đường Hồ Nghi, phường An Hải, thành phố Đà Nẵng</w:t>
            </w:r>
            <w:r>
              <w:rPr>
                <w:sz w:val="22"/>
                <w:szCs w:val="22"/>
              </w:rPr>
            </w:r>
            <w:r>
              <w:rPr>
                <w:sz w:val="22"/>
                <w:szCs w:val="22"/>
              </w:rPr>
            </w:r>
            <w:r>
              <w:rPr>
                <w:color w:val="000000" w:themeColor="text1"/>
                <w:sz w:val="22"/>
                <w:szCs w:val="22"/>
              </w:rPr>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https://batdongsan.com.vn/ban-dat-duong-tran-bach-dang-phuong-my-an/sieu-pham-sot-lai-ngay-tuyen-pho-dem-thuong-cach-bai-tam-bien-chi-50m-pr41410965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https://alonhadat.com.vn/-ban-2-lo-doi-mat-pho-ho-nghinh-245m-mat-tien-10m-dong-tien-on-dinh--17910176.html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0935807937</w:t>
            </w:r>
            <w:r>
              <w:rPr>
                <w:sz w:val="22"/>
                <w:szCs w:val="22"/>
              </w:rPr>
              <w:t xml:space="preserve"> </w:t>
            </w:r>
            <w:r>
              <w:rPr>
                <w:sz w:val="22"/>
                <w:szCs w:val="22"/>
              </w:rPr>
              <w:br/>
              <w:t xml:space="preserve">(</w:t>
            </w:r>
            <w:r>
              <w:rPr>
                <w:sz w:val="22"/>
                <w:szCs w:val="22"/>
              </w:rPr>
              <w:t xml:space="preserve">Duy 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0905721488</w:t>
            </w:r>
            <w:r>
              <w:rPr>
                <w:sz w:val="22"/>
                <w:szCs w:val="22"/>
              </w:rPr>
              <w:br/>
            </w:r>
            <w:r>
              <w:rPr>
                <w:sz w:val="22"/>
                <w:szCs w:val="22"/>
              </w:rPr>
              <w:t xml:space="preserve">(</w:t>
            </w:r>
            <w:r>
              <w:rPr>
                <w:sz w:val="22"/>
                <w:szCs w:val="22"/>
              </w:rPr>
              <w:t xml:space="preserve">Mai Loan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0981.355.086</w:t>
            </w:r>
            <w:r>
              <w:rPr>
                <w:sz w:val="22"/>
                <w:szCs w:val="22"/>
              </w:rPr>
              <w:br/>
            </w:r>
            <w:r>
              <w:rPr>
                <w:sz w:val="22"/>
                <w:szCs w:val="22"/>
              </w:rPr>
              <w:t xml:space="preserve">(</w:t>
            </w:r>
            <w:r>
              <w:rPr>
                <w:sz w:val="22"/>
                <w:szCs w:val="22"/>
              </w:rPr>
              <w:t xml:space="preserve">Lý Tuyết Nhung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28AFB8">
            <w:pPr>
              <w:pBdr>
                <w:top w:val="none" w:color="000000" w:sz="4" w:space="0"/>
                <w:left w:val="none" w:color="000000" w:sz="4" w:space="0"/>
                <w:bottom w:val="none" w:color="000000" w:sz="4" w:space="0"/>
                <w:right w:val="none" w:color="000000" w:sz="4" w:space="0"/>
              </w:pBdr>
              <w:spacing w:after="0"/>
              <w:ind w:right="0" w:firstLine="0" w:left="0"/>
              <w:jc w:val="center"/>
              <w:rPr/>
            </w:pPr>
            <w:r>
              <w:rPr>
                <w:color w:val="000000" w:themeColor="text1"/>
                <w:sz w:val="22"/>
                <w:szCs w:val="22"/>
              </w:rPr>
              <w:t xml:space="preserve">Tài sản tại:</w:t>
            </w:r>
            <w:r>
              <w:rPr>
                <w:rFonts w:ascii="Times New Roman" w:hAnsi="Times New Roman" w:eastAsia="Times New Roman" w:cs="Times New Roman"/>
                <w:color w:val="000000"/>
                <w:sz w:val="24"/>
              </w:rPr>
              <w:t xml:space="preserve">Số 196 đường Trần Bạch Đằng, phường Ngũ Hành Sơn, thành phố Đà Nẵng</w:t>
            </w:r>
            <w:r>
              <w:rPr>
                <w:color w:val="000000" w:themeColor="text1"/>
                <w:sz w:val="22"/>
                <w:szCs w:val="22"/>
              </w:rPr>
              <w:t xml:space="preserve">, độ rộng đường trước mặt tài sản 10 m, mặt tiền 11m, tiếp giáp đường Trần Bạch Đằng, 16.0529484, 108.2465115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An Hải,  Thành phố Đà Nẵng, đường Tiếp giáp đường Hồ Nghi, độ rộng đường trước mặt tài sản 10m, mặt tiền 9.9m, Tiếp giáp đường Hồ Nghi</w:t>
            </w:r>
            <w:r>
              <w:rPr>
                <w:color w:val="000000" w:themeColor="text1"/>
                <w:sz w:val="22"/>
                <w:szCs w:val="22"/>
              </w:rPr>
              <w:t xml:space="preserve">, 16.05891034686839, 108.24466479909323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Phường An Hải,  Thành phố Đà Nẵng, đường Tiếp giáp đường Hồ Nghi, độ rộng đường trước mặt tài sản 10m, mặt tiền 9.9m, Tiếp giáp đường Hồ Nghi, 16.057081571515095, 108.24525220286749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An Hải,  Thành phố Đà Nẵng, đường Tiếp giáp đường Hồ Nghi, độ rộng đường trước mặt tài sản 10m, mặt tiền 9.9m, Tiếp giáp đường Hồ Nghi</w:t>
            </w:r>
            <w:r>
              <w:rPr>
                <w:color w:val="000000" w:themeColor="text1"/>
                <w:sz w:val="22"/>
                <w:szCs w:val="22"/>
              </w:rPr>
              <w:t xml:space="preserve">, 16.05887168371554, 108.24474124205015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19.49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Công trình xây dựng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Nhà cấp 4, giá trị không đáng kể</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27.500.000.000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63.000.000.000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71.000.000.000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24.750.000.000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56.700.000.000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63.900.000.000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24.750.000.000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56.700.000.000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63.900.000.000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24.750.000.000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56.700.000.000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63.900.000.000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317021">
            <w:pPr>
              <w:pBdr>
                <w:top w:val="none" w:color="000000" w:sz="4" w:space="0"/>
                <w:left w:val="none" w:color="000000" w:sz="4" w:space="0"/>
                <w:bottom w:val="none" w:color="000000" w:sz="4" w:space="0"/>
                <w:right w:val="none" w:color="000000" w:sz="4" w:space="0"/>
              </w:pBdr>
              <w:spacing w:after="0"/>
              <w:ind w:right="0" w:firstLine="0" w:left="0"/>
              <w:jc w:val="center"/>
              <w:rPr/>
            </w:pPr>
            <w:r>
              <w:rPr>
                <w:color w:val="000000" w:themeColor="text1"/>
                <w:sz w:val="22"/>
                <w:szCs w:val="22"/>
              </w:rPr>
              <w:t xml:space="preserve">Tài sản tại:</w:t>
            </w:r>
            <w:r>
              <w:rPr>
                <w:rFonts w:ascii="Times New Roman" w:hAnsi="Times New Roman" w:eastAsia="Times New Roman" w:cs="Times New Roman"/>
                <w:color w:val="000000"/>
                <w:sz w:val="24"/>
              </w:rPr>
              <w:t xml:space="preserve">Số 196 đường Trần Bạch Đằng, phường Ngũ Hành Sơn, thành phố Đà Nẵng</w:t>
            </w:r>
            <w:r>
              <w:rPr>
                <w:color w:val="000000" w:themeColor="text1"/>
                <w:sz w:val="22"/>
                <w:szCs w:val="22"/>
              </w:rPr>
              <w:t xml:space="preserve">, độ rộng đường trước mặt tài sản 10 m, mặt tiền 11m, tiếp giáp đường Trần Bạch Đằng, 16.0529484, 108.2465115</w:t>
            </w:r>
            <w:r/>
          </w:p>
        </w:tc>
        <w:tc>
          <w:tcPr>
            <w:shd w:val="clear" w:color="000000" w:fill="ffffff"/>
            <w:tcBorders/>
            <w:tcW w:w="1522" w:type="dxa"/>
            <w:vAlign w:val="center"/>
            <w:textDirection w:val="lrTb"/>
            <w:noWrap w:val="false"/>
          </w:tcPr>
          <w:p w14:paraId="21514E43">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An Hải,  Thành phố Đà Nẵng, đường Tiếp giáp đường Hồ Nghi, độ rộng đường trước mặt tài sản 10m, mặt tiền 9.9m, Tiếp giáp đường Hồ Nghi</w:t>
            </w:r>
            <w:r>
              <w:rPr>
                <w:color w:val="000000" w:themeColor="text1"/>
                <w:sz w:val="22"/>
                <w:szCs w:val="22"/>
              </w:rPr>
              <w:t xml:space="preserve">, 16.05891034686839, 108.24466479909323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31D567">
            <w:pPr>
              <w:pBdr/>
              <w:spacing/>
              <w:ind/>
              <w:jc w:val="center"/>
              <w:rPr>
                <w:color w:val="000000"/>
                <w:sz w:val="22"/>
                <w:szCs w:val="22"/>
              </w:rPr>
            </w:pPr>
            <w:r>
              <w:rPr>
                <w:color w:val="000000" w:themeColor="text1"/>
                <w:sz w:val="22"/>
                <w:szCs w:val="22"/>
              </w:rPr>
              <w:t xml:space="preserve">Tài sản tại: Phường An Hải,  Thành phố Đà Nẵng, đường Tiếp giáp đường Hồ Nghi, độ rộng đường trước mặt tài sản 10m, mặt tiền 9.9m, Tiếp giáp đường Hồ Nghi, 16.057081571515095, 108.24525220286749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36D9A6">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An Hải,  Thành phố Đà Nẵng, đường Tiếp giáp đường Hồ Nghi, độ rộng đường trước mặt tài sản 10m, mặt tiền 9.9m, Tiếp giáp đường Hồ Nghi</w:t>
            </w:r>
            <w:r>
              <w:rPr>
                <w:color w:val="000000" w:themeColor="text1"/>
                <w:sz w:val="22"/>
                <w:szCs w:val="22"/>
              </w:rPr>
              <w:t xml:space="preserve">, 16.05887168371554, 108.24474124205015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246.513.944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293.782.383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260.816.327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-9.860.558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11.751.295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18.257.143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236.653.386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305.533.678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279.073.470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val="0"/>
                <w:bCs w:val="0"/>
                <w:color w:val="000000"/>
                <w:sz w:val="22"/>
                <w:szCs w:val="22"/>
              </w:rPr>
            </w:pPr>
            <w:r>
              <w:rPr>
                <w:b w:val="0"/>
                <w:bCs w:val="0"/>
                <w:color w:val="000000"/>
                <w:sz w:val="22"/>
                <w:szCs w:val="22"/>
              </w:rPr>
              <w:t xml:space="preserve">9.2</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24.651.394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261.304.780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305.533.678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279.073.470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21.36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19.49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11.012.245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261.304.780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305.533.678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290.085.715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36.977.092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44.067.357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39.122.449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298.281.872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349.601.035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329.208.164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298.281.872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349.601.035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329.208.164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w:t>
            </w:r>
            <w:commentRangeStart w:id="1"/>
            <w:r>
              <w:rPr>
                <w:b/>
                <w:bCs/>
                <w:color w:val="000000" w:themeColor="text1"/>
                <w:sz w:val="22"/>
                <w:szCs w:val="22"/>
              </w:rPr>
              <w:t xml:space="preserve">hế kinh doanh</w:t>
            </w:r>
            <w:commentRangeEnd w:id="1"/>
            <w:r>
              <w:commentReference w:id="1"/>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36.977.092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44.067.357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39.122.449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335.258.964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393.668.392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368.330.613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335.258.964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393.668.392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368.330.613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365.752.656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-8.34%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108.466.136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99.886.009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107.514.286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88.745.020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99.886.009</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107.514.286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-0.7</w:t>
      </w:r>
      <w:r>
        <w:t xml:space="preserve">% đến</w:t>
      </w:r>
      <w:r>
        <w:t xml:space="preserve"> </w:t>
      </w:r>
      <w:r>
        <w:t xml:space="preserve"> </w:t>
      </w:r>
      <w:r>
        <w:t xml:space="preserve">8.34%,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335.258.964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111.775.339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393.668.392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131.209.675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368.330.613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122.764.593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365.749.607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365.000.000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365.000.000</w:t>
      </w:r>
      <w:r>
        <w:rPr>
          <w:b/>
          <w:bCs/>
          <w:color w:val="000000" w:themeColor="text1"/>
        </w:rPr>
        <w:t xml:space="preserve"> </w:t>
      </w:r>
      <w:r>
        <w:rPr>
          <w:b/>
          <w:bCs/>
        </w:rPr>
        <w:t xml:space="preserve">đồng/m².</w:t>
      </w:r>
      <w:r>
        <w:rPr>
          <w:b/>
          <w:bCs/>
        </w:rPr>
      </w:r>
      <w:r>
        <w:rPr>
          <w:b/>
          <w:bCs/>
        </w:rPr>
      </w:r>
    </w:p>
    <w:p w14:paraId="7CA7D420" w14:textId="77777777">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92ED3A7">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37"/>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905"/>
        <w:gridCol w:w="1905"/>
        <w:gridCol w:w="1905"/>
        <w:gridCol w:w="1905"/>
        <w:gridCol w:w="1905"/>
      </w:tblGrid>
      <w:tr>
        <w:trPr/>
        <w:tc>
          <w:tcPr>
            <w:tcBorders/>
            <w:tcMar>
              <w:left w:w="0" w:type="dxa"/>
              <w:top w:w="0" w:type="dxa"/>
              <w:right w:w="0" w:type="dxa"/>
              <w:bottom w:w="0" w:type="dxa"/>
            </w:tcMar>
            <w:tcW w:w="1905" w:type="dxa"/>
            <w:vAlign w:val="center"/>
            <w:textDirection w:val="lrTb"/>
            <w:noWrap w:val="false"/>
          </w:tcPr>
          <w:p w14:paraId="45491A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1905" w:type="dxa"/>
            <w:vAlign w:val="center"/>
            <w:textDirection w:val="lrTb"/>
            <w:noWrap w:val="false"/>
          </w:tcPr>
          <w:p w14:paraId="1C9FDC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1905" w:type="dxa"/>
            <w:vAlign w:val="center"/>
            <w:textDirection w:val="lrTb"/>
            <w:noWrap w:val="false"/>
          </w:tcPr>
          <w:p w14:paraId="1FA3B6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14:paraId="21695B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1905" w:type="dxa"/>
            <w:vAlign w:val="center"/>
            <w:textDirection w:val="lrTb"/>
            <w:noWrap w:val="false"/>
          </w:tcPr>
          <w:p w14:paraId="4A9673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1905" w:type="dxa"/>
            <w:vAlign w:val="center"/>
            <w:textDirection w:val="lrTb"/>
            <w:noWrap w:val="false"/>
          </w:tcPr>
          <w:p w14:paraId="40DE3C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14:paraId="193890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14:paraId="5AFCE806">
      <w:pPr>
        <w:pBdr>
          <w:top w:val="none" w:color="000000" w:sz="4" w:space="0"/>
          <w:left w:val="none" w:color="000000" w:sz="4" w:space="0"/>
          <w:bottom w:val="none" w:color="000000" w:sz="4" w:space="0"/>
          <w:right w:val="none" w:color="000000" w:sz="4" w:space="0"/>
        </w:pBdr>
        <w:spacing w:after="60" w:before="60"/>
        <w:ind w:right="0" w:firstLine="425" w:left="0"/>
        <w:jc w:val="both"/>
        <w:rPr/>
      </w:pPr>
      <w:r>
        <w:rPr>
          <w:rFonts w:ascii="Times New Roman" w:hAnsi="Times New Roman" w:eastAsia="Times New Roman" w:cs="Times New Roman"/>
          <w:color w:val="000000"/>
          <w:sz w:val="24"/>
        </w:rPr>
        <w:t xml:space="preserve"> </w:t>
      </w:r>
      <w:r/>
    </w:p>
    <w:p w14:paraId="4528F10D">
      <w:pPr>
        <w:numPr>
          <w:ilvl w:val="0"/>
          <w:numId w:val="39"/>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chi phí thay thế:</w:t>
      </w:r>
      <w:r/>
    </w:p>
    <w:p w14:paraId="2221BEB2">
      <w:pPr>
        <w:pBdr>
          <w:top w:val="none" w:color="000000" w:sz="4" w:space="0"/>
          <w:left w:val="none" w:color="000000" w:sz="4" w:space="0"/>
          <w:bottom w:val="none" w:color="000000" w:sz="4" w:space="0"/>
          <w:right w:val="none" w:color="000000" w:sz="4" w:space="0"/>
        </w:pBdr>
        <w:spacing w:after="60" w:before="60"/>
        <w:ind w:right="0" w:firstLine="425" w:left="0"/>
        <w:jc w:val="both"/>
        <w:rPr/>
      </w:pPr>
      <w:r>
        <w:rPr>
          <w:rFonts w:ascii="Times New Roman" w:hAnsi="Times New Roman" w:eastAsia="Times New Roman" w:cs="Times New Roman"/>
          <w:color w:val="000000"/>
          <w:sz w:val="24"/>
        </w:rPr>
        <w:t xml:space="preserve">Qua th</w:t>
      </w:r>
      <w:r>
        <w:rPr>
          <w:rFonts w:ascii="Times New Roman" w:hAnsi="Times New Roman" w:eastAsia="Times New Roman" w:cs="Times New Roman"/>
          <w:color w:val="000000"/>
          <w:sz w:val="24"/>
        </w:rPr>
        <w:t xml:space="preserve">am khảo thị trường về đơn giá xây dựng mới đối với công trình Khách sạn 10 tầng, cân nhắc và xem xét với mức độ hoàn thiện của công trình xây dựng hiện có, Tổ thẩm định nhận thấy đơn giá vận dụng theo Quyết định số 409/QĐ-BXD ngày 11 tháng 4 năm 2025 của B</w:t>
      </w:r>
      <w:r>
        <w:rPr>
          <w:rFonts w:ascii="Times New Roman" w:hAnsi="Times New Roman" w:eastAsia="Times New Roman" w:cs="Times New Roman"/>
          <w:color w:val="000000"/>
          <w:sz w:val="24"/>
        </w:rPr>
        <w:t xml:space="preserve">ộ Xây dựng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z w:val="24"/>
          <w:highlight w:val="white"/>
        </w:rPr>
        <w:t xml:space="preserve"> </w:t>
      </w:r>
      <w:r/>
    </w:p>
    <w:p w14:paraId="2F3CAB66">
      <w:pPr>
        <w:pBdr>
          <w:top w:val="none" w:color="000000" w:sz="4" w:space="0"/>
          <w:left w:val="none" w:color="000000" w:sz="4" w:space="0"/>
          <w:bottom w:val="none" w:color="000000" w:sz="4" w:space="0"/>
          <w:right w:val="none" w:color="000000" w:sz="4" w:space="0"/>
        </w:pBdr>
        <w:spacing w:after="60" w:before="60"/>
        <w:ind w:right="0" w:firstLine="425" w:left="0"/>
        <w:jc w:val="both"/>
        <w:rPr>
          <w:rFonts w:ascii="Times New Roman" w:hAnsi="Times New Roman" w:eastAsia="Times New Roman" w:cs="Times New Roman"/>
          <w:sz w:val="24"/>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từ 10 đến 15 tầng, kết cấu khung chịu lực BTCT; tường bao xây gạch; sàn, mái BTCT đổ tại chỗ, có tầng hầm</w:t>
      </w:r>
      <w:r>
        <w:rPr>
          <w:rFonts w:ascii="Times New Roman" w:hAnsi="Times New Roman" w:eastAsia="Times New Roman" w:cs="Times New Roman"/>
          <w:i/>
          <w:color w:val="000000"/>
          <w:sz w:val="24"/>
        </w:rPr>
        <w:t xml:space="preserve"> là </w:t>
      </w:r>
      <w:r>
        <w:rPr>
          <w:rFonts w:ascii="Times New Roman" w:hAnsi="Times New Roman" w:eastAsia="Times New Roman" w:cs="Times New Roman"/>
          <w:i/>
          <w:color w:val="000000"/>
          <w:sz w:val="24"/>
          <w:highlight w:val="none"/>
        </w:rPr>
        <w:t xml:space="preserve">11.232</w:t>
      </w:r>
      <w:r>
        <w:rPr>
          <w:rFonts w:ascii="Times New Roman" w:hAnsi="Times New Roman" w:eastAsia="Times New Roman" w:cs="Times New Roman"/>
          <w:i/>
          <w:color w:val="000000"/>
          <w:sz w:val="24"/>
          <w:highlight w:val="white"/>
        </w:rPr>
        <w:t xml:space="preserve">.000 đồng/m²”, hệ số vùng 3 – TP Đà Nẵng là 1.032 tương đương đơn giá: 11.591.424 đồng/m²”.</w:t>
      </w:r>
      <w:r>
        <w:rPr>
          <w:rFonts w:ascii="Times New Roman" w:hAnsi="Times New Roman" w:eastAsia="Times New Roman" w:cs="Times New Roman"/>
          <w:sz w:val="24"/>
        </w:rPr>
      </w:r>
    </w:p>
    <w:p w14:paraId="15062BC8">
      <w:pPr>
        <w:pBdr>
          <w:top w:val="none" w:color="000000" w:sz="4" w:space="0"/>
          <w:left w:val="none" w:color="000000" w:sz="4" w:space="0"/>
          <w:bottom w:val="none" w:color="000000" w:sz="4" w:space="0"/>
          <w:right w:val="none" w:color="000000" w:sz="4" w:space="0"/>
        </w:pBdr>
        <w:spacing w:after="60" w:before="60"/>
        <w:ind w:right="0" w:firstLine="425" w:left="0"/>
        <w:rPr/>
      </w:pPr>
      <w:r>
        <w:rPr>
          <w:rFonts w:ascii="Times New Roman" w:hAnsi="Times New Roman" w:eastAsia="Times New Roman" w:cs="Times New Roman"/>
          <w:color w:val="000000"/>
          <w:sz w:val="24"/>
        </w:rPr>
        <w:t xml:space="preserve">Do đó, Tổ thẩm định xác định chi phí thay thế của công trình là:</w:t>
      </w: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2151"/>
        <w:gridCol w:w="1637"/>
        <w:gridCol w:w="2454"/>
        <w:gridCol w:w="351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51" w:type="dxa"/>
            <w:vAlign w:val="center"/>
            <w:textDirection w:val="lrTb"/>
            <w:noWrap w:val="false"/>
          </w:tcPr>
          <w:p w14:paraId="604E436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09E7472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54" w:type="dxa"/>
            <w:vAlign w:val="center"/>
            <w:textDirection w:val="lrTb"/>
            <w:noWrap w:val="false"/>
          </w:tcPr>
          <w:p w14:paraId="02F78FB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510" w:type="dxa"/>
            <w:vAlign w:val="center"/>
            <w:textDirection w:val="lrTb"/>
            <w:noWrap w:val="false"/>
          </w:tcPr>
          <w:p w14:paraId="032FC56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151" w:type="dxa"/>
            <w:vAlign w:val="center"/>
            <w:textDirection w:val="lrTb"/>
            <w:noWrap w:val="false"/>
          </w:tcPr>
          <w:p w14:paraId="1EE9AC7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val="false"/>
          </w:tcPr>
          <w:p w14:paraId="18FBA89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54" w:type="dxa"/>
            <w:vAlign w:val="center"/>
            <w:textDirection w:val="lrTb"/>
            <w:noWrap w:val="false"/>
          </w:tcPr>
          <w:p w14:paraId="1FF8691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10" w:type="dxa"/>
            <w:vAlign w:val="center"/>
            <w:textDirection w:val="lrTb"/>
            <w:noWrap w:val="false"/>
          </w:tcPr>
          <w:p w14:paraId="0747F6A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2151" w:type="dxa"/>
            <w:vAlign w:val="center"/>
            <w:textDirection w:val="lrTb"/>
            <w:noWrap w:val="false"/>
          </w:tcPr>
          <w:p w14:paraId="0EC97AA0">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Khách sạn 10 tâng (có tầng hầm)</w:t>
            </w:r>
            <w:r/>
          </w:p>
        </w:tc>
        <w:tc>
          <w:tcPr>
            <w:tcBorders>
              <w:bottom w:val="single" w:color="000000" w:sz="8" w:space="0"/>
              <w:right w:val="single" w:color="000000" w:sz="8" w:space="0"/>
            </w:tcBorders>
            <w:tcMar>
              <w:left w:w="108" w:type="dxa"/>
              <w:top w:w="0" w:type="dxa"/>
              <w:right w:w="108" w:type="dxa"/>
              <w:bottom w:w="0" w:type="dxa"/>
            </w:tcMar>
            <w:tcW w:w="1637" w:type="dxa"/>
            <w:vAlign w:val="center"/>
            <w:textDirection w:val="lrTb"/>
            <w:noWrap/>
          </w:tcPr>
          <w:p w14:paraId="31158148">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1,526.1</w:t>
            </w:r>
            <w:r/>
          </w:p>
        </w:tc>
        <w:tc>
          <w:tcPr>
            <w:tcBorders>
              <w:bottom w:val="single" w:color="000000" w:sz="8" w:space="0"/>
              <w:right w:val="single" w:color="000000" w:sz="8" w:space="0"/>
            </w:tcBorders>
            <w:tcMar>
              <w:left w:w="108" w:type="dxa"/>
              <w:top w:w="0" w:type="dxa"/>
              <w:right w:w="108" w:type="dxa"/>
              <w:bottom w:w="0" w:type="dxa"/>
            </w:tcMar>
            <w:tcW w:w="2454" w:type="dxa"/>
            <w:vAlign w:val="center"/>
            <w:textDirection w:val="lrTb"/>
            <w:noWrap/>
          </w:tcPr>
          <w:p w14:paraId="7269F149">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highlight w:val="none"/>
              </w:rPr>
              <w:t xml:space="preserve">11,591,424</w:t>
            </w:r>
            <w:r>
              <w:rPr>
                <w:rFonts w:ascii="Times New Roman" w:hAnsi="Times New Roman" w:eastAsia="Times New Roman" w:cs="Times New Roman"/>
                <w:color w:val="000000"/>
                <w:sz w:val="24"/>
                <w:highlight w:val="white"/>
              </w:rPr>
            </w:r>
            <w:r/>
          </w:p>
        </w:tc>
        <w:tc>
          <w:tcPr>
            <w:tcBorders>
              <w:bottom w:val="single" w:color="000000" w:sz="8" w:space="0"/>
              <w:right w:val="single" w:color="000000" w:sz="8" w:space="0"/>
            </w:tcBorders>
            <w:tcMar>
              <w:left w:w="108" w:type="dxa"/>
              <w:top w:w="0" w:type="dxa"/>
              <w:right w:w="108" w:type="dxa"/>
              <w:bottom w:w="0" w:type="dxa"/>
            </w:tcMar>
            <w:tcW w:w="3510" w:type="dxa"/>
            <w:vAlign w:val="center"/>
            <w:textDirection w:val="lrTb"/>
            <w:noWrap/>
          </w:tcPr>
          <w:p w14:paraId="04B503E9">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17,689,672,166</w:t>
            </w:r>
            <w:r/>
          </w:p>
        </w:tc>
      </w:tr>
    </w:tbl>
    <w:p w14:paraId="22E2AAE4">
      <w:pPr>
        <w:numPr>
          <w:ilvl w:val="0"/>
          <w:numId w:val="39"/>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tổng giá trị hao mòn:</w:t>
      </w:r>
      <w:r/>
    </w:p>
    <w:p w14:paraId="62FE4AE0">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z w:val="24"/>
        </w:rPr>
        <w:t xml:space="preserve">Tổng giá trị hao mòn của công trình xây dựng được xác định bằng kỹ thuật tổng cộng</w:t>
      </w:r>
      <w:r/>
    </w:p>
    <w:p w14:paraId="45A2A611">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color w:val="000000"/>
          <w:sz w:val="24"/>
        </w:rPr>
        <w:t xml:space="preserve">Kỹ thuật tổng cộng: Tổng giá trị hao mòn của tài sản được xác định thông qua tổng giá trị các loại hao mòn vật lý, chức năng và ngoại biên của tài sản: </w:t>
      </w:r>
      <w:r/>
    </w:p>
    <w:p w14:paraId="54280C7C">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color w:val="000000"/>
          <w:sz w:val="24"/>
        </w:rPr>
        <w:t xml:space="preserve">+ Hao mòn vật lý: Tỷ lệ hao mòn vật lý theo kỹ thuật tổng cộng được đánh giá dựa trên cơ sở các thông tin, khảo sát tài sản thẩm định giá, kết hợp sử dụng các văn bản pháp luật hướng dẫn để đánh giá tỷ trọng của từng kết cấu chính trong tổng giá trị tài sả</w:t>
      </w:r>
      <w:r>
        <w:rPr>
          <w:rFonts w:ascii="Times New Roman" w:hAnsi="Times New Roman" w:eastAsia="Times New Roman" w:cs="Times New Roman"/>
          <w:color w:val="000000"/>
          <w:sz w:val="24"/>
        </w:rPr>
        <w:t xml:space="preserve">n, mức độ hư hỏng, chất lượng còn lại của từng kết cấu chính; từ đó, xác định tỷ lệ % giá trị hao mòn vật lý của tài sản thẩm định giá theo công thức sau:</w:t>
      </w:r>
      <w:r/>
    </w:p>
    <w:p w14:paraId="2B0DC6BA">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0"/>
        </w:rPr>
        <w:t xml:space="preserve">Trong đó:</w:t>
      </w:r>
      <w:r>
        <w:rPr>
          <w:rFonts w:ascii="Times New Roman" w:hAnsi="Times New Roman" w:eastAsia="Times New Roman" w:cs="Times New Roman"/>
        </w:rPr>
      </w:r>
      <w:r>
        <w:rPr>
          <w:rFonts w:ascii="Times New Roman" w:hAnsi="Times New Roman" w:cs="Times New Roman"/>
        </w:rPr>
      </w:r>
    </w:p>
    <w:p w14:paraId="4FE5E48D">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0"/>
        </w:rPr>
        <w:t xml:space="preserve">H: Tỷ lệ hao mòn vật lý của tài sản thẩm định giá tính theo tỷ lệ %;</w:t>
      </w:r>
      <w:r>
        <w:rPr>
          <w:rFonts w:ascii="Times New Roman" w:hAnsi="Times New Roman" w:eastAsia="Times New Roman" w:cs="Times New Roman"/>
        </w:rPr>
      </w:r>
      <w:r>
        <w:rPr>
          <w:rFonts w:ascii="Times New Roman" w:hAnsi="Times New Roman" w:cs="Times New Roman"/>
        </w:rPr>
      </w:r>
    </w:p>
    <w:p w14:paraId="3DD42FB2">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0"/>
        </w:rPr>
        <w:t xml:space="preserve">H</w:t>
      </w:r>
      <w:r>
        <w:rPr>
          <w:rFonts w:ascii="Times New Roman" w:hAnsi="Times New Roman" w:eastAsia="Times New Roman" w:cs="Times New Roman"/>
          <w:i/>
          <w:color w:val="000000"/>
          <w:sz w:val="17"/>
          <w:vertAlign w:val="subscript"/>
        </w:rPr>
        <w:t xml:space="preserve">i</w:t>
      </w:r>
      <w:r>
        <w:rPr>
          <w:rFonts w:ascii="Times New Roman" w:hAnsi="Times New Roman" w:eastAsia="Times New Roman" w:cs="Times New Roman"/>
          <w:i/>
          <w:color w:val="000000"/>
          <w:sz w:val="20"/>
        </w:rPr>
        <w:t xml:space="preserve">: Hao mòn vật lý của kết cấu chính thứ i tính theo tỷ lệ %;</w:t>
      </w:r>
      <w:r>
        <w:rPr>
          <w:rFonts w:ascii="Times New Roman" w:hAnsi="Times New Roman" w:eastAsia="Times New Roman" w:cs="Times New Roman"/>
        </w:rPr>
      </w:r>
      <w:r>
        <w:rPr>
          <w:rFonts w:ascii="Times New Roman" w:hAnsi="Times New Roman" w:cs="Times New Roman"/>
        </w:rPr>
      </w:r>
    </w:p>
    <w:p w14:paraId="16DEFDC9">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0"/>
        </w:rPr>
        <w:t xml:space="preserve">T</w:t>
      </w:r>
      <w:r>
        <w:rPr>
          <w:rFonts w:ascii="Times New Roman" w:hAnsi="Times New Roman" w:eastAsia="Times New Roman" w:cs="Times New Roman"/>
          <w:i/>
          <w:color w:val="000000"/>
          <w:sz w:val="17"/>
          <w:vertAlign w:val="subscript"/>
        </w:rPr>
        <w:t xml:space="preserve">i</w:t>
      </w:r>
      <w:r>
        <w:rPr>
          <w:rFonts w:ascii="Times New Roman" w:hAnsi="Times New Roman" w:eastAsia="Times New Roman" w:cs="Times New Roman"/>
          <w:i/>
          <w:color w:val="000000"/>
          <w:sz w:val="20"/>
        </w:rPr>
        <w:t xml:space="preserve">: Tỷ trọng của kết cấu chính thứ i trong tổng giá trị tài sản thẩm định giá;</w:t>
      </w:r>
      <w:r>
        <w:rPr>
          <w:rFonts w:ascii="Times New Roman" w:hAnsi="Times New Roman" w:eastAsia="Times New Roman" w:cs="Times New Roman"/>
        </w:rPr>
      </w:r>
      <w:r>
        <w:rPr>
          <w:rFonts w:ascii="Times New Roman" w:hAnsi="Times New Roman" w:cs="Times New Roman"/>
        </w:rPr>
      </w:r>
    </w:p>
    <w:p w14:paraId="71CDDEB5">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0"/>
        </w:rPr>
        <w:t xml:space="preserve">n: Tổng số kết cấu chính của tài sản thẩm định giá;</w:t>
      </w:r>
      <w:r>
        <w:rPr>
          <w:rFonts w:ascii="Times New Roman" w:hAnsi="Times New Roman" w:eastAsia="Times New Roman" w:cs="Times New Roman"/>
        </w:rPr>
      </w:r>
      <w:r>
        <w:rPr>
          <w:rFonts w:ascii="Times New Roman" w:hAnsi="Times New Roman" w:cs="Times New Roman"/>
        </w:rPr>
      </w:r>
    </w:p>
    <w:p w14:paraId="1A3B0FFA">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rFonts w:ascii="Times New Roman" w:hAnsi="Times New Roman" w:cs="Times New Roman"/>
        </w:rPr>
      </w:pPr>
      <w:r>
        <w:rPr>
          <w:rFonts w:ascii="Times New Roman" w:hAnsi="Times New Roman" w:eastAsia="Times New Roman" w:cs="Times New Roman"/>
          <w:i/>
          <w:color w:val="000000"/>
          <w:sz w:val="20"/>
        </w:rPr>
        <w:t xml:space="preserve">i: kết cấu chính thứ i.</w:t>
      </w:r>
      <w:r>
        <w:rPr>
          <w:rFonts w:ascii="Times New Roman" w:hAnsi="Times New Roman" w:eastAsia="Times New Roman" w:cs="Times New Roman"/>
        </w:rPr>
      </w:r>
      <w:r>
        <w:rPr>
          <w:rFonts w:ascii="Times New Roman" w:hAnsi="Times New Roman" w:cs="Times New Roman"/>
        </w:rPr>
      </w:r>
    </w:p>
    <w:p w14:paraId="3791E7B8">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pPr>
      <w:r>
        <w:rPr>
          <w:rFonts w:ascii="Times New Roman" w:hAnsi="Times New Roman" w:eastAsia="Times New Roman" w:cs="Times New Roman"/>
          <w:color w:val="000000"/>
          <w:sz w:val="24"/>
        </w:rPr>
        <w:t xml:space="preserve">Vận dụng Công văn số 1326/BXD-QLN của Bộ Xây dựng ngày 15/8/2011 về việc hướng dẫn kiểm kê, đánh giá lại giá trị tài sản cố định là nhà, vật kiến trúc</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Tỷ lệ hao mòn của tài sản được xác định như sau:</w:t>
      </w: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4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3DA8F9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71F72F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62DE2B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09F51B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72909E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độ đóng góp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E0F2B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1D0058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1A0E69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5265D5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1B30D9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3A992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39D358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526635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0BE26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4C769D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97C90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68DF46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4A1BA9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5223C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080AB1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436B59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554086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D54AE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4DC218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69846E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BB099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8DED2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0D8A57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E1AA7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B38FE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6EF3F5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321611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2E776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410D1B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67A7F2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4222D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18404A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AE6C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382378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69C331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50CA87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30631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07B16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BB346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006F5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2172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15E792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hao mòn vật lý:</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19010C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3466EB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658DC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36%</w:t>
            </w:r>
            <w:r/>
          </w:p>
        </w:tc>
      </w:tr>
    </w:tbl>
    <w:p w14:paraId="340BF02B">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r>
      <w:r/>
    </w:p>
    <w:p w14:paraId="1CBE881D">
      <w:pPr>
        <w:pBdr>
          <w:top w:val="none" w:color="000000" w:sz="4" w:space="0"/>
          <w:left w:val="none" w:color="000000" w:sz="4" w:space="0"/>
          <w:bottom w:val="none" w:color="000000" w:sz="4" w:space="0"/>
          <w:right w:val="none" w:color="000000" w:sz="4" w:space="0"/>
        </w:pBdr>
        <w:spacing w:after="0" w:before="120" w:line="360" w:lineRule="auto"/>
        <w:ind w:right="0" w:firstLine="0" w:left="357"/>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Tổ thẩm định xác định Tỷ lệ hao mòn của công trình xây dựng theo phương pháp tổng cộng là: 36%.</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14:paraId="5EFAF6D4">
      <w:pPr>
        <w:numPr>
          <w:ilvl w:val="0"/>
          <w:numId w:val="42"/>
        </w:numPr>
        <w:pBdr>
          <w:top w:val="none" w:color="000000" w:sz="4" w:space="0"/>
          <w:left w:val="none" w:color="000000" w:sz="4" w:space="0"/>
          <w:bottom w:val="none" w:color="000000" w:sz="4" w:space="0"/>
          <w:right w:val="none" w:color="000000" w:sz="4" w:space="0"/>
        </w:pBdr>
        <w:spacing w:line="312" w:lineRule="auto"/>
        <w:ind/>
        <w:jc w:val="both"/>
        <w:rPr/>
      </w:pPr>
      <w:r>
        <w:rPr>
          <w:rFonts w:ascii="Times New Roman" w:hAnsi="Times New Roman" w:eastAsia="Times New Roman" w:cs="Times New Roman"/>
          <w:b/>
          <w:i/>
          <w:color w:val="000000"/>
          <w:sz w:val="24"/>
        </w:rPr>
        <w:t xml:space="preserve">Xác định giá trị công trình xây dựng: </w:t>
      </w:r>
      <w:r/>
    </w:p>
    <w:tbl>
      <w:tblPr>
        <w:tblStyle w:val="1037"/>
        <w:tblInd w:w="0" w:type="dxa"/>
        <w:tblW w:w="520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724"/>
        <w:gridCol w:w="1968"/>
        <w:gridCol w:w="1242"/>
        <w:gridCol w:w="1276"/>
        <w:gridCol w:w="1746"/>
        <w:gridCol w:w="1968"/>
      </w:tblGrid>
      <w:tr>
        <w:trPr>
          <w:trHeight w:val="20"/>
        </w:trPr>
        <w:tc>
          <w:tcPr>
            <w:tcBorders>
              <w:top w:val="single" w:color="000000" w:sz="4" w:space="0"/>
              <w:left w:val="single" w:color="000000" w:sz="4" w:space="0"/>
              <w:bottom w:val="single" w:color="000000" w:sz="8" w:space="0"/>
              <w:right w:val="single" w:color="000000" w:sz="8" w:space="0"/>
            </w:tcBorders>
            <w:tcMar>
              <w:left w:w="108" w:type="dxa"/>
              <w:top w:w="0" w:type="dxa"/>
              <w:right w:w="108" w:type="dxa"/>
              <w:bottom w:w="0" w:type="dxa"/>
            </w:tcMar>
            <w:tcW w:w="1724" w:type="dxa"/>
            <w:vAlign w:val="center"/>
            <w:textDirection w:val="lrTb"/>
            <w:noWrap w:val="false"/>
          </w:tcPr>
          <w:p w14:paraId="3E9B8317">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68" w:type="dxa"/>
            <w:vAlign w:val="center"/>
            <w:textDirection w:val="lrTb"/>
            <w:noWrap w:val="false"/>
          </w:tcPr>
          <w:p w14:paraId="3F9854DD">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79123731">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Tỷ lệ hao mòn (%)</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F8D4AFC">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Tỷ lệ CLCL (%)</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46" w:type="dxa"/>
            <w:vAlign w:val="center"/>
            <w:textDirection w:val="lrTb"/>
            <w:noWrap w:val="false"/>
          </w:tcPr>
          <w:p w14:paraId="5A630AE3">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4" w:space="0"/>
              <w:bottom w:val="single" w:color="000000" w:sz="8" w:space="0"/>
              <w:right w:val="single" w:color="000000" w:sz="4" w:space="0"/>
            </w:tcBorders>
            <w:tcMar>
              <w:left w:w="108" w:type="dxa"/>
              <w:top w:w="0" w:type="dxa"/>
              <w:right w:w="108" w:type="dxa"/>
              <w:bottom w:w="0" w:type="dxa"/>
            </w:tcMar>
            <w:tcW w:w="1968" w:type="dxa"/>
            <w:vAlign w:val="center"/>
            <w:textDirection w:val="lrTb"/>
            <w:noWrap w:val="false"/>
          </w:tcPr>
          <w:p w14:paraId="35B5999D">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4" w:space="0"/>
              <w:bottom w:val="single" w:color="000000" w:sz="8" w:space="0"/>
              <w:right w:val="single" w:color="000000" w:sz="8" w:space="0"/>
            </w:tcBorders>
            <w:tcMar>
              <w:left w:w="108" w:type="dxa"/>
              <w:top w:w="0" w:type="dxa"/>
              <w:right w:w="108" w:type="dxa"/>
              <w:bottom w:w="0" w:type="dxa"/>
            </w:tcMar>
            <w:tcW w:w="1724" w:type="dxa"/>
            <w:vAlign w:val="center"/>
            <w:textDirection w:val="lrTb"/>
            <w:noWrap w:val="false"/>
          </w:tcPr>
          <w:p w14:paraId="1281F939">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68" w:type="dxa"/>
            <w:vAlign w:val="center"/>
            <w:textDirection w:val="lrTb"/>
            <w:noWrap w:val="false"/>
          </w:tcPr>
          <w:p w14:paraId="763077C1">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5B859591">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1AD60DC">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(4)=1-(3)</w:t>
            </w:r>
            <w:r/>
          </w:p>
        </w:tc>
        <w:tc>
          <w:tcPr>
            <w:tcBorders>
              <w:bottom w:val="single" w:color="000000" w:sz="8" w:space="0"/>
              <w:right w:val="single" w:color="000000" w:sz="8" w:space="0"/>
            </w:tcBorders>
            <w:tcMar>
              <w:left w:w="108" w:type="dxa"/>
              <w:top w:w="0" w:type="dxa"/>
              <w:right w:w="108" w:type="dxa"/>
              <w:bottom w:w="0" w:type="dxa"/>
            </w:tcMar>
            <w:tcW w:w="1746" w:type="dxa"/>
            <w:vAlign w:val="center"/>
            <w:textDirection w:val="lrTb"/>
            <w:noWrap w:val="false"/>
          </w:tcPr>
          <w:p w14:paraId="3D5E562F">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(5)=(2)*(3)</w:t>
            </w:r>
            <w:r/>
          </w:p>
        </w:tc>
        <w:tc>
          <w:tcPr>
            <w:tcBorders>
              <w:bottom w:val="single" w:color="000000" w:sz="8" w:space="0"/>
              <w:right w:val="single" w:color="000000" w:sz="4" w:space="0"/>
            </w:tcBorders>
            <w:tcMar>
              <w:left w:w="108" w:type="dxa"/>
              <w:top w:w="0" w:type="dxa"/>
              <w:right w:w="108" w:type="dxa"/>
              <w:bottom w:w="0" w:type="dxa"/>
            </w:tcMar>
            <w:tcW w:w="1968" w:type="dxa"/>
            <w:vAlign w:val="center"/>
            <w:textDirection w:val="lrTb"/>
            <w:noWrap w:val="false"/>
          </w:tcPr>
          <w:p w14:paraId="1AB44B44">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(6) = (2) - (4)</w:t>
            </w:r>
            <w:r/>
          </w:p>
        </w:tc>
      </w:tr>
      <w:tr>
        <w:trPr>
          <w:trHeight w:val="455"/>
        </w:trPr>
        <w:tc>
          <w:tcPr>
            <w:tcBorders>
              <w:left w:val="single" w:color="000000" w:sz="4" w:space="0"/>
              <w:bottom w:val="single" w:color="000000" w:sz="4" w:space="0"/>
              <w:right w:val="single" w:color="000000" w:sz="8" w:space="0"/>
            </w:tcBorders>
            <w:tcMar>
              <w:left w:w="108" w:type="dxa"/>
              <w:top w:w="0" w:type="dxa"/>
              <w:right w:w="108" w:type="dxa"/>
              <w:bottom w:w="0" w:type="dxa"/>
            </w:tcMar>
            <w:tcW w:w="1724" w:type="dxa"/>
            <w:vAlign w:val="center"/>
            <w:textDirection w:val="lrTb"/>
            <w:noWrap w:val="false"/>
          </w:tcPr>
          <w:p w14:paraId="4ED68C51">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Khách sạn 10 tâng (có tầng hầm)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4" w:space="0"/>
              <w:right w:val="single" w:color="000000" w:sz="8" w:space="0"/>
            </w:tcBorders>
            <w:tcMar>
              <w:left w:w="108" w:type="dxa"/>
              <w:top w:w="0" w:type="dxa"/>
              <w:right w:w="108" w:type="dxa"/>
              <w:bottom w:w="0" w:type="dxa"/>
            </w:tcMar>
            <w:tcW w:w="1968" w:type="dxa"/>
            <w:vAlign w:val="center"/>
            <w:textDirection w:val="lrTb"/>
            <w:noWrap/>
          </w:tcPr>
          <w:p w14:paraId="505C560B">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17,689,672,166</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c>
          <w:tcPr>
            <w:tcBorders>
              <w:bottom w:val="single" w:color="000000" w:sz="4" w:space="0"/>
              <w:right w:val="single" w:color="000000" w:sz="8" w:space="0"/>
            </w:tcBorders>
            <w:tcMar>
              <w:left w:w="108" w:type="dxa"/>
              <w:top w:w="0" w:type="dxa"/>
              <w:right w:w="108" w:type="dxa"/>
              <w:bottom w:w="0" w:type="dxa"/>
            </w:tcMar>
            <w:tcW w:w="1242" w:type="dxa"/>
            <w:vAlign w:val="center"/>
            <w:textDirection w:val="lrTb"/>
            <w:noWrap w:val="false"/>
          </w:tcPr>
          <w:p w14:paraId="3ED0B5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w:t>
            </w:r>
            <w:r/>
          </w:p>
        </w:tc>
        <w:tc>
          <w:tcPr>
            <w:tcBorders>
              <w:bottom w:val="single" w:color="000000" w:sz="4" w:space="0"/>
              <w:right w:val="single" w:color="000000" w:sz="8" w:space="0"/>
            </w:tcBorders>
            <w:tcMar>
              <w:left w:w="108" w:type="dxa"/>
              <w:top w:w="0" w:type="dxa"/>
              <w:right w:w="108" w:type="dxa"/>
              <w:bottom w:w="0" w:type="dxa"/>
            </w:tcMar>
            <w:tcW w:w="1276" w:type="dxa"/>
            <w:vAlign w:val="center"/>
            <w:textDirection w:val="lrTb"/>
            <w:noWrap w:val="false"/>
          </w:tcPr>
          <w:p w14:paraId="49178BD0">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64</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4" w:space="0"/>
              <w:right w:val="single" w:color="000000" w:sz="8" w:space="0"/>
            </w:tcBorders>
            <w:tcMar>
              <w:left w:w="108" w:type="dxa"/>
              <w:top w:w="0" w:type="dxa"/>
              <w:right w:w="108" w:type="dxa"/>
              <w:bottom w:w="0" w:type="dxa"/>
            </w:tcMar>
            <w:tcW w:w="1746" w:type="dxa"/>
            <w:vAlign w:val="center"/>
            <w:textDirection w:val="lrTb"/>
            <w:noWrap/>
          </w:tcPr>
          <w:p w14:paraId="3082F3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6,368,281,980</w:t>
            </w:r>
            <w:r/>
          </w:p>
        </w:tc>
        <w:tc>
          <w:tcPr>
            <w:tcBorders>
              <w:bottom w:val="single" w:color="000000" w:sz="4" w:space="0"/>
              <w:right w:val="single" w:color="000000" w:sz="4" w:space="0"/>
            </w:tcBorders>
            <w:tcMar>
              <w:left w:w="108" w:type="dxa"/>
              <w:top w:w="0" w:type="dxa"/>
              <w:right w:w="108" w:type="dxa"/>
              <w:bottom w:w="0" w:type="dxa"/>
            </w:tcMar>
            <w:tcW w:w="1968" w:type="dxa"/>
            <w:vAlign w:val="center"/>
            <w:textDirection w:val="lrTb"/>
            <w:noWrap w:val="false"/>
          </w:tcPr>
          <w:p w14:paraId="4F0D4459">
            <w:pPr>
              <w:pBdr/>
              <w:spacing w:after="40" w:before="40" w:line="288" w:lineRule="auto"/>
              <w:ind/>
              <w:jc w:val="center"/>
              <w:rPr/>
            </w:pPr>
            <w:r>
              <w:rPr>
                <w:color w:val="000000" w:themeColor="text1"/>
              </w:rPr>
              <w:t xml:space="preserve">11.321.390.186</w:t>
            </w:r>
            <w:r>
              <w:rPr>
                <w:rFonts w:ascii="Times New Roman" w:hAnsi="Times New Roman" w:eastAsia="Times New Roman" w:cs="Times New Roman"/>
                <w:color w:val="000000"/>
                <w:sz w:val="24"/>
              </w:rPr>
            </w:r>
            <w:r/>
          </w:p>
        </w:tc>
      </w:tr>
    </w:tbl>
    <w:p w14:paraId="4B506B03" w14:textId="49B8E0F8">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54932F63">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34D96906">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5322B979">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73069EC0">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E803FF0">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562B8C73">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4F327D14">
            <w:pPr>
              <w:pBdr/>
              <w:spacing w:after="40" w:before="40" w:line="288" w:lineRule="auto"/>
              <w:ind/>
              <w:jc w:val="both"/>
              <w:rPr>
                <w:b/>
                <w:bCs/>
              </w:rPr>
            </w:pPr>
            <w:r>
              <w:rPr>
                <w:color w:val="000000"/>
              </w:rPr>
            </w:r>
            <w:r>
              <w:rPr>
                <w:color w:val="000000"/>
              </w:rPr>
              <w:t xml:space="preserve">Quyền sử dụng đất tại thửa đấ</w:t>
            </w:r>
            <w:r>
              <w:rPr>
                <w:color w:val="000000"/>
              </w:rPr>
              <w:t xml:space="preserve">t số: 116, tờ bản đồ số: 56, có địa chỉ: Lô 23-B2.10 TĐC phía Đông Xưởng 38 và Xưởng 387, phường Mỹ An, quận Ngũ Hành Sơn (nay là phường Ngũ Hành Sơn), thành phố Đà Nẵng theo Giấy chứng nhận quyền sử dụng đất, quyền sở hữu nhà ở và tài sản khác gắn liền vớ</w:t>
            </w:r>
            <w:r>
              <w:rPr>
                <w:color w:val="000000"/>
              </w:rPr>
              <w:t xml:space="preserve">i đất  số: CC 842816, Số vào sổ cấp GCN: CTS90107 do Sở tài nguyên và môi trường thành phố Đà Nẵng cấp ngày 03/03/2016; chủ sử dụng đất là Bà Ngô Thị Liên (cập nhật ngày 08/03/2022)</w:t>
            </w:r>
            <w:r>
              <w:rPr>
                <w:color w:val="000000"/>
              </w:rPr>
              <w:t xml:space="preserve"> và </w:t>
            </w:r>
            <w:r>
              <w:rPr>
                <w:color w:val="000000"/>
              </w:rPr>
              <w:t xml:space="preserve">Công trình xây </w:t>
            </w:r>
            <w:r>
              <w:rPr>
                <w:color w:val="000000"/>
              </w:rPr>
              <w:t xml:space="preserve">dựng trên đất tại thửa đất số: 116, tờ bản đồ số: 56, có địa chỉ: Lô 23-B2.10 TĐC phía Đông Xưởng 38 và Xưởng 387, phường Mỹ An, quận Ngũ Hành Sơn (nay là phường Ngũ Hành Sơn), thành phố Đà Nẵng theo Giấy chứng nhận quyền sử dụng đất, quyền sở hữu nhà ở và</w:t>
            </w:r>
            <w:r>
              <w:rPr>
                <w:color w:val="000000"/>
              </w:rPr>
              <w:t xml:space="preserve"> tài sản khác gắn liền với đất  số: DC 890554, Số vào sổ cấp GCN: CT65912 do Sở tài nguyên và môi trường thành phố Đà Nẵng cấp ngày 25/01/2022; chủ sử dụng công trình xây dựng là Công ty TNHH Một thành viên Đầu tư và Xây dựng 11/3</w:t>
            </w:r>
            <w:r>
              <w:rPr>
                <w:bCs/>
                <w:i/>
                <w:iCs/>
              </w:rPr>
              <w:t xml:space="preserve">.</w:t>
            </w:r>
            <w:r>
              <w:rPr>
                <w:b/>
                <w:bCs/>
              </w:rPr>
            </w:r>
            <w:r>
              <w:rPr>
                <w:b/>
                <w:bCs/>
              </w:rPr>
            </w:r>
          </w:p>
        </w:tc>
        <w:tc>
          <w:tcPr>
            <w:shd w:val="clear" w:color="000000" w:fill="ffffff"/>
            <w:tcBorders/>
            <w:tcW w:w="2164" w:type="dxa"/>
            <w:vAlign w:val="center"/>
            <w:textDirection w:val="lrTb"/>
            <w:noWrap w:val="false"/>
          </w:tcPr>
          <w:p w14:paraId="02A0ADA4">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vMerge w:val="restart"/>
            <w:textDirection w:val="lrTb"/>
            <w:noWrap w:val="false"/>
          </w:tcPr>
          <w:p w14:paraId="2B66AF27">
            <w:pPr>
              <w:pBdr/>
              <w:spacing w:after="40" w:before="40" w:line="288" w:lineRule="auto"/>
              <w:ind/>
              <w:jc w:val="center"/>
              <w:rPr/>
            </w:pPr>
            <w:r>
              <w:rPr>
                <w:b/>
                <w:bCs/>
              </w:rPr>
              <w:t xml:space="preserve">01</w:t>
            </w:r>
            <w:r/>
          </w:p>
        </w:tc>
        <w:tc>
          <w:tcPr>
            <w:shd w:val="clear" w:color="000000" w:fill="ffffff"/>
            <w:tcBorders/>
            <w:tcW w:w="2025" w:type="dxa"/>
            <w:vAlign w:val="center"/>
            <w:vMerge w:val="restart"/>
            <w:textDirection w:val="lrTb"/>
            <w:noWrap w:val="false"/>
          </w:tcPr>
          <w:p w14:paraId="76DC49F3">
            <w:pPr>
              <w:pBdr/>
              <w:spacing w:after="40" w:before="40" w:line="288" w:lineRule="auto"/>
              <w:ind/>
              <w:rPr/>
            </w:pPr>
            <w:r>
              <w:rPr>
                <w:b/>
                <w:bCs/>
              </w:rPr>
              <w:t xml:space="preserve">Đất ở tại đô thị</w:t>
            </w:r>
            <w:r/>
          </w:p>
        </w:tc>
        <w:tc>
          <w:tcPr>
            <w:tcBorders/>
            <w:tcW w:w="1802" w:type="dxa"/>
            <w:vAlign w:val="center"/>
            <w:vMerge w:val="restart"/>
            <w:textDirection w:val="lrTb"/>
            <w:noWrap/>
          </w:tcPr>
          <w:p w14:paraId="1B85C197">
            <w:pPr>
              <w:pBdr/>
              <w:spacing w:after="40" w:before="40" w:line="288" w:lineRule="auto"/>
              <w:ind/>
              <w:jc w:val="center"/>
              <w:rPr>
                <w:color w:val="000000"/>
              </w:rPr>
            </w:pPr>
            <w:r>
              <w:rPr>
                <w:color w:val="000000" w:themeColor="text1"/>
              </w:rPr>
              <w:t xml:space="preserve">155,1</w:t>
            </w:r>
            <w:r>
              <w:rPr>
                <w:color w:val="000000"/>
              </w:rPr>
            </w:r>
            <w:r>
              <w:rPr>
                <w:color w:val="000000"/>
              </w:rPr>
            </w:r>
          </w:p>
        </w:tc>
        <w:tc>
          <w:tcPr>
            <w:shd w:val="clear" w:color="000000" w:fill="ffffff"/>
            <w:tcBorders/>
            <w:tcW w:w="2581" w:type="dxa"/>
            <w:vAlign w:val="center"/>
            <w:vMerge w:val="restart"/>
            <w:textDirection w:val="lrTb"/>
            <w:noWrap w:val="false"/>
          </w:tcPr>
          <w:p w14:paraId="297834F9">
            <w:pPr>
              <w:pBdr/>
              <w:spacing w:after="40" w:before="40" w:line="288" w:lineRule="auto"/>
              <w:ind/>
              <w:jc w:val="center"/>
              <w:rPr/>
            </w:pPr>
            <w:r>
              <w:rPr>
                <w:color w:val="000000" w:themeColor="text1"/>
              </w:rPr>
              <w:t xml:space="preserve">365.000.000</w:t>
            </w:r>
            <w:r/>
          </w:p>
        </w:tc>
        <w:tc>
          <w:tcPr>
            <w:shd w:val="clear" w:color="000000" w:fill="ffffff"/>
            <w:tcBorders/>
            <w:tcW w:w="2164" w:type="dxa"/>
            <w:vAlign w:val="center"/>
            <w:vMerge w:val="restart"/>
            <w:textDirection w:val="lrTb"/>
            <w:noWrap w:val="false"/>
          </w:tcPr>
          <w:p w14:paraId="5A6F01F1">
            <w:pPr>
              <w:pBdr/>
              <w:spacing w:after="40" w:before="40" w:line="288" w:lineRule="auto"/>
              <w:ind/>
              <w:jc w:val="center"/>
              <w:rPr/>
            </w:pPr>
            <w:r>
              <w:rPr>
                <w:color w:val="000000" w:themeColor="text1"/>
              </w:rPr>
              <w:t xml:space="preserve">56.611.500.000</w:t>
            </w:r>
            <w:r/>
          </w:p>
        </w:tc>
      </w:tr>
      <w:tr>
        <w:trPr>
          <w:trHeight w:val="20"/>
        </w:trPr>
        <w:tc>
          <w:tcPr>
            <w:shd w:val="clear" w:color="000000" w:fill="ffffff"/>
            <w:tcBorders/>
            <w:tcW w:w="952" w:type="dxa"/>
            <w:vAlign w:val="center"/>
            <w:textDirection w:val="lrTb"/>
            <w:noWrap w:val="false"/>
          </w:tcPr>
          <w:p w14:paraId="72475724">
            <w:pPr>
              <w:pBdr/>
              <w:spacing w:after="40" w:before="40" w:line="288" w:lineRule="auto"/>
              <w:ind/>
              <w:jc w:val="center"/>
              <w:rPr/>
            </w:pPr>
            <w:r>
              <w:rPr>
                <w:b/>
                <w:bCs/>
              </w:rPr>
              <w:t xml:space="preserve">02</w:t>
            </w:r>
            <w:r/>
          </w:p>
        </w:tc>
        <w:tc>
          <w:tcPr>
            <w:shd w:val="clear" w:color="000000" w:fill="ffffff"/>
            <w:tcBorders/>
            <w:tcW w:w="2025" w:type="dxa"/>
            <w:vAlign w:val="center"/>
            <w:textDirection w:val="lrTb"/>
            <w:noWrap w:val="false"/>
          </w:tcPr>
          <w:p w14:paraId="2686D1D5">
            <w:pPr>
              <w:pBdr/>
              <w:spacing w:after="40" w:before="40" w:line="288" w:lineRule="auto"/>
              <w:ind/>
              <w:rPr/>
            </w:pPr>
            <w:r>
              <w:rPr>
                <w:b/>
                <w:bCs/>
              </w:rPr>
              <w:t xml:space="preserve">Công trình xây dựng</w:t>
            </w:r>
            <w:r/>
          </w:p>
        </w:tc>
        <w:tc>
          <w:tcPr>
            <w:tcBorders/>
            <w:tcW w:w="1802" w:type="dxa"/>
            <w:vAlign w:val="center"/>
            <w:textDirection w:val="lrTb"/>
            <w:noWrap/>
          </w:tcPr>
          <w:p w14:paraId="4A738D67">
            <w:pPr>
              <w:pBdr/>
              <w:spacing w:after="40" w:before="40" w:line="288" w:lineRule="auto"/>
              <w:ind/>
              <w:jc w:val="center"/>
              <w:rPr>
                <w:color w:val="000000"/>
              </w:rPr>
            </w:pPr>
            <w:r>
              <w:rPr>
                <w:color w:val="000000" w:themeColor="text1"/>
              </w:rPr>
              <w:t xml:space="preserve">1.526.1</w:t>
            </w:r>
            <w:r>
              <w:rPr>
                <w:color w:val="000000"/>
              </w:rPr>
            </w:r>
            <w:r>
              <w:rPr>
                <w:color w:val="000000"/>
              </w:rPr>
            </w:r>
          </w:p>
        </w:tc>
        <w:tc>
          <w:tcPr>
            <w:shd w:val="clear" w:color="000000" w:fill="ffffff"/>
            <w:tcBorders/>
            <w:tcW w:w="2581" w:type="dxa"/>
            <w:vAlign w:val="center"/>
            <w:textDirection w:val="lrTb"/>
            <w:noWrap w:val="false"/>
          </w:tcPr>
          <w:p w14:paraId="219F72BE">
            <w:pPr>
              <w:pBdr/>
              <w:spacing w:after="40" w:before="40" w:line="288" w:lineRule="auto"/>
              <w:ind/>
              <w:jc w:val="center"/>
              <w:rPr>
                <w:highlight w:val="yellow"/>
              </w:rPr>
            </w:pPr>
            <w:r>
              <w:rPr>
                <w:highlight w:val="yellow"/>
              </w:rPr>
            </w:r>
            <w:r>
              <w:rPr>
                <w:highlight w:val="yellow"/>
              </w:rPr>
            </w:r>
          </w:p>
        </w:tc>
        <w:tc>
          <w:tcPr>
            <w:shd w:val="clear" w:color="000000" w:fill="ffffff"/>
            <w:tcBorders/>
            <w:tcW w:w="2164" w:type="dxa"/>
            <w:vAlign w:val="center"/>
            <w:textDirection w:val="lrTb"/>
            <w:noWrap w:val="false"/>
          </w:tcPr>
          <w:p w14:paraId="49833632">
            <w:pPr>
              <w:pBdr/>
              <w:spacing w:after="40" w:before="40" w:line="288" w:lineRule="auto"/>
              <w:ind/>
              <w:jc w:val="center"/>
              <w:rPr/>
            </w:pPr>
            <w:r>
              <w:rPr>
                <w:color w:val="000000" w:themeColor="text1"/>
              </w:rPr>
              <w:t xml:space="preserve">11.321.390.186</w:t>
            </w:r>
            <w:r/>
          </w:p>
        </w:tc>
      </w:tr>
      <w:tr>
        <w:trPr>
          <w:trHeight w:val="20"/>
        </w:trPr>
        <w:tc>
          <w:tcPr>
            <w:gridSpan w:val="4"/>
            <w:tcBorders/>
            <w:tcW w:w="7361" w:type="dxa"/>
            <w:vAlign w:val="center"/>
            <w:textDirection w:val="lrTb"/>
            <w:noWrap/>
          </w:tcPr>
          <w:p w14:paraId="580D4E78">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40AFC1DE">
            <w:pPr>
              <w:pBdr/>
              <w:spacing w:after="40" w:before="40" w:line="288" w:lineRule="auto"/>
              <w:ind/>
              <w:jc w:val="center"/>
              <w:rPr>
                <w:b/>
                <w:bCs/>
                <w:color w:val="000000"/>
              </w:rPr>
            </w:pPr>
            <w:r>
              <w:t xml:space="preserve">67.932.890.186</w:t>
            </w:r>
            <w:r>
              <w:rPr>
                <w:b/>
                <w:bCs/>
                <w:color w:val="000000"/>
              </w:rPr>
            </w:r>
            <w:r>
              <w:rPr>
                <w:b/>
                <w:bCs/>
                <w:color w:val="000000"/>
              </w:rPr>
            </w:r>
          </w:p>
        </w:tc>
      </w:tr>
      <w:tr>
        <w:trPr>
          <w:trHeight w:val="20"/>
        </w:trPr>
        <w:tc>
          <w:tcPr>
            <w:gridSpan w:val="4"/>
            <w:tcBorders/>
            <w:tcW w:w="7361" w:type="dxa"/>
            <w:vAlign w:val="center"/>
            <w:textDirection w:val="lrTb"/>
            <w:noWrap/>
          </w:tcPr>
          <w:p w14:paraId="4E1DB0AB">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0D04626B">
            <w:pPr>
              <w:pBdr/>
              <w:spacing w:after="40" w:before="40" w:line="288" w:lineRule="auto"/>
              <w:ind/>
              <w:jc w:val="center"/>
              <w:rPr>
                <w:b/>
                <w:bCs/>
                <w:color w:val="000000"/>
              </w:rPr>
            </w:pPr>
            <w:r>
              <w:rPr>
                <w:b/>
                <w:bCs/>
                <w:color w:val="000000"/>
              </w:rPr>
              <w:t xml:space="preserve">67.933.000.000</w:t>
            </w:r>
            <w:r>
              <w:rPr>
                <w:b/>
                <w:bCs/>
                <w:color w:val="000000"/>
              </w:rPr>
            </w:r>
            <w:r>
              <w:rPr>
                <w:b/>
                <w:bCs/>
                <w:color w:val="000000"/>
              </w:rPr>
            </w:r>
          </w:p>
        </w:tc>
      </w:tr>
      <w:tr>
        <w:trPr>
          <w:trHeight w:val="20"/>
        </w:trPr>
        <w:tc>
          <w:tcPr>
            <w:gridSpan w:val="5"/>
            <w:tcBorders/>
            <w:tcW w:w="9525" w:type="dxa"/>
            <w:vAlign w:val="center"/>
            <w:textDirection w:val="lrTb"/>
            <w:noWrap w:val="false"/>
          </w:tcPr>
          <w:p w14:paraId="0C8B2D38">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mươi bảy tỷ chín trăm ba mươi ba triệu đồng</w:t>
            </w:r>
            <w:r>
              <w:rPr>
                <w:b/>
                <w:bCs/>
                <w:i/>
                <w:iCs/>
                <w:color w:val="000000"/>
              </w:rPr>
              <w:t xml:space="preserve">./.)</w:t>
            </w:r>
            <w:r>
              <w:rPr>
                <w:b/>
                <w:bCs/>
                <w:i/>
                <w:iCs/>
                <w:color w:val="000000"/>
              </w:rPr>
            </w:r>
            <w:r>
              <w:rPr>
                <w:b/>
                <w:bCs/>
                <w:i/>
                <w:iCs/>
                <w:color w:val="000000"/>
              </w:rPr>
            </w:r>
          </w:p>
        </w:tc>
      </w:tr>
    </w:tbl>
    <w:p w14:paraId="187E2E91" w14:textId="56B58432">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3"/>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7E4D2D81">
      <w:pPr>
        <w:pBdr/>
        <w:shd w:val="nil" w:color="auto"/>
        <w:spacing/>
        <w:ind/>
        <w:rPr>
          <w:lang w:val="pt-BR"/>
        </w:rPr>
      </w:pPr>
      <w:r>
        <w:rPr>
          <w:lang w:val="pt-BR"/>
        </w:rPr>
        <w:br w:type="page" w:clear="all"/>
      </w:r>
      <w:r>
        <w:rPr>
          <w:lang w:val="pt-BR"/>
        </w:rPr>
      </w:r>
      <w:r>
        <w:rPr>
          <w:lang w:val="pt-BR"/>
        </w:rPr>
      </w:r>
    </w:p>
    <w:p w14:paraId="699F9D9D" w14:textId="4418D349">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275/2025/1819/VFI-CT.44.A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275/2025/1819/VFI-BC.44.A</w:t>
      </w:r>
      <w:r>
        <w:rPr>
          <w:i/>
          <w:lang w:val="pt-BR"/>
        </w:rPr>
        <w:t xml:space="preserve"> </w:t>
      </w:r>
      <w:r>
        <w:rPr>
          <w:i/>
          <w:lang w:val="pt-BR"/>
        </w:rPr>
        <w:t xml:space="preserve">ngày 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 tiếp giáp đường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36247" cy="332374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26685" name=""/>
                              <pic:cNvPicPr>
                                <a:picLocks noChangeAspect="1"/>
                              </pic:cNvPicPr>
                              <pic:nvPr/>
                            </pic:nvPicPr>
                            <pic:blipFill rotWithShape="1">
                              <a:blip r:embed="rId17"/>
                              <a:stretch/>
                            </pic:blipFill>
                            <pic:spPr bwMode="auto">
                              <a:xfrm flipH="0" flipV="0">
                                <a:off x="0" y="0"/>
                                <a:ext cx="1536246" cy="33237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96pt;height:261.71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03741" cy="31932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56459" name=""/>
                              <pic:cNvPicPr>
                                <a:picLocks noChangeAspect="1"/>
                              </pic:cNvPicPr>
                              <pic:nvPr/>
                            </pic:nvPicPr>
                            <pic:blipFill rotWithShape="1">
                              <a:blip r:embed="rId18"/>
                              <a:stretch/>
                            </pic:blipFill>
                            <pic:spPr bwMode="auto">
                              <a:xfrm flipH="0" flipV="0">
                                <a:off x="0" y="0"/>
                                <a:ext cx="2003740" cy="3193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7.77pt;height:251.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14347" cy="21524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9759" name=""/>
                              <pic:cNvPicPr>
                                <a:picLocks noChangeAspect="1"/>
                              </pic:cNvPicPr>
                              <pic:nvPr/>
                            </pic:nvPicPr>
                            <pic:blipFill rotWithShape="1">
                              <a:blip r:embed="rId19"/>
                              <a:stretch/>
                            </pic:blipFill>
                            <pic:spPr bwMode="auto">
                              <a:xfrm flipH="0" flipV="0">
                                <a:off x="0" y="0"/>
                                <a:ext cx="1614346" cy="2152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11pt;height:169.4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jc w:val="center"/>
        <w:rPr>
          <w:highlight w:val="none"/>
        </w:rPr>
      </w:pPr>
      <w:r>
        <w:t xml:space="preserve">PHÁP LÝ</w:t>
      </w:r>
      <w:r>
        <w:rPr>
          <w:highlight w:val="none"/>
        </w:rPr>
      </w:r>
    </w:p>
    <w:p w14:paraId="71D0FB45">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6048375" cy="448388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81979" name=""/>
                        <pic:cNvPicPr>
                          <a:picLocks noChangeAspect="1"/>
                        </pic:cNvPicPr>
                        <pic:nvPr/>
                      </pic:nvPicPr>
                      <pic:blipFill rotWithShape="1">
                        <a:blip r:embed="rId23"/>
                        <a:stretch/>
                      </pic:blipFill>
                      <pic:spPr bwMode="auto">
                        <a:xfrm>
                          <a:off x="0" y="0"/>
                          <a:ext cx="6048374" cy="4483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53.06pt;mso-wrap-distance-left:0.00pt;mso-wrap-distance-top:0.00pt;mso-wrap-distance-right:0.00pt;mso-wrap-distance-bottom:0.00pt;z-index:1;" stroked="false">
                <v:imagedata r:id="rId23" o:title=""/>
                <o:lock v:ext="edit" rotation="t"/>
              </v:shape>
            </w:pict>
          </mc:Fallback>
        </mc:AlternateContent>
      </w:r>
      <w:r>
        <w:rPr>
          <w:highlight w:val="none"/>
        </w:rPr>
      </w:r>
      <w:r>
        <w:rPr>
          <w:highlight w:val="none"/>
        </w:rPr>
      </w:r>
    </w:p>
    <w:p w14:paraId="5D2A406F">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6048375" cy="456267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26081" name=""/>
                        <pic:cNvPicPr>
                          <a:picLocks noChangeAspect="1"/>
                        </pic:cNvPicPr>
                        <pic:nvPr/>
                      </pic:nvPicPr>
                      <pic:blipFill rotWithShape="1">
                        <a:blip r:embed="rId24"/>
                        <a:stretch/>
                      </pic:blipFill>
                      <pic:spPr bwMode="auto">
                        <a:xfrm>
                          <a:off x="0" y="0"/>
                          <a:ext cx="6048374" cy="4562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59.27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14:paraId="3FED2DA2">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6048375" cy="441184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1084" name=""/>
                        <pic:cNvPicPr>
                          <a:picLocks noChangeAspect="1"/>
                        </pic:cNvPicPr>
                        <pic:nvPr/>
                      </pic:nvPicPr>
                      <pic:blipFill rotWithShape="1">
                        <a:blip r:embed="rId25"/>
                        <a:stretch/>
                      </pic:blipFill>
                      <pic:spPr bwMode="auto">
                        <a:xfrm>
                          <a:off x="0" y="0"/>
                          <a:ext cx="6048374" cy="44118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47.39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14:paraId="00E184F8">
      <w:pPr>
        <w:pBdr/>
        <w:spacing/>
        <w:ind/>
        <w:jc w:val="center"/>
        <w:rPr/>
      </w:pPr>
      <w:r>
        <w:rPr>
          <w:highlight w:val="none"/>
        </w:rPr>
      </w:r>
      <w:r>
        <mc:AlternateContent>
          <mc:Choice Requires="wpg">
            <w:drawing>
              <wp:inline xmlns:wp="http://schemas.openxmlformats.org/drawingml/2006/wordprocessingDrawing" distT="0" distB="0" distL="0" distR="0">
                <wp:extent cx="6048375" cy="443395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69890" name=""/>
                        <pic:cNvPicPr>
                          <a:picLocks noChangeAspect="1"/>
                        </pic:cNvPicPr>
                        <pic:nvPr/>
                      </pic:nvPicPr>
                      <pic:blipFill rotWithShape="1">
                        <a:blip r:embed="rId26"/>
                        <a:stretch/>
                      </pic:blipFill>
                      <pic:spPr bwMode="auto">
                        <a:xfrm>
                          <a:off x="0" y="0"/>
                          <a:ext cx="6048374" cy="4433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49.13pt;mso-wrap-distance-left:0.00pt;mso-wrap-distance-top:0.00pt;mso-wrap-distance-right:0.00pt;mso-wrap-distance-bottom:0.00pt;z-index:1;" stroked="false">
                <v:imagedata r:id="rId26" o:title=""/>
                <o:lock v:ext="edit" rotation="t"/>
              </v:shape>
            </w:pict>
          </mc:Fallback>
        </mc:AlternateContent>
      </w:r>
      <w:r>
        <w:rPr>
          <w:highlight w:val="none"/>
        </w:rPr>
      </w:r>
      <w:r/>
    </w:p>
    <w:p w14:paraId="4711029F">
      <w:pPr>
        <w:pBdr/>
        <w:spacing w:after="200" w:line="276" w:lineRule="auto"/>
        <w:ind/>
        <w:jc w:val="center"/>
        <w:rPr/>
      </w:pPr>
      <w:r>
        <w:rPr>
          <w:b/>
          <w:highlight w:val="none"/>
        </w:rPr>
      </w:r>
      <w:r>
        <w:rPr>
          <w:b/>
          <w:highlight w:val="none"/>
        </w:rPr>
      </w:r>
      <w:r/>
    </w:p>
    <w:p w14:paraId="37412123" w14:textId="77777777">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275/2025/1819/VFI-BC.44.A</w:t>
      </w:r>
      <w:r>
        <w:rPr>
          <w:i/>
          <w:lang w:val="pt-BR"/>
        </w:rPr>
        <w:t xml:space="preserve"> </w:t>
      </w:r>
      <w:r>
        <w:rPr>
          <w:i/>
          <w:lang w:val="pt-BR"/>
        </w:rPr>
        <w:t xml:space="preserve">ngày 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0935807937</w:t>
            </w:r>
            <w:r>
              <w:rPr>
                <w:sz w:val="22"/>
                <w:szCs w:val="22"/>
              </w:rPr>
              <w:t xml:space="preserve"> </w:t>
            </w:r>
            <w:r>
              <w:rPr>
                <w:sz w:val="22"/>
                <w:szCs w:val="22"/>
              </w:rPr>
              <w:br/>
              <w:t xml:space="preserve">(Duy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(100.4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Mỹ An, Quận Ngũ Hành Sơn, Thành phố Đà Nẵng, đường Tiếp giáp đường Trần Bạch Đằng, độ rộng đường trước mặt tài sản 10.5m, mặt tiền 4.7m, Tiếp giáp đường Trần Bạch Đằng, 16.05891034686839, 108.24466479909323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130464" cy="28662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55719831" name="" descr=""/>
                              <pic:cNvPicPr/>
                              <pic:nvPr/>
                            </pic:nvPicPr>
                            <pic:blipFill rotWithShape="1">
                              <a:blip r:embed="rId27"/>
                              <a:stretch/>
                            </pic:blipFill>
                            <pic:spPr bwMode="auto">
                              <a:xfrm flipH="0" flipV="0">
                                <a:off x="0" y="0"/>
                                <a:ext cx="1130463" cy="28662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9.01pt;height:225.6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01354" cy="290776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28285193" name="" descr=""/>
                              <pic:cNvPicPr/>
                              <pic:nvPr/>
                            </pic:nvPicPr>
                            <pic:blipFill rotWithShape="1">
                              <a:blip r:embed="rId28"/>
                              <a:stretch/>
                            </pic:blipFill>
                            <pic:spPr bwMode="auto">
                              <a:xfrm rot="0" flipH="0" flipV="0">
                                <a:off x="0" y="0"/>
                                <a:ext cx="1201354" cy="2907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4.59pt;height:228.96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r>
    </w:tbl>
    <w:p w14:paraId="1EB7C9B6">
      <w:pPr>
        <w:pBdr/>
        <w:spacing w:after="200" w:line="276" w:lineRule="auto"/>
        <w:ind/>
        <w:jc w:val="center"/>
        <w:rPr>
          <w:b/>
          <w:bCs/>
          <w:lang w:val="pt-BR"/>
        </w:rPr>
      </w:pPr>
      <w:r>
        <w:rPr>
          <w:b/>
          <w:bCs/>
          <w:iCs/>
          <w:highlight w:val="none"/>
          <w:lang w:val="pt-BR"/>
        </w:rPr>
      </w:r>
      <w:r>
        <w:rPr>
          <w:b/>
          <w:bCs/>
          <w:iCs/>
          <w:highlight w:val="none"/>
          <w:lang w:val="pt-BR"/>
        </w:rPr>
      </w:r>
      <w:r>
        <w:rPr>
          <w:b/>
          <w:bCs/>
          <w:lang w:val="pt-BR"/>
        </w:rPr>
      </w:r>
    </w:p>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https://batdongsan.com.vn/ban-dat-duong-tran-bach-dang-phuong-my-an/sieu-pham-sot-lai-ngay-tuyen-pho-dem-thuong-cach-bai-tam-bien-chi-50m-pr41410965</w:t>
            </w:r>
            <w:r>
              <w:rPr>
                <w:color w:val="000000" w:themeColor="text1"/>
                <w:sz w:val="22"/>
                <w:szCs w:val="22"/>
              </w:rPr>
              <w:br/>
              <w:t xml:space="preserve">0905721488</w:t>
            </w:r>
            <w:r>
              <w:rPr>
                <w:sz w:val="22"/>
                <w:szCs w:val="22"/>
              </w:rPr>
              <w:t xml:space="preserve"> </w:t>
            </w:r>
            <w:r>
              <w:rPr>
                <w:sz w:val="22"/>
                <w:szCs w:val="22"/>
              </w:rPr>
              <w:br/>
              <w:t xml:space="preserve">(Mai 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56.700.000.000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(193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Phước Mỹ, Quận Sơn Trà, Thành phố Đà Nẵng, đường Tiếp giáp đường Hồ Nghi, độ rộng đường trước mặt tài sản 10.5m, mặt tiền 9.9m, Tiếp giáp đường Hồ Nghi, 16.057081571515095, 108.24525220286749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r>
            <w:r>
              <w:rPr>
                <w:color w:val="000000"/>
                <w:sz w:val="22"/>
                <w:szCs w:val="22"/>
              </w:rPr>
            </w:r>
            <w:r>
              <w:rPr>
                <w:color w:val="000000"/>
                <w:sz w:val="22"/>
                <w:szCs w:val="22"/>
              </w:rPr>
            </w:r>
          </w:p>
          <w:p w14:paraId="7633C3A5" w14:textId="77777777">
            <w:pPr>
              <w:pBdr/>
              <w:spacing w:line="276" w:lineRule="auto"/>
              <w:ind/>
              <w:rPr>
                <w:color w:val="000000"/>
                <w:sz w:val="22"/>
                <w:szCs w:val="22"/>
              </w:rPr>
            </w:pPr>
            <w:r>
              <mc:AlternateContent>
                <mc:Choice Requires="wpg">
                  <w:drawing>
                    <wp:inline xmlns:wp="http://schemas.openxmlformats.org/drawingml/2006/wordprocessingDrawing" distT="0" distB="0" distL="0" distR="0">
                      <wp:extent cx="6048375" cy="373185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93085" name=""/>
                              <pic:cNvPicPr>
                                <a:picLocks noChangeAspect="1"/>
                              </pic:cNvPicPr>
                              <pic:nvPr/>
                            </pic:nvPicPr>
                            <pic:blipFill rotWithShape="1">
                              <a:blip r:embed="rId29"/>
                              <a:stretch/>
                            </pic:blipFill>
                            <pic:spPr bwMode="auto">
                              <a:xfrm>
                                <a:off x="0" y="0"/>
                                <a:ext cx="6048374" cy="3731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293.85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mc:AlternateContent>
                <mc:Choice Requires="wpg">
                  <w:drawing>
                    <wp:inline xmlns:wp="http://schemas.openxmlformats.org/drawingml/2006/wordprocessingDrawing" distT="0" distB="0" distL="0" distR="0">
                      <wp:extent cx="5295009" cy="52032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4018" name=""/>
                              <pic:cNvPicPr>
                                <a:picLocks noChangeAspect="1"/>
                              </pic:cNvPicPr>
                              <pic:nvPr/>
                            </pic:nvPicPr>
                            <pic:blipFill rotWithShape="1">
                              <a:blip r:embed="rId30"/>
                              <a:stretch/>
                            </pic:blipFill>
                            <pic:spPr bwMode="auto">
                              <a:xfrm flipH="0" flipV="0">
                                <a:off x="0" y="0"/>
                                <a:ext cx="5295009" cy="5203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6.93pt;height:409.71pt;mso-wrap-distance-left:0.00pt;mso-wrap-distance-top:0.00pt;mso-wrap-distance-right:0.00pt;mso-wrap-distance-bottom:0.00pt;z-index:1;" stroked="false">
                      <v:imagedata r:id="rId30" o:title=""/>
                      <o:lock v:ext="edit" rotation="t"/>
                    </v:shape>
                  </w:pict>
                </mc:Fallback>
              </mc:AlternateContent>
            </w:r>
            <w:r>
              <w:rPr>
                <w:b/>
                <w:bCs/>
                <w:sz w:val="22"/>
                <w:szCs w:val="22"/>
              </w:rPr>
            </w:r>
            <w:r>
              <w:rPr>
                <w:b/>
                <w:bCs/>
                <w:sz w:val="22"/>
                <w:szCs w:val="22"/>
              </w:rP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https://alonhadat.com.vn/-ban-2-lo-doi-mat-pho-ho-nghinh-245m-mat-tien-10m-dong-tien-on-dinh--17910176.html</w:t>
            </w:r>
            <w:r>
              <w:rPr>
                <w:color w:val="000000" w:themeColor="text1"/>
                <w:sz w:val="22"/>
                <w:szCs w:val="22"/>
              </w:rPr>
              <w:br/>
            </w:r>
            <w:r>
              <w:rPr>
                <w:sz w:val="22"/>
                <w:szCs w:val="22"/>
              </w:rPr>
              <w:t xml:space="preserve">SĐT: </w:t>
            </w:r>
            <w:r>
              <w:rPr>
                <w:color w:val="000000" w:themeColor="text1"/>
                <w:sz w:val="22"/>
                <w:szCs w:val="22"/>
              </w:rPr>
              <w:t xml:space="preserve">0981.355.086</w:t>
            </w:r>
            <w:r>
              <w:rPr>
                <w:sz w:val="22"/>
                <w:szCs w:val="22"/>
              </w:rPr>
              <w:t xml:space="preserve"> </w:t>
            </w:r>
            <w:r>
              <w:rPr>
                <w:sz w:val="22"/>
                <w:szCs w:val="22"/>
              </w:rPr>
              <w:br/>
              <w:t xml:space="preserve">(Lý Tuyết 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63.900.000.000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(245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Phước Mỹ, Quận Sơn Trà, Thành phố Đà Nẵng, đường Tiếp giáp đường Minh Nghi, độ rộng đường trước mặt tài sản 10.5m, mặt tiền 10m, Tiếp giáp đường Minh Nghi, 16.05887168371554, 108.24474124205015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245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8558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5855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1.0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8558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5855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1.0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0CD68BD3">
      <w:pPr>
        <w:pBdr/>
        <w:shd w:val="nil" w:color="auto"/>
        <w:spacing/>
        <w:ind/>
        <w:rPr>
          <w:lang w:val="pt-BR"/>
        </w:rPr>
      </w:pPr>
      <w:r>
        <w:rPr>
          <w:lang w:val="pt-BR"/>
        </w:rPr>
        <w:br w:type="page" w:clear="all"/>
      </w:r>
      <w:r>
        <w:rPr>
          <w:lang w:val="pt-BR"/>
        </w:rPr>
      </w:r>
      <w:r>
        <w:rPr>
          <w:lang w:val="pt-BR"/>
        </w:rPr>
      </w:r>
    </w:p>
    <w:p w14:paraId="3CD2AF6D">
      <w:pPr>
        <w:pBdr/>
        <w:shd w:val="nil" w:color="auto"/>
        <w:spacing/>
        <w:ind/>
        <w:jc w:val="center"/>
        <w:rPr>
          <w:highlight w:val="none"/>
          <w:lang w:val="pt-BR"/>
        </w:rPr>
      </w:pPr>
      <w:r>
        <w:rPr>
          <w:lang w:val="pt-BR"/>
        </w:rPr>
        <w:t xml:space="preserve">BIÊN BẢN KHẢO SÁT</w:t>
      </w:r>
      <w:r>
        <w:rPr>
          <w:lang w:val="pt-BR"/>
        </w:rPr>
      </w:r>
      <w:r>
        <w:rPr>
          <w:highlight w:val="none"/>
          <w:lang w:val="pt-BR"/>
        </w:rPr>
      </w:r>
    </w:p>
    <w:p w14:paraId="36E6A10D">
      <w:pPr>
        <w:pBdr/>
        <w:shd w:val="nil" w:color="000000"/>
        <w:spacing/>
        <w:ind/>
        <w:jc w:val="center"/>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82798"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3" o:title=""/>
                <o:lock v:ext="edit" rotation="t"/>
              </v:shape>
            </w:pict>
          </mc:Fallback>
        </mc:AlternateContent>
      </w:r>
      <w:r>
        <w:rPr>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Đỗ Thanh Thảo" w:date="2025-12-25T11:41:31Z" w:initials="ĐTT">
    <w:p w14:paraId="00000001" w14:textId="00000001">
      <w:pPr>
        <w:spacing w:line="240" w:after="0" w:lineRule="auto" w:before="0"/>
        <w:ind w:firstLine="0" w:left="0" w:right="0"/>
        <w:jc w:val="left"/>
      </w:pPr>
      <w:r>
        <w:rPr>
          <w:rFonts w:eastAsia="Arial" w:ascii="Arial" w:hAnsi="Arial" w:cs="Arial"/>
          <w:sz w:val="22"/>
        </w:rPr>
        <w:t xml:space="preserve">mô tả thêm dòng này (TSTĐ nằm đoạn phố Tây sầm uất, lợi thế kd rất tốt)</w:t>
      </w:r>
    </w:p>
  </w:comment>
  <w:comment w:id="0" w:author="Đỗ Thanh Thảo" w:date="2025-12-25T11:39:28Z" w:initials="ĐTT">
    <w:p w14:paraId="00000002" w14:textId="00000002">
      <w:pPr>
        <w:spacing w:line="240" w:after="0" w:lineRule="auto" w:before="0"/>
        <w:ind w:firstLine="0" w:left="0" w:right="0"/>
        <w:jc w:val="left"/>
      </w:pPr>
      <w:r>
        <w:rPr>
          <w:rFonts w:eastAsia="Arial" w:ascii="Arial" w:hAnsi="Arial" w:cs="Arial"/>
          <w:sz w:val="22"/>
        </w:rPr>
        <w:t xml:space="preserve">hình k thể hiện TSTĐ nằm đâu??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979EBB7" w16cex:dateUtc="2025-12-25T04:41:31Z"/>
  <w16cex:commentExtensible w16cex:durableId="53A83288" w16cex:dateUtc="2025-12-25T04:39:2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979EBB7"/>
  <w16cid:commentId w16cid:paraId="00000002" w16cid:durableId="53A832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E37FC4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FE47ED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8B7B0D0"/>
    <w:lvl w:ilvl="0">
      <w:isLgl w:val="false"/>
      <w:lvlJc w:val="left"/>
      <w:lvlText w:val=""/>
      <w:numFmt w:val="bullet"/>
      <w:pPr>
        <w:pBdr/>
        <w:spacing/>
        <w:ind w:hanging="360" w:left="786"/>
      </w:pPr>
      <w:rPr>
        <w:rFonts w:hint="default" w:ascii="Symbol" w:hAnsi="Symbol" w:eastAsia="Symbol" w:cs="Symbol"/>
      </w:rPr>
      <w:start w:val="1"/>
      <w:suff w:val="tab"/>
    </w:lvl>
    <w:lvl w:ilvl="1">
      <w:isLgl w:val="false"/>
      <w:lvlJc w:val="left"/>
      <w:lvlText w:val="o"/>
      <w:numFmt w:val="bullet"/>
      <w:pPr>
        <w:pBdr/>
        <w:spacing/>
        <w:ind w:hanging="360" w:left="1506"/>
      </w:pPr>
      <w:rPr>
        <w:rFonts w:hint="default" w:ascii="Courier New" w:hAnsi="Courier New" w:eastAsia="Courier New" w:cs="Courier New"/>
      </w:rPr>
      <w:start w:val="1"/>
      <w:suff w:val="tab"/>
    </w:lvl>
    <w:lvl w:ilvl="2">
      <w:isLgl w:val="false"/>
      <w:lvlJc w:val="left"/>
      <w:lvlText w:val=""/>
      <w:numFmt w:val="bullet"/>
      <w:pPr>
        <w:pBdr/>
        <w:spacing/>
        <w:ind w:hanging="360" w:left="2226"/>
      </w:pPr>
      <w:rPr>
        <w:rFonts w:hint="default" w:ascii="Wingdings" w:hAnsi="Wingdings" w:eastAsia="Wingdings" w:cs="Wingdings"/>
      </w:rPr>
      <w:start w:val="1"/>
      <w:suff w:val="tab"/>
    </w:lvl>
    <w:lvl w:ilvl="3">
      <w:isLgl w:val="false"/>
      <w:lvlJc w:val="left"/>
      <w:lvlText w:val=""/>
      <w:numFmt w:val="bullet"/>
      <w:pPr>
        <w:pBdr/>
        <w:spacing/>
        <w:ind w:hanging="360" w:left="2946"/>
      </w:pPr>
      <w:rPr>
        <w:rFonts w:hint="default" w:ascii="Symbol" w:hAnsi="Symbol" w:eastAsia="Symbol" w:cs="Symbol"/>
      </w:rPr>
      <w:start w:val="1"/>
      <w:suff w:val="tab"/>
    </w:lvl>
    <w:lvl w:ilvl="4">
      <w:isLgl w:val="false"/>
      <w:lvlJc w:val="left"/>
      <w:lvlText w:val="o"/>
      <w:numFmt w:val="bullet"/>
      <w:pPr>
        <w:pBdr/>
        <w:spacing/>
        <w:ind w:hanging="360" w:left="3666"/>
      </w:pPr>
      <w:rPr>
        <w:rFonts w:hint="default" w:ascii="Courier New" w:hAnsi="Courier New" w:eastAsia="Courier New" w:cs="Courier New"/>
      </w:rPr>
      <w:start w:val="1"/>
      <w:suff w:val="tab"/>
    </w:lvl>
    <w:lvl w:ilvl="5">
      <w:isLgl w:val="false"/>
      <w:lvlJc w:val="left"/>
      <w:lvlText w:val=""/>
      <w:numFmt w:val="bullet"/>
      <w:pPr>
        <w:pBdr/>
        <w:spacing/>
        <w:ind w:hanging="360" w:left="4386"/>
      </w:pPr>
      <w:rPr>
        <w:rFonts w:hint="default" w:ascii="Wingdings" w:hAnsi="Wingdings" w:eastAsia="Wingdings" w:cs="Wingdings"/>
      </w:rPr>
      <w:start w:val="1"/>
      <w:suff w:val="tab"/>
    </w:lvl>
    <w:lvl w:ilvl="6">
      <w:isLgl w:val="false"/>
      <w:lvlJc w:val="left"/>
      <w:lvlText w:val=""/>
      <w:numFmt w:val="bullet"/>
      <w:pPr>
        <w:pBdr/>
        <w:spacing/>
        <w:ind w:hanging="360" w:left="5106"/>
      </w:pPr>
      <w:rPr>
        <w:rFonts w:hint="default" w:ascii="Symbol" w:hAnsi="Symbol" w:eastAsia="Symbol" w:cs="Symbol"/>
      </w:rPr>
      <w:start w:val="1"/>
      <w:suff w:val="tab"/>
    </w:lvl>
    <w:lvl w:ilvl="7">
      <w:isLgl w:val="false"/>
      <w:lvlJc w:val="left"/>
      <w:lvlText w:val="o"/>
      <w:numFmt w:val="bullet"/>
      <w:pPr>
        <w:pBdr/>
        <w:spacing/>
        <w:ind w:hanging="360" w:left="5826"/>
      </w:pPr>
      <w:rPr>
        <w:rFonts w:hint="default" w:ascii="Courier New" w:hAnsi="Courier New" w:eastAsia="Courier New" w:cs="Courier New"/>
      </w:rPr>
      <w:start w:val="1"/>
      <w:suff w:val="tab"/>
    </w:lvl>
    <w:lvl w:ilvl="8">
      <w:isLgl w:val="false"/>
      <w:lvlJc w:val="left"/>
      <w:lvlText w:val=""/>
      <w:numFmt w:val="bullet"/>
      <w:pPr>
        <w:pBdr/>
        <w:spacing/>
        <w:ind w:hanging="360" w:left="6546"/>
      </w:pPr>
      <w:rPr>
        <w:rFonts w:hint="default" w:ascii="Wingdings" w:hAnsi="Wingdings" w:eastAsia="Wingdings" w:cs="Wingdings"/>
      </w:rPr>
      <w:start w:val="1"/>
      <w:suff w:val="tab"/>
    </w:lvl>
  </w:abstractNum>
  <w:abstractNum w:abstractNumId="40">
    <w:nsid w:val="38B6614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dautubds.baodautu.vn/chuyen%20dong-thi-truong-c31/"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2025-12-25T08:52:52Z</dcterms:modified>
</cp:coreProperties>
</file>