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tabs>
          <w:tab w:val="left" w:leader="none" w:pos="142"/>
        </w:tabs>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0111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0111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275/2025/1887/VFI-CT.55.A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ĐẶNG CÔNG KHANH</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276" w:lineRule="auto"/>
                              <w:ind/>
                              <w:jc w:val="both"/>
                              <w:rPr>
                                <w:bCs/>
                                <w:i/>
                                <w:iCs/>
                              </w:rPr>
                            </w:pPr>
                            <w:r>
                              <w:rPr>
                                <w:b/>
                              </w:rPr>
                              <w:t xml:space="preserve">Tài sản thẩm </w:t>
                            </w:r>
                            <w:r>
                              <w:rPr>
                                <w:b/>
                              </w:rPr>
                              <w:t xml:space="preserve">định:</w:t>
                            </w:r>
                            <w:r>
                              <w:rPr>
                                <w:rFonts w:ascii="Times New Roman" w:hAnsi="Times New Roman" w:eastAsia="Times New Roman" w:cs="Times New Roman"/>
                                <w:b/>
                                <w:color w:val="000000"/>
                                <w:sz w:val="24"/>
                              </w:rPr>
                              <w:t xml:space="preserve"> </w:t>
                            </w:r>
                            <w:r>
                              <w:rPr>
                                <w:rFonts w:ascii="Times New Roman" w:hAnsi="Times New Roman" w:eastAsia="Times New Roman" w:cs="Times New Roman"/>
                                <w:b/>
                                <w:bCs/>
                                <w:color w:val="000000"/>
                                <w:sz w:val="24"/>
                              </w:rPr>
                              <w:t xml:space="preserve">Quyền sử dụng đất tại thửa đất số: 395, tờ bản đồ số 48 có địa chỉ: phường Vĩnh Hưng, thành phố Hà Nội theo Giấy chứng nhận quyền sử dụng đất, quyền sở hữu tài sản gắn liền với đất số: AA 03951078, số vào sổ cấp GCN: CN 02979 do Chi nhánh văn phòng đăng ký</w:t>
                            </w:r>
                            <w:r>
                              <w:rPr>
                                <w:rFonts w:ascii="Times New Roman" w:hAnsi="Times New Roman" w:eastAsia="Times New Roman" w:cs="Times New Roman"/>
                                <w:b/>
                                <w:bCs/>
                                <w:color w:val="000000"/>
                                <w:sz w:val="24"/>
                              </w:rPr>
                              <w:t xml:space="preserve"> đất đai Hà Nội cấp ngày 12/12/2025; Chủ sử dụng đất là Ông Nguyễn Thành Luân và Vợ Vũ Thị Nguyệt Ánh</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37.1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275/2025/1887/VFI-CT.55.A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ĐẶNG CÔNG KHANH</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276" w:lineRule="auto"/>
                        <w:ind/>
                        <w:jc w:val="both"/>
                        <w:rPr>
                          <w:bCs/>
                          <w:i/>
                          <w:iCs/>
                        </w:rPr>
                      </w:pPr>
                      <w:r>
                        <w:rPr>
                          <w:b/>
                        </w:rPr>
                        <w:t xml:space="preserve">Tài sản thẩm </w:t>
                      </w:r>
                      <w:r>
                        <w:rPr>
                          <w:b/>
                        </w:rPr>
                        <w:t xml:space="preserve">định:</w:t>
                      </w:r>
                      <w:r>
                        <w:rPr>
                          <w:rFonts w:ascii="Times New Roman" w:hAnsi="Times New Roman" w:eastAsia="Times New Roman" w:cs="Times New Roman"/>
                          <w:b/>
                          <w:color w:val="000000"/>
                          <w:sz w:val="24"/>
                        </w:rPr>
                        <w:t xml:space="preserve"> </w:t>
                      </w:r>
                      <w:r>
                        <w:rPr>
                          <w:rFonts w:ascii="Times New Roman" w:hAnsi="Times New Roman" w:eastAsia="Times New Roman" w:cs="Times New Roman"/>
                          <w:b/>
                          <w:bCs/>
                          <w:color w:val="000000"/>
                          <w:sz w:val="24"/>
                        </w:rPr>
                        <w:t xml:space="preserve">Quyền sử dụng đất tại thửa đất số: 395, tờ bản đồ số 48 có địa chỉ: phường Vĩnh Hưng, thành phố Hà Nội theo Giấy chứng nhận quyền sử dụng đất, quyền sở hữu tài sản gắn liền với đất số: AA 03951078, số vào sổ cấp GCN: CN 02979 do Chi nhánh văn phòng đăng ký</w:t>
                      </w:r>
                      <w:r>
                        <w:rPr>
                          <w:rFonts w:ascii="Times New Roman" w:hAnsi="Times New Roman" w:eastAsia="Times New Roman" w:cs="Times New Roman"/>
                          <w:b/>
                          <w:bCs/>
                          <w:color w:val="000000"/>
                          <w:sz w:val="24"/>
                        </w:rPr>
                        <w:t xml:space="preserve"> đất đai Hà Nội cấp ngày 12/12/2025; Chủ sử dụng đất là Ông Nguyễn Thành Luân và Vợ Vũ Thị Nguyệt Ánh</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4"/>
              <w:pBdr/>
              <w:spacing w:after="60" w:before="200"/>
              <w:ind/>
              <w:rPr>
                <w:rStyle w:val="1033"/>
                <w:rFonts w:ascii="Times New Roman" w:hAnsi="Times New Roman"/>
                <w:color w:val="auto"/>
                <w:lang w:val="pt-BR"/>
              </w:rPr>
            </w:pPr>
            <w:r>
              <w:rPr>
                <w:rFonts w:ascii="Times New Roman" w:hAnsi="Times New Roman"/>
                <w:color w:val="auto"/>
                <w:lang w:val="pt-BR"/>
              </w:rPr>
            </w:r>
            <w:r>
              <w:rPr>
                <w:rStyle w:val="1033"/>
                <w:rFonts w:ascii="Times New Roman" w:hAnsi="Times New Roman"/>
                <w:color w:val="auto"/>
                <w:lang w:val="pt-BR"/>
              </w:rPr>
            </w:r>
            <w:r>
              <w:rPr>
                <w:rStyle w:val="1033"/>
                <w:rFonts w:ascii="Times New Roman" w:hAnsi="Times New Roman"/>
                <w:color w:val="auto"/>
                <w:lang w:val="pt-BR"/>
              </w:rPr>
            </w:r>
          </w:p>
          <w:p w14:paraId="189019A0" w14:textId="50D2DFCA">
            <w:pPr>
              <w:pStyle w:val="1034"/>
              <w:pBdr/>
              <w:spacing w:after="60" w:before="200"/>
              <w:ind/>
              <w:rPr>
                <w:sz w:val="24"/>
                <w:szCs w:val="24"/>
              </w:rPr>
            </w:pPr>
            <w:r>
              <w:rPr>
                <w:rStyle w:val="1033"/>
                <w:rFonts w:ascii="Times New Roman" w:hAnsi="Times New Roman"/>
                <w:color w:val="auto"/>
                <w:lang w:val="pt-BR"/>
              </w:rPr>
              <w:t xml:space="preserve">Số:</w:t>
            </w:r>
            <w:r>
              <w:rPr>
                <w:rStyle w:val="1033"/>
                <w:rFonts w:ascii="Times New Roman" w:hAnsi="Times New Roman"/>
                <w:color w:val="auto"/>
                <w:lang w:val="pt-BR"/>
              </w:rPr>
              <w:t xml:space="preserve"> </w:t>
            </w:r>
            <w:r>
              <w:rPr>
                <w:rStyle w:val="1033"/>
                <w:rFonts w:ascii="Times New Roman" w:hAnsi="Times New Roman"/>
                <w:color w:val="000000" w:themeColor="text1"/>
                <w:lang w:val="pt-BR"/>
              </w:rPr>
              <w:t xml:space="preserve">275/2025/1887/VFI-CT.55.A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34"/>
              <w:pBdr/>
              <w:spacing w:after="60" w:before="200"/>
              <w:ind w:right="-56"/>
              <w:rPr>
                <w:rStyle w:val="1033"/>
                <w:rFonts w:ascii="Times New Roman" w:hAnsi="Times New Roman"/>
                <w:i/>
                <w:color w:val="auto"/>
              </w:rPr>
            </w:pPr>
            <w:r>
              <w:rPr>
                <w:rFonts w:ascii="Times New Roman" w:hAnsi="Times New Roman"/>
                <w:i/>
                <w:color w:val="auto"/>
              </w:rPr>
            </w:r>
            <w:r>
              <w:rPr>
                <w:rStyle w:val="1033"/>
                <w:rFonts w:ascii="Times New Roman" w:hAnsi="Times New Roman"/>
                <w:i/>
                <w:color w:val="auto"/>
              </w:rPr>
            </w:r>
            <w:r>
              <w:rPr>
                <w:rStyle w:val="1033"/>
                <w:rFonts w:ascii="Times New Roman" w:hAnsi="Times New Roman"/>
                <w:i/>
                <w:color w:val="auto"/>
              </w:rPr>
            </w:r>
          </w:p>
          <w:p w14:paraId="6B33CD77" w14:textId="29BAA06D">
            <w:pPr>
              <w:pStyle w:val="1034"/>
              <w:pBdr/>
              <w:spacing w:after="60" w:before="200"/>
              <w:ind w:right="-56"/>
              <w:jc w:val="right"/>
              <w:rPr>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29 tháng 12 năm 2025</w:t>
            </w:r>
            <w:r>
              <w:rPr>
                <w:rStyle w:val="1033"/>
                <w:rFonts w:ascii="Times New Roman" w:hAnsi="Times New Roman"/>
                <w:i/>
                <w:color w:val="auto"/>
                <w:lang w:val="vi-VN"/>
              </w:rPr>
              <w:t xml:space="preserve">   </w:t>
            </w:r>
            <w:r>
              <w:rPr>
                <w:rStyle w:val="1033"/>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34"/>
        <w:pBdr/>
        <w:spacing w:after="120" w:before="200" w:line="288" w:lineRule="auto"/>
        <w:ind/>
        <w:jc w:val="center"/>
        <w:rPr>
          <w:rStyle w:val="1033"/>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ĐẶNG CÔNG KHANH</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275/2025/1887/VFI-HĐTĐ.55.A</w:t>
      </w:r>
      <w:r>
        <w:rPr>
          <w:spacing w:val="-4"/>
          <w:lang w:val="vi-VN"/>
        </w:rPr>
        <w:t xml:space="preserve"> ký ngày </w:t>
      </w:r>
      <w:r>
        <w:rPr>
          <w:color w:val="000000" w:themeColor="text1"/>
          <w:spacing w:val="-4"/>
        </w:rPr>
        <w:t xml:space="preserve">18 tháng 12 năm 2025</w:t>
      </w:r>
      <w:r>
        <w:rPr>
          <w:spacing w:val="-4"/>
          <w:lang w:val="vi-VN"/>
        </w:rPr>
        <w:t xml:space="preserve"> </w:t>
      </w:r>
      <w:r>
        <w:rPr>
          <w:spacing w:val="-4"/>
          <w:lang w:val="vi-VN"/>
        </w:rPr>
        <w:t xml:space="preserve">giữa </w:t>
      </w:r>
      <w:r>
        <w:rPr>
          <w:color w:val="000000" w:themeColor="text1"/>
          <w:spacing w:val="-4"/>
        </w:rPr>
        <w:t xml:space="preserve">ÔNG ĐẶNG CÔNG KHANH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275/2025/1887/VFI-BC.55.A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29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ĐẶNG CÔNG KHANH</w:t>
            </w:r>
            <w:r>
              <w:rPr>
                <w:b/>
                <w:bCs/>
              </w:rPr>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037087005675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1987</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Xóm 7, xã Lai Thành, Tỉnh Ninh Bình.</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395, tờ bản đồ số 48 có địa chỉ: phường Vĩnh Hưng, thành phố Hà Nội theo Giấy chứng nhận quyền sử dụng đất, quyền sở hữu tài sản gắn liền với đất số: AA 03951078, số vào sổ cấp GCN: CN 02979 do Chi nhánh văn phòng đăng ký</w:t>
      </w:r>
      <w:r>
        <w:rPr>
          <w:rFonts w:ascii="Times New Roman" w:hAnsi="Times New Roman" w:eastAsia="Times New Roman" w:cs="Times New Roman"/>
          <w:color w:val="000000"/>
          <w:sz w:val="24"/>
        </w:rPr>
        <w:t xml:space="preserve"> đất đai Hà Nội cấp ngày 12/12/2025; Chủ sử dụng đất là Ông Nguyễn Thành Luân và Vợ Vũ Thị Nguyệt Ánh</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95"/>
        <w:gridCol w:w="3260"/>
        <w:gridCol w:w="1417"/>
        <w:gridCol w:w="1984"/>
        <w:gridCol w:w="2126"/>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3B8A1E77">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260" w:type="dxa"/>
            <w:vAlign w:val="center"/>
            <w:textDirection w:val="lrTb"/>
            <w:noWrap w:val="false"/>
          </w:tcPr>
          <w:p w14:paraId="13BE5817">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14:paraId="74538F90">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79D16192">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205AAF4">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20232458">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61" w:type="dxa"/>
            <w:vAlign w:val="center"/>
            <w:textDirection w:val="lrTb"/>
            <w:noWrap w:val="false"/>
          </w:tcPr>
          <w:p w14:paraId="4092F29D">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Quyền sử dụng đất tại thửa đất số: 395, tờ bản đồ số 48 có địa chỉ: phường Vĩnh Hưng, thành phố Hà Nội theo Giấy chứng nhận quyền sử dụng đất, quyền sở hữu tài sản gắn liền với đất số: AA 03951078, số vào sổ cấp GCN: CN 02979 do Chi nhánh văn phòng đăng ký</w:t>
            </w:r>
            <w:r>
              <w:rPr>
                <w:rFonts w:ascii="Times New Roman" w:hAnsi="Times New Roman" w:eastAsia="Times New Roman" w:cs="Times New Roman"/>
                <w:color w:val="000000"/>
                <w:sz w:val="24"/>
              </w:rPr>
              <w:t xml:space="preserve"> đất đai Hà Nội cấp ngày 12/12/2025; Chủ sử dụng đất là Ông Nguyễn Thành Luân và Vợ Vũ Thị Nguyệt Ánh</w:t>
            </w:r>
            <w:r>
              <w:rPr>
                <w:rFonts w:ascii="Times New Roman" w:hAnsi="Times New Roman" w:eastAsia="Times New Roman" w:cs="Times New Roman"/>
                <w:color w:val="000000"/>
                <w:sz w:val="24"/>
              </w:r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B6F2AF7">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1C9A03B8">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260" w:type="dxa"/>
            <w:vAlign w:val="center"/>
            <w:textDirection w:val="lrTb"/>
            <w:noWrap w:val="false"/>
          </w:tcPr>
          <w:p w14:paraId="690C47E7">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tcPr>
          <w:p w14:paraId="139131CD">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35,2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669472F5">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133.000.000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514F320E">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4.681.600.000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256" w:type="dxa"/>
            <w:vAlign w:val="center"/>
            <w:textDirection w:val="lrTb"/>
            <w:noWrap/>
          </w:tcPr>
          <w:p w14:paraId="46A8D9D5">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tcPr>
          <w:p w14:paraId="25B8B318">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b/>
                <w:bCs/>
              </w:rPr>
            </w:pPr>
            <w:r>
              <w:rPr>
                <w:rFonts w:ascii="Times New Roman" w:hAnsi="Times New Roman" w:eastAsia="Times New Roman" w:cs="Times New Roman"/>
                <w:b/>
                <w:bCs/>
                <w:color w:val="000000"/>
                <w:sz w:val="24"/>
              </w:rPr>
              <w:t xml:space="preserve">4.681.600.000</w:t>
            </w:r>
            <w:r>
              <w:rPr>
                <w:b/>
                <w:bCs/>
              </w:rPr>
            </w:r>
            <w:r>
              <w:rPr>
                <w:b/>
                <w:bCs/>
              </w:rP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382" w:type="dxa"/>
            <w:vAlign w:val="center"/>
            <w:textDirection w:val="lrTb"/>
            <w:noWrap w:val="false"/>
          </w:tcPr>
          <w:p w14:paraId="1EDF5570">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rPr>
              <w:t xml:space="preserve">(Bằng chữ: Bốn tỷ sáu trăm tám mươi mốt triệu sáu trăm nghìn đồng chẵn./.)</w:t>
            </w: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w:t>
            </w:r>
            <w:r>
              <w:rPr>
                <w:rFonts w:eastAsia="Calibri"/>
                <w:bCs/>
                <w:highlight w:val="white"/>
                <w:lang w:val="vi-VN"/>
              </w:rPr>
              <w:t xml:space="preserve"> </w:t>
            </w:r>
            <w:r>
              <w:rPr>
                <w:rFonts w:eastAsia="Calibri"/>
                <w:bCs/>
                <w:highlight w:val="white"/>
                <w:lang w:val="vi-VN"/>
              </w:rPr>
              <w:t xml:space="preserve">giá: </w:t>
            </w:r>
            <w:r>
              <w:rPr>
                <w:rFonts w:ascii="Times New Roman" w:hAnsi="Times New Roman" w:eastAsia="Times New Roman" w:cs="Times New Roman"/>
                <w:color w:val="000000"/>
                <w:sz w:val="24"/>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4"/>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34"/>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275/2025/1887/VFI-BC.55.A</w:t>
            </w:r>
            <w:r>
              <w:rPr>
                <w:sz w:val="24"/>
                <w:szCs w:val="24"/>
              </w:rPr>
            </w:r>
            <w:r>
              <w:rPr>
                <w:sz w:val="24"/>
                <w:szCs w:val="24"/>
              </w:rPr>
            </w:r>
          </w:p>
        </w:tc>
        <w:tc>
          <w:tcPr>
            <w:tcBorders/>
            <w:tcW w:w="4781" w:type="dxa"/>
            <w:textDirection w:val="lrTb"/>
            <w:noWrap w:val="false"/>
          </w:tcPr>
          <w:p w14:paraId="4E249833" w14:textId="77777777">
            <w:pPr>
              <w:pStyle w:val="1034"/>
              <w:pBdr/>
              <w:tabs>
                <w:tab w:val="left" w:leader="none" w:pos="5103"/>
              </w:tabs>
              <w:spacing w:before="100" w:line="360" w:lineRule="auto"/>
              <w:ind/>
              <w:jc w:val="right"/>
              <w:rPr>
                <w:rStyle w:val="1033"/>
                <w:rFonts w:ascii="Times New Roman" w:hAnsi="Times New Roman"/>
                <w:i/>
                <w:color w:val="auto"/>
              </w:rPr>
            </w:pPr>
            <w:r>
              <w:rPr>
                <w:rFonts w:ascii="Times New Roman" w:hAnsi="Times New Roman"/>
                <w:i/>
                <w:color w:val="auto"/>
              </w:rPr>
            </w:r>
            <w:r>
              <w:rPr>
                <w:rStyle w:val="1033"/>
                <w:rFonts w:ascii="Times New Roman" w:hAnsi="Times New Roman"/>
                <w:i/>
                <w:color w:val="auto"/>
              </w:rPr>
            </w:r>
            <w:r>
              <w:rPr>
                <w:rStyle w:val="1033"/>
                <w:rFonts w:ascii="Times New Roman" w:hAnsi="Times New Roman"/>
                <w:i/>
                <w:color w:val="auto"/>
              </w:rPr>
            </w:r>
          </w:p>
          <w:p w14:paraId="1C1E2870" w14:textId="207F25D6">
            <w:pPr>
              <w:pStyle w:val="1034"/>
              <w:pBdr/>
              <w:tabs>
                <w:tab w:val="left" w:leader="none" w:pos="5103"/>
              </w:tabs>
              <w:spacing w:before="100" w:line="360" w:lineRule="auto"/>
              <w:ind/>
              <w:jc w:val="right"/>
              <w:rPr>
                <w:i/>
                <w:iCs/>
                <w:sz w:val="24"/>
                <w:szCs w:val="24"/>
              </w:rPr>
            </w:pPr>
            <w:r>
              <w:rPr>
                <w:rStyle w:val="1033"/>
                <w:rFonts w:ascii="Times New Roman" w:hAnsi="Times New Roman"/>
                <w:i/>
                <w:color w:val="auto"/>
              </w:rPr>
              <w:t xml:space="preserve">TP</w:t>
            </w:r>
            <w:r>
              <w:rPr>
                <w:rStyle w:val="1033"/>
                <w:rFonts w:ascii="Times New Roman" w:hAnsi="Times New Roman"/>
                <w:color w:val="auto"/>
              </w:rPr>
              <w:t xml:space="preserve">. </w:t>
            </w:r>
            <w:r>
              <w:rPr>
                <w:rStyle w:val="1033"/>
                <w:rFonts w:ascii="Times New Roman" w:hAnsi="Times New Roman"/>
                <w:i/>
                <w:color w:val="auto"/>
              </w:rPr>
              <w:t xml:space="preserve">Hà Nội</w:t>
            </w:r>
            <w:r>
              <w:rPr>
                <w:rStyle w:val="1033"/>
                <w:rFonts w:ascii="Times New Roman" w:hAnsi="Times New Roman"/>
                <w:i/>
                <w:color w:val="auto"/>
                <w:lang w:val="vi-VN"/>
              </w:rPr>
              <w:t xml:space="preserve">, </w:t>
            </w:r>
            <w:r>
              <w:rPr>
                <w:i/>
                <w:iCs/>
                <w:color w:val="000000" w:themeColor="text1"/>
                <w:sz w:val="24"/>
                <w:szCs w:val="24"/>
                <w:lang w:val="pt-BR"/>
              </w:rPr>
              <w:t xml:space="preserve">ngày 29 tháng 12 năm 2025</w:t>
            </w:r>
            <w:r>
              <w:rPr>
                <w:rStyle w:val="1033"/>
                <w:rFonts w:ascii="Times New Roman" w:hAnsi="Times New Roman"/>
                <w:i/>
                <w:color w:val="auto"/>
                <w:lang w:val="vi-VN"/>
              </w:rPr>
              <w:t xml:space="preserve">   </w:t>
            </w:r>
            <w:r>
              <w:rPr>
                <w:rStyle w:val="1033"/>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4"/>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275/2025/1887/VFI-CT.55.A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29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rFonts w:ascii="Times New Roman" w:hAnsi="Times New Roman" w:eastAsia="Times New Roman" w:cs="Times New Roman"/>
                <w:color w:val="000000"/>
                <w:spacing w:val="-2"/>
                <w:sz w:val="24"/>
              </w:rPr>
              <w:t xml:space="preserve">ÔNG ĐẶNG CÔNG KHANH</w:t>
            </w:r>
            <w:r>
              <w:rPr>
                <w:b/>
                <w:bCs/>
              </w:rPr>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037087005675</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1987</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Xóm 7, xã Lai Thành, Tỉnh Ninh Bình.</w:t>
            </w:r>
            <w:r>
              <w:rPr>
                <w:b/>
                <w:bCs/>
              </w:rPr>
            </w:r>
            <w:r>
              <w:rPr>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highlight w:val="white"/>
              </w:rPr>
            </w:pPr>
            <w:r>
              <w:rPr>
                <w:bCs/>
                <w:color w:val="000000" w:themeColor="text1"/>
                <w:highlight w:val="yellow"/>
                <w:lang w:val="pt-BR"/>
              </w:rPr>
            </w:r>
            <w:r>
              <w:rPr>
                <w:bCs/>
                <w:color w:val="000000" w:themeColor="text1"/>
                <w:highlight w:val="white"/>
                <w:lang w:val="pt-BR"/>
              </w:rPr>
              <w:t xml:space="preserve">Tài sản tại: Phường Vĩnh Hưng, thành phố Hà Nội.</w:t>
            </w:r>
            <w:r>
              <w:rPr>
                <w:b/>
                <w:bCs/>
                <w:spacing w:val="2"/>
                <w:highlight w:val="white"/>
              </w:rPr>
            </w:r>
            <w:r>
              <w:rPr>
                <w:b/>
                <w:bCs/>
                <w:spacing w:val="2"/>
                <w:highlight w:val="white"/>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highlight w:val="white"/>
              </w:rPr>
            </w:pPr>
            <w:r>
              <w:rPr>
                <w:color w:val="000000" w:themeColor="text1"/>
                <w:highlight w:val="white"/>
                <w:lang w:val="pt-BR"/>
              </w:rPr>
              <w:t xml:space="preserve">P</w:t>
            </w:r>
            <w:r>
              <w:rPr>
                <w:bCs/>
                <w:color w:val="000000" w:themeColor="text1"/>
                <w:highlight w:val="white"/>
                <w:lang w:val="pt-BR"/>
              </w:rPr>
              <w:t xml:space="preserve">Phường Vĩnh Hưng, thành phố Hà Nội.</w:t>
            </w:r>
            <w:r>
              <w:rPr>
                <w:color w:val="ee0000"/>
                <w:highlight w:val="white"/>
              </w:rPr>
            </w:r>
            <w:r>
              <w:rPr>
                <w:color w:val="ee0000"/>
                <w:highlight w:val="white"/>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3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787B1D9">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jc w:val="both"/>
        <w:rPr/>
      </w:pPr>
      <w:r>
        <w:rPr>
          <w:rFonts w:ascii="Times New Roman" w:hAnsi="Times New Roman" w:eastAsia="Times New Roman" w:cs="Times New Roman"/>
          <w:color w:val="000000"/>
          <w:sz w:val="24"/>
        </w:rPr>
        <w:t xml:space="preserve">Giấy chứng nhận quyền sử dụng đất, quyền sở hữu tài sản gắn liền với đất số: </w:t>
      </w:r>
      <w:r>
        <w:rPr>
          <w:rFonts w:ascii="Times New Roman" w:hAnsi="Times New Roman" w:eastAsia="Times New Roman" w:cs="Times New Roman"/>
          <w:color w:val="000000"/>
          <w:sz w:val="24"/>
        </w:rPr>
        <w:t xml:space="preserve">CN 02979 do Chi nhánh văn phòng đăng ký</w:t>
      </w:r>
      <w:r>
        <w:rPr>
          <w:rFonts w:ascii="Times New Roman" w:hAnsi="Times New Roman" w:eastAsia="Times New Roman" w:cs="Times New Roman"/>
          <w:color w:val="000000"/>
          <w:sz w:val="24"/>
        </w:rPr>
        <w:t xml:space="preserve"> đất đai Hà Nội cấp ngày 12/12/2025; Chủ sử dụng đất là Ông Nguyễn Thành Luân và Vợ Vũ Thị Nguyệt Ánh</w:t>
      </w:r>
      <w:r>
        <w:rPr>
          <w:rFonts w:ascii="Times New Roman" w:hAnsi="Times New Roman" w:eastAsia="Times New Roman" w:cs="Times New Roman"/>
          <w:sz w:val="24"/>
        </w:rPr>
      </w: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275/2025/1887/VFI-HĐTĐ.55.A ngày 18/12/2025 giữa Ông Đặng Công Khanh với Công ty Cổ phần Thẩm định và Đầu tư Tài chính Hoa Sen.</w:t>
      </w:r>
      <w:r>
        <w:rPr>
          <w:b/>
          <w:lang w:val="pt-BR"/>
        </w:rPr>
      </w:r>
      <w:r>
        <w:rPr>
          <w:b/>
          <w:lang w:val="pt-BR"/>
        </w:rPr>
      </w:r>
    </w:p>
    <w:p w14:paraId="7BDC3A25" w14:textId="77D2CF95">
      <w:pPr>
        <w:pStyle w:val="103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right="0" w:firstLine="425" w:left="0"/>
        <w:rPr>
          <w:rFonts w:ascii="Times New Roman" w:hAnsi="Times New Roman" w:cs="Times New Roman"/>
          <w:iCs/>
          <w:color w:val="000000" w:themeColor="text1"/>
          <w:sz w:val="24"/>
          <w:szCs w:val="24"/>
          <w:highlight w:val="none"/>
        </w:rPr>
      </w:pPr>
      <w:r>
        <w:rPr>
          <w:rFonts w:ascii="Times New Roman" w:hAnsi="Times New Roman" w:eastAsia="Times New Roman" w:cs="Times New Roman"/>
          <w:color w:val="000000" w:themeColor="text1"/>
          <w:sz w:val="24"/>
          <w:szCs w:val="24"/>
          <w:lang w:val="pt-BR"/>
        </w:rPr>
        <w:tab/>
      </w:r>
      <w:r>
        <w:rPr>
          <w:rFonts w:ascii="Times New Roman" w:hAnsi="Times New Roman" w:eastAsia="Times New Roman" w:cs="Times New Roman"/>
          <w:color w:val="000000" w:themeColor="text1"/>
          <w:sz w:val="24"/>
          <w:szCs w:val="24"/>
        </w:rPr>
        <w:t xml:space="preserve">Phường Vĩnh Hưng hiện đang là một trong những lựa chọn mua bán bất động sản hấp dẫn tại quận Hoàng Mai dành cho khách hàng có tài chính vừa phải. Bản đồ quy hoạch phường Vĩnh Hưng thể hiện rõ định hướng phát triển khu vực và cơ hội đầu tư cho chủ sở hữu. B</w:t>
      </w:r>
      <w:r>
        <w:rPr>
          <w:rFonts w:ascii="Times New Roman" w:hAnsi="Times New Roman" w:eastAsia="Times New Roman" w:cs="Times New Roman"/>
          <w:color w:val="000000" w:themeColor="text1"/>
          <w:sz w:val="24"/>
          <w:szCs w:val="24"/>
        </w:rPr>
        <w:t xml:space="preserve">ài viết này sẽ cập nhật thông tin quy hoạch chi tiết phường Vĩnh Hưng để giúp bạn có thêm góc nhìn khách quan về thị trường nhà đất khu vực này.</w:t>
      </w:r>
      <w:r>
        <w:rPr>
          <w:rFonts w:ascii="Times New Roman" w:hAnsi="Times New Roman" w:cs="Times New Roman"/>
          <w:iCs/>
          <w:color w:val="000000" w:themeColor="text1"/>
          <w:sz w:val="24"/>
          <w:szCs w:val="24"/>
          <w:highlight w:val="none"/>
        </w:rPr>
      </w:r>
      <w:r>
        <w:rPr>
          <w:rFonts w:ascii="Times New Roman" w:hAnsi="Times New Roman" w:cs="Times New Roman"/>
          <w:iCs/>
          <w:color w:val="000000" w:themeColor="text1"/>
          <w:sz w:val="24"/>
          <w:szCs w:val="24"/>
          <w:highlight w:val="none"/>
        </w:rPr>
      </w:r>
    </w:p>
    <w:p w14:paraId="7465B503">
      <w:pPr>
        <w:pBdr/>
        <w:tabs>
          <w:tab w:val="left" w:leader="none" w:pos="426"/>
        </w:tabs>
        <w:spacing w:after="120" w:before="120" w:line="276" w:lineRule="auto"/>
        <w:ind w:right="0" w:firstLine="425" w:left="0"/>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highlight w:val="none"/>
          <w:shd w:val="clear" w:color="auto" w:fill="ffffff"/>
          <w:lang w:val="pt-BR" w:bidi="pt-BR"/>
        </w:rPr>
      </w:r>
      <w:r>
        <w:rPr>
          <w:rFonts w:ascii="Times New Roman" w:hAnsi="Times New Roman" w:eastAsia="Times New Roman" w:cs="Times New Roman"/>
          <w:color w:val="000000" w:themeColor="text1"/>
          <w:sz w:val="24"/>
          <w:szCs w:val="24"/>
        </w:rPr>
        <w:t xml:space="preserve">Phường Vĩnh Hưng đang là một trong những khu vực nổi bật trên thị trường bất động sản quận Hoàng Mai nhờ vào sự đa dạng các thông tin nhà bán phù hợp với nhu cầu của nhiều khách hàng. Theo thông tin cập nhật từ trang Batdongsan vào tháng 10/2024, giá nhà r</w:t>
      </w:r>
      <w:r>
        <w:rPr>
          <w:rFonts w:ascii="Times New Roman" w:hAnsi="Times New Roman" w:eastAsia="Times New Roman" w:cs="Times New Roman"/>
          <w:color w:val="000000" w:themeColor="text1"/>
          <w:sz w:val="24"/>
          <w:szCs w:val="24"/>
        </w:rPr>
        <w:t xml:space="preserve">iêng bán tại phường Vĩnh Hưng đang dao động trong khoảng 58,33 - 349 triệu đồng/m2, tùy vào vị trí và diện tích.</w:t>
      </w:r>
      <w:r>
        <w:rPr>
          <w:rFonts w:ascii="Times New Roman" w:hAnsi="Times New Roman" w:cs="Times New Roman"/>
          <w:color w:val="000000" w:themeColor="text1"/>
          <w:sz w:val="24"/>
          <w:szCs w:val="24"/>
          <w:highlight w:val="none"/>
        </w:rPr>
      </w:r>
      <w:r>
        <w:rPr>
          <w:rFonts w:ascii="Times New Roman" w:hAnsi="Times New Roman" w:cs="Times New Roman"/>
          <w:color w:val="000000" w:themeColor="text1"/>
          <w:sz w:val="24"/>
          <w:szCs w:val="24"/>
          <w:highlight w:val="none"/>
        </w:rPr>
      </w:r>
    </w:p>
    <w:p w14:paraId="39567468">
      <w:pPr>
        <w:pBdr/>
        <w:tabs>
          <w:tab w:val="left" w:leader="none" w:pos="426"/>
        </w:tabs>
        <w:spacing w:after="120" w:before="120" w:line="276" w:lineRule="auto"/>
        <w:ind w:right="0" w:firstLine="425" w:left="0"/>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highlight w:val="none"/>
          <w:shd w:val="clear" w:color="auto" w:fill="ffffff"/>
          <w:lang w:val="pt-BR" w:bidi="pt-BR"/>
        </w:rPr>
      </w:r>
      <w:r>
        <w:rPr>
          <w:rFonts w:ascii="Times New Roman" w:hAnsi="Times New Roman" w:eastAsia="Times New Roman" w:cs="Times New Roman"/>
          <w:color w:val="000000" w:themeColor="text1"/>
          <w:sz w:val="24"/>
          <w:szCs w:val="24"/>
        </w:rPr>
        <w:t xml:space="preserve">Phường Vĩnh Hưng quận Hoàng Mai Hà Nội hiện có một số dự án chung cư nổi bật, góp phần làm thay đổi diện mạo đô thị của khu vực. Trong đó có thể kể đến dự án Đồng Phát Park View Tower được đầu tư bởi Công ty CP Đầu tư Đồng Phát. Đây là một tổ hợp tòa nhà t</w:t>
      </w:r>
      <w:r>
        <w:rPr>
          <w:rFonts w:ascii="Times New Roman" w:hAnsi="Times New Roman" w:eastAsia="Times New Roman" w:cs="Times New Roman"/>
          <w:color w:val="000000" w:themeColor="text1"/>
          <w:sz w:val="24"/>
          <w:szCs w:val="24"/>
        </w:rPr>
        <w:t xml:space="preserve">hương mại dịch vụ và cao tầng nằm trong quần thể khu Công nghiệp Vĩnh Tuy. Các căn hộ tại đây được thiết kế với diện tích rộng từ 63 - 87m2 và 2 - 3 phòng ngủ, đáp ứng không gian sinh hoạt thoải mái cho các hộ gia đình.</w:t>
      </w:r>
      <w:r>
        <w:rPr>
          <w:rFonts w:ascii="Times New Roman" w:hAnsi="Times New Roman" w:cs="Times New Roman"/>
          <w:color w:val="000000" w:themeColor="text1"/>
          <w:sz w:val="24"/>
          <w:szCs w:val="24"/>
          <w:highlight w:val="none"/>
        </w:rPr>
      </w:r>
      <w:r>
        <w:rPr>
          <w:rFonts w:ascii="Times New Roman" w:hAnsi="Times New Roman" w:cs="Times New Roman"/>
          <w:color w:val="000000" w:themeColor="text1"/>
          <w:sz w:val="24"/>
          <w:szCs w:val="24"/>
          <w:highlight w:val="none"/>
        </w:rPr>
      </w:r>
    </w:p>
    <w:p w14:paraId="5335A618">
      <w:pPr>
        <w:pBdr/>
        <w:tabs>
          <w:tab w:val="left" w:leader="none" w:pos="426"/>
        </w:tabs>
        <w:spacing w:after="120" w:before="120" w:line="276" w:lineRule="auto"/>
        <w:ind w:right="0" w:firstLine="425" w:left="0"/>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highlight w:val="none"/>
          <w:shd w:val="clear" w:color="auto" w:fill="ffffff"/>
          <w:lang w:val="pt-BR" w:bidi="pt-BR"/>
        </w:rPr>
      </w:r>
      <w:r>
        <w:rPr>
          <w:rFonts w:ascii="Times New Roman" w:hAnsi="Times New Roman" w:eastAsia="Times New Roman" w:cs="Times New Roman"/>
          <w:color w:val="000000" w:themeColor="text1"/>
          <w:sz w:val="24"/>
          <w:szCs w:val="24"/>
        </w:rPr>
        <w:t xml:space="preserve">Bên cạnh đó, dự án T&amp;T Riverview cũng là một điểm nhấn trên thị trường bất động sản phường Vĩnh Hưng với quy mô 23 tầng nổi, 2 tầng hầm. Với phong cách thiết kế hiện đại cùng khung cảnh bình yên, T&amp;T Riverview sẽ mang lại trải nghiệm sống lý tưởng giữa lòn</w:t>
      </w:r>
      <w:r>
        <w:rPr>
          <w:rFonts w:ascii="Times New Roman" w:hAnsi="Times New Roman" w:eastAsia="Times New Roman" w:cs="Times New Roman"/>
          <w:color w:val="000000" w:themeColor="text1"/>
          <w:sz w:val="24"/>
          <w:szCs w:val="24"/>
        </w:rPr>
        <w:t xml:space="preserve">g đô thị dành cho các cư dân. Tóm lại, những dự án này không chỉ thúc đẩy quá trình đô thị hóa trên địa bàn phường Vĩnh Hưng mà còn nâng cao cơ hội phát triển kinh tế – xã hội, đáp ứng nhu cầu an cư của người dân.</w:t>
      </w:r>
      <w:r>
        <w:rPr>
          <w:rFonts w:ascii="Times New Roman" w:hAnsi="Times New Roman" w:cs="Times New Roman"/>
          <w:color w:val="000000" w:themeColor="text1"/>
          <w:sz w:val="24"/>
          <w:szCs w:val="24"/>
          <w:highlight w:val="none"/>
        </w:rPr>
      </w:r>
      <w:r>
        <w:rPr>
          <w:rFonts w:ascii="Times New Roman" w:hAnsi="Times New Roman" w:cs="Times New Roman"/>
          <w:color w:val="000000" w:themeColor="text1"/>
          <w:sz w:val="24"/>
          <w:szCs w:val="24"/>
          <w:highlight w:val="none"/>
        </w:rPr>
      </w:r>
    </w:p>
    <w:p w14:paraId="2A887247">
      <w:pPr>
        <w:pBdr/>
        <w:tabs>
          <w:tab w:val="left" w:leader="none" w:pos="426"/>
        </w:tabs>
        <w:spacing w:after="120" w:before="120" w:line="276" w:lineRule="auto"/>
        <w:ind/>
        <w:jc w:val="center"/>
        <w:rPr>
          <w:b w:val="0"/>
          <w:bCs w:val="0"/>
          <w:i/>
          <w:color w:val="000000" w:themeColor="text1"/>
        </w:rPr>
      </w:pPr>
      <w:r>
        <w:rPr>
          <w:b w:val="0"/>
          <w:bCs w:val="0"/>
          <w:color w:val="000000" w:themeColor="text1"/>
          <w:highlight w:val="none"/>
          <w:shd w:val="clear" w:color="auto" w:fill="ffffff"/>
          <w:lang w:val="pt-BR" w:bidi="pt-BR"/>
        </w:rPr>
        <w:t xml:space="preserve">(</w:t>
      </w:r>
      <w:r>
        <w:rPr>
          <w:b w:val="0"/>
          <w:bCs w:val="0"/>
          <w:color w:val="000000" w:themeColor="text1"/>
          <w:highlight w:val="none"/>
          <w:shd w:val="clear" w:color="auto" w:fill="ffffff"/>
          <w:lang w:val="pt-BR" w:bidi="pt-BR"/>
        </w:rPr>
      </w:r>
      <w:hyperlink r:id="rId15" w:tooltip="https://onehousing.vn/blog/cap-nhat-ban-do-quy-hoach-phuong-vinh-hung-quan-hoang-mai-ha-noi-moi-nhat-n17t" w:history="1">
        <w:r>
          <w:rPr>
            <w:rStyle w:val="1025"/>
            <w:rFonts w:ascii="Times New Roman" w:hAnsi="Times New Roman" w:eastAsia="Times New Roman" w:cs="Times New Roman"/>
            <w:b w:val="0"/>
            <w:bCs w:val="0"/>
            <w:color w:val="000000" w:themeColor="text1"/>
            <w:sz w:val="24"/>
            <w:u w:val="single"/>
          </w:rPr>
          <w:t xml:space="preserve">Cập nhật bản đồ quy hoạch phường Vĩnh Hưng quận Hoàng Mai Hà Nội mới nhất</w:t>
        </w:r>
      </w:hyperlink>
      <w:r>
        <w:rPr>
          <w:b w:val="0"/>
          <w:bCs w:val="0"/>
          <w:color w:val="000000" w:themeColor="text1"/>
          <w:highlight w:val="none"/>
          <w:shd w:val="clear" w:color="auto" w:fill="ffffff"/>
          <w:lang w:val="pt-BR" w:bidi="pt-BR"/>
        </w:rPr>
        <w:t xml:space="preserve">)</w:t>
      </w:r>
      <w:r>
        <w:rPr>
          <w:b w:val="0"/>
          <w:bCs w:val="0"/>
          <w:i/>
          <w:color w:val="000000" w:themeColor="text1"/>
        </w:rPr>
      </w:r>
      <w:r>
        <w:rPr>
          <w:b w:val="0"/>
          <w:bCs w:val="0"/>
          <w:i/>
          <w:color w:val="000000" w:themeColor="text1"/>
        </w:rPr>
      </w:r>
    </w:p>
    <w:p w14:paraId="20BF0D54" w14:textId="312C63AB">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7"/>
        <w:gridCol w:w="2480"/>
        <w:gridCol w:w="1408"/>
        <w:gridCol w:w="2743"/>
        <w:gridCol w:w="2086"/>
      </w:tblGrid>
      <w:tr>
        <w:trPr>
          <w:trHeight w:val="1821"/>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7" w:type="dxa"/>
            <w:vAlign w:val="center"/>
            <w:textDirection w:val="lrTb"/>
            <w:noWrap w:val="false"/>
          </w:tcPr>
          <w:p w14:paraId="2C110F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17" w:type="dxa"/>
            <w:vAlign w:val="center"/>
            <w:textDirection w:val="lrTb"/>
            <w:noWrap w:val="false"/>
          </w:tcPr>
          <w:p w14:paraId="529E633F">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395, tờ bản đồ số 48 có địa chỉ: phường Vĩnh Hưng, thành phố Hà Nội theo Giấy chứng nhận quyền sử dụng đất, quyền sở hữu tài sản gắn liền với đất số: AA 03951078, số vào sổ cấp GCN: CN 02979 do Chi nhánh văn phòng đăng ký</w:t>
            </w:r>
            <w:r>
              <w:rPr>
                <w:rFonts w:ascii="Times New Roman" w:hAnsi="Times New Roman" w:eastAsia="Times New Roman" w:cs="Times New Roman"/>
                <w:b/>
                <w:color w:val="000000"/>
                <w:sz w:val="24"/>
              </w:rPr>
              <w:t xml:space="preserve"> đất đai Hà Nội cấp ngày 12/12/2025; Chủ sử dụng đất là Ông Nguyễn Thành Luân và vợ Vũ Thị Nguyệt Ánh</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637" w:type="dxa"/>
            <w:vAlign w:val="center"/>
            <w:textDirection w:val="lrTb"/>
            <w:noWrap w:val="false"/>
          </w:tcPr>
          <w:p w14:paraId="317D82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17" w:type="dxa"/>
            <w:vAlign w:val="center"/>
            <w:textDirection w:val="lrTb"/>
            <w:noWrap w:val="false"/>
          </w:tcPr>
          <w:p w14:paraId="248A53B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37" w:type="dxa"/>
            <w:vAlign w:val="center"/>
            <w:textDirection w:val="lrTb"/>
            <w:noWrap w:val="false"/>
          </w:tcPr>
          <w:p w14:paraId="145163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0" w:type="dxa"/>
            <w:vAlign w:val="center"/>
            <w:textDirection w:val="lrTb"/>
            <w:noWrap w:val="false"/>
          </w:tcPr>
          <w:p w14:paraId="5F2A020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408" w:type="dxa"/>
            <w:vAlign w:val="center"/>
            <w:textDirection w:val="lrTb"/>
            <w:noWrap w:val="false"/>
          </w:tcPr>
          <w:p w14:paraId="6029E4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395</w:t>
            </w:r>
            <w:r/>
          </w:p>
        </w:tc>
        <w:tc>
          <w:tcPr>
            <w:tcBorders>
              <w:bottom w:val="single" w:color="000000" w:sz="8" w:space="0"/>
              <w:right w:val="single" w:color="000000" w:sz="8" w:space="0"/>
            </w:tcBorders>
            <w:tcMar>
              <w:left w:w="108" w:type="dxa"/>
              <w:top w:w="0" w:type="dxa"/>
              <w:right w:w="108" w:type="dxa"/>
              <w:bottom w:w="0" w:type="dxa"/>
            </w:tcMar>
            <w:tcW w:w="2743" w:type="dxa"/>
            <w:vAlign w:val="center"/>
            <w:textDirection w:val="lrTb"/>
            <w:noWrap w:val="false"/>
          </w:tcPr>
          <w:p w14:paraId="47B1D47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580E2C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48</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637" w:type="dxa"/>
            <w:vAlign w:val="center"/>
            <w:textDirection w:val="lrTb"/>
            <w:noWrap w:val="false"/>
          </w:tcPr>
          <w:p w14:paraId="6D4787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0" w:type="dxa"/>
            <w:vAlign w:val="center"/>
            <w:textDirection w:val="lrTb"/>
            <w:noWrap w:val="false"/>
          </w:tcPr>
          <w:p w14:paraId="2545EF4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237" w:type="dxa"/>
            <w:vAlign w:val="center"/>
            <w:textDirection w:val="lrTb"/>
            <w:noWrap w:val="false"/>
          </w:tcPr>
          <w:p w14:paraId="63FF651E">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Phường Vĩnh Hưng, thành phố Hà Nội</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37" w:type="dxa"/>
            <w:vAlign w:val="center"/>
            <w:textDirection w:val="lrTb"/>
            <w:noWrap w:val="false"/>
          </w:tcPr>
          <w:p w14:paraId="1D8976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0" w:type="dxa"/>
            <w:vAlign w:val="center"/>
            <w:textDirection w:val="lrTb"/>
            <w:noWrap w:val="false"/>
          </w:tcPr>
          <w:p w14:paraId="310A44A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408" w:type="dxa"/>
            <w:vAlign w:val="center"/>
            <w:textDirection w:val="lrTb"/>
            <w:noWrap w:val="false"/>
          </w:tcPr>
          <w:p w14:paraId="5B66FC8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76,0</w:t>
            </w:r>
            <w:r/>
          </w:p>
        </w:tc>
        <w:tc>
          <w:tcPr>
            <w:tcBorders>
              <w:bottom w:val="single" w:color="000000" w:sz="8" w:space="0"/>
              <w:right w:val="single" w:color="000000" w:sz="8" w:space="0"/>
            </w:tcBorders>
            <w:tcMar>
              <w:left w:w="108" w:type="dxa"/>
              <w:top w:w="0" w:type="dxa"/>
              <w:right w:w="108" w:type="dxa"/>
              <w:bottom w:w="0" w:type="dxa"/>
            </w:tcMar>
            <w:tcW w:w="2743" w:type="dxa"/>
            <w:vAlign w:val="center"/>
            <w:textDirection w:val="lrTb"/>
            <w:noWrap w:val="false"/>
          </w:tcPr>
          <w:p w14:paraId="30E2269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393F45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chung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37" w:type="dxa"/>
            <w:vAlign w:val="center"/>
            <w:textDirection w:val="lrTb"/>
            <w:noWrap w:val="false"/>
          </w:tcPr>
          <w:p w14:paraId="00DD2A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0" w:type="dxa"/>
            <w:vAlign w:val="center"/>
            <w:textDirection w:val="lrTb"/>
            <w:noWrap w:val="false"/>
          </w:tcPr>
          <w:p w14:paraId="6935515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408" w:type="dxa"/>
            <w:vAlign w:val="center"/>
            <w:textDirection w:val="lrTb"/>
            <w:noWrap w:val="false"/>
          </w:tcPr>
          <w:p w14:paraId="314757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743" w:type="dxa"/>
            <w:vAlign w:val="center"/>
            <w:textDirection w:val="lrTb"/>
            <w:noWrap w:val="false"/>
          </w:tcPr>
          <w:p w14:paraId="7E5ED32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15BD64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1716"/>
        </w:trPr>
        <w:tc>
          <w:tcPr>
            <w:tcBorders>
              <w:left w:val="single" w:color="000000" w:sz="8" w:space="0"/>
              <w:bottom w:val="single" w:color="000000" w:sz="8" w:space="0"/>
              <w:right w:val="single" w:color="000000" w:sz="8" w:space="0"/>
            </w:tcBorders>
            <w:tcMar>
              <w:left w:w="108" w:type="dxa"/>
              <w:top w:w="0" w:type="dxa"/>
              <w:right w:w="108" w:type="dxa"/>
              <w:bottom w:w="0" w:type="dxa"/>
            </w:tcMar>
            <w:tcW w:w="637" w:type="dxa"/>
            <w:vAlign w:val="center"/>
            <w:textDirection w:val="lrTb"/>
            <w:noWrap w:val="false"/>
          </w:tcPr>
          <w:p w14:paraId="39A4D4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0" w:type="dxa"/>
            <w:vAlign w:val="center"/>
            <w:textDirection w:val="lrTb"/>
            <w:noWrap w:val="false"/>
          </w:tcPr>
          <w:p w14:paraId="56249BC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i/>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6237" w:type="dxa"/>
            <w:vAlign w:val="center"/>
            <w:textDirection w:val="lrTb"/>
            <w:noWrap w:val="false"/>
          </w:tcPr>
          <w:p w14:paraId="6AE68FE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i/>
                <w:color w:val="000000"/>
                <w:sz w:val="24"/>
              </w:rPr>
              <w:t xml:space="preserve">- Giấy chứng nhận này được cấp đổi từ Giấy chứng nhận số CD 243511 được Sở tài nguyên và môi trường thành phố Hà Nội cấp ngày 11/05/2016. </w:t>
              <w:br/>
              <w:t xml:space="preserve"> - Số tờ, số thửa, và bản đồ được xác định theo bản đồ dự án tổng thể </w:t>
              <w:br/>
              <w:t xml:space="preserve"> - Bản đồ 1994: Thửa đất số 22(4); tờ bản đồ s</w:t>
            </w:r>
            <w:r>
              <w:rPr>
                <w:rFonts w:ascii="Times New Roman" w:hAnsi="Times New Roman" w:eastAsia="Times New Roman" w:cs="Times New Roman"/>
                <w:i/>
                <w:color w:val="000000"/>
                <w:sz w:val="24"/>
              </w:rPr>
              <w:t xml:space="preserve">ố 11 (phường Lĩnh Nam, quận Hoàng Mai cũ)</w:t>
            </w:r>
            <w:r/>
          </w:p>
        </w:tc>
      </w:tr>
      <w:tr>
        <w:trPr>
          <w:trHeight w:val="804"/>
        </w:trPr>
        <w:tc>
          <w:tcPr>
            <w:tcBorders>
              <w:left w:val="single" w:color="000000" w:sz="8" w:space="0"/>
              <w:bottom w:val="single" w:color="000000" w:sz="8" w:space="0"/>
              <w:right w:val="single" w:color="000000" w:sz="8" w:space="0"/>
            </w:tcBorders>
            <w:tcMar>
              <w:left w:w="108" w:type="dxa"/>
              <w:top w:w="0" w:type="dxa"/>
              <w:right w:w="108" w:type="dxa"/>
              <w:bottom w:w="0" w:type="dxa"/>
            </w:tcMar>
            <w:tcW w:w="637" w:type="dxa"/>
            <w:vAlign w:val="center"/>
            <w:textDirection w:val="lrTb"/>
            <w:noWrap w:val="false"/>
          </w:tcPr>
          <w:p w14:paraId="3C1CE30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0" w:type="dxa"/>
            <w:vAlign w:val="center"/>
            <w:textDirection w:val="lrTb"/>
            <w:noWrap w:val="false"/>
          </w:tcPr>
          <w:p w14:paraId="54FE28D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237" w:type="dxa"/>
            <w:vAlign w:val="center"/>
            <w:textDirection w:val="lrTb"/>
            <w:noWrap w:val="false"/>
          </w:tcPr>
          <w:p w14:paraId="562EF456">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thậm định chưa thu thập được các thông tin quy hoạch liên quan đến thửa đất thẩm định giá.</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37" w:type="dxa"/>
            <w:vAlign w:val="center"/>
            <w:textDirection w:val="lrTb"/>
            <w:noWrap w:val="false"/>
          </w:tcPr>
          <w:p w14:paraId="64B820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17" w:type="dxa"/>
            <w:vAlign w:val="center"/>
            <w:textDirection w:val="lrTb"/>
            <w:noWrap w:val="false"/>
          </w:tcPr>
          <w:p w14:paraId="4689B1E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637" w:type="dxa"/>
            <w:vAlign w:val="center"/>
            <w:textDirection w:val="lrTb"/>
            <w:noWrap w:val="false"/>
          </w:tcPr>
          <w:p w14:paraId="2C60CD1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17" w:type="dxa"/>
            <w:vAlign w:val="center"/>
            <w:textDirection w:val="lrTb"/>
            <w:noWrap w:val="false"/>
          </w:tcPr>
          <w:p w14:paraId="3B69662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816"/>
        </w:trPr>
        <w:tc>
          <w:tcPr>
            <w:tcBorders>
              <w:left w:val="single" w:color="000000" w:sz="8" w:space="0"/>
              <w:bottom w:val="single" w:color="000000" w:sz="8" w:space="0"/>
              <w:right w:val="single" w:color="000000" w:sz="8" w:space="0"/>
            </w:tcBorders>
            <w:tcMar>
              <w:left w:w="108" w:type="dxa"/>
              <w:top w:w="0" w:type="dxa"/>
              <w:right w:w="108" w:type="dxa"/>
              <w:bottom w:w="0" w:type="dxa"/>
            </w:tcMar>
            <w:tcW w:w="637" w:type="dxa"/>
            <w:vAlign w:val="center"/>
            <w:textDirection w:val="lrTb"/>
            <w:noWrap w:val="false"/>
          </w:tcPr>
          <w:p w14:paraId="7DA63C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0" w:type="dxa"/>
            <w:vAlign w:val="center"/>
            <w:textDirection w:val="lrTb"/>
            <w:noWrap w:val="false"/>
          </w:tcPr>
          <w:p w14:paraId="53DAB15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237" w:type="dxa"/>
            <w:vAlign w:val="center"/>
            <w:textDirection w:val="lrTb"/>
            <w:noWrap w:val="false"/>
          </w:tcPr>
          <w:p w14:paraId="3B7D2B06">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Phường Vĩnh Hưng, thành phố Hà Nội</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637" w:type="dxa"/>
            <w:vAlign w:val="center"/>
            <w:textDirection w:val="lrTb"/>
            <w:noWrap w:val="false"/>
          </w:tcPr>
          <w:p w14:paraId="2A0C66A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0" w:type="dxa"/>
            <w:vAlign w:val="center"/>
            <w:textDirection w:val="lrTb"/>
            <w:noWrap w:val="false"/>
          </w:tcPr>
          <w:p w14:paraId="27FF4DA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408" w:type="dxa"/>
            <w:vAlign w:val="center"/>
            <w:textDirection w:val="lrTb"/>
            <w:noWrap w:val="false"/>
          </w:tcPr>
          <w:p w14:paraId="4E1BC9B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2743" w:type="dxa"/>
            <w:vAlign w:val="center"/>
            <w:textDirection w:val="lrTb"/>
            <w:noWrap w:val="false"/>
          </w:tcPr>
          <w:p w14:paraId="3E8ED39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19CE91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1248"/>
        </w:trPr>
        <w:tc>
          <w:tcPr>
            <w:tcBorders>
              <w:left w:val="single" w:color="000000" w:sz="8" w:space="0"/>
              <w:bottom w:val="single" w:color="000000" w:sz="8" w:space="0"/>
            </w:tcBorders>
            <w:tcMar>
              <w:left w:w="108" w:type="dxa"/>
              <w:top w:w="0" w:type="dxa"/>
              <w:right w:w="108" w:type="dxa"/>
              <w:bottom w:w="0" w:type="dxa"/>
            </w:tcMar>
            <w:tcW w:w="637" w:type="dxa"/>
            <w:vAlign w:val="center"/>
            <w:textDirection w:val="lrTb"/>
            <w:noWrap w:val="false"/>
          </w:tcPr>
          <w:p w14:paraId="09DA8B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480" w:type="dxa"/>
            <w:vAlign w:val="center"/>
            <w:textDirection w:val="lrTb"/>
            <w:noWrap w:val="false"/>
          </w:tcPr>
          <w:p w14:paraId="54E610A8">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1408" w:type="dxa"/>
            <w:vAlign w:val="center"/>
            <w:textDirection w:val="lrTb"/>
            <w:noWrap w:val="false"/>
          </w:tcPr>
          <w:p w14:paraId="4C7F12A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3m</w:t>
            </w:r>
            <w:r/>
          </w:p>
        </w:tc>
        <w:tc>
          <w:tcPr>
            <w:tcBorders>
              <w:bottom w:val="single" w:color="000000" w:sz="8" w:space="0"/>
              <w:right w:val="single" w:color="000000" w:sz="8" w:space="0"/>
            </w:tcBorders>
            <w:tcMar>
              <w:left w:w="108" w:type="dxa"/>
              <w:top w:w="0" w:type="dxa"/>
              <w:right w:w="108" w:type="dxa"/>
              <w:bottom w:w="0" w:type="dxa"/>
            </w:tcMar>
            <w:tcW w:w="2743" w:type="dxa"/>
            <w:vAlign w:val="center"/>
            <w:textDirection w:val="lrTb"/>
            <w:noWrap w:val="false"/>
          </w:tcPr>
          <w:p w14:paraId="7B1726D8">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6B30B6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trước mặt 3m</w:t>
            </w:r>
            <w:r/>
          </w:p>
        </w:tc>
      </w:tr>
      <w:tr>
        <w:trPr>
          <w:trHeight w:val="984"/>
        </w:trPr>
        <w:tc>
          <w:tcPr>
            <w:tcBorders>
              <w:left w:val="single" w:color="000000" w:sz="8" w:space="0"/>
              <w:bottom w:val="single" w:color="000000" w:sz="8" w:space="0"/>
              <w:right w:val="single" w:color="000000" w:sz="8" w:space="0"/>
            </w:tcBorders>
            <w:tcMar>
              <w:left w:w="108" w:type="dxa"/>
              <w:top w:w="0" w:type="dxa"/>
              <w:right w:w="108" w:type="dxa"/>
              <w:bottom w:w="0" w:type="dxa"/>
            </w:tcMar>
            <w:tcW w:w="637" w:type="dxa"/>
            <w:vAlign w:val="center"/>
            <w:textDirection w:val="lrTb"/>
            <w:noWrap w:val="false"/>
          </w:tcPr>
          <w:p w14:paraId="54B59E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0" w:type="dxa"/>
            <w:vAlign w:val="center"/>
            <w:textDirection w:val="lrTb"/>
            <w:noWrap w:val="false"/>
          </w:tcPr>
          <w:p w14:paraId="64C97D3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237" w:type="dxa"/>
            <w:vAlign w:val="center"/>
            <w:textDirection w:val="lrTb"/>
            <w:noWrap w:val="false"/>
          </w:tcPr>
          <w:p w14:paraId="0FE4B732">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tại phường Vĩnh Hưng, thành phố Hà Nội; cách đường Nguyễn Đăng Đạo khoảng 350m</w:t>
            </w:r>
            <w:r/>
          </w:p>
        </w:tc>
      </w:tr>
      <w:tr>
        <w:trPr>
          <w:trHeight w:val="792"/>
        </w:trPr>
        <w:tc>
          <w:tcPr>
            <w:tcBorders>
              <w:left w:val="single" w:color="000000" w:sz="8" w:space="0"/>
              <w:bottom w:val="single" w:color="000000" w:sz="8" w:space="0"/>
              <w:right w:val="single" w:color="000000" w:sz="8" w:space="0"/>
            </w:tcBorders>
            <w:tcMar>
              <w:left w:w="108" w:type="dxa"/>
              <w:top w:w="0" w:type="dxa"/>
              <w:right w:w="108" w:type="dxa"/>
              <w:bottom w:w="0" w:type="dxa"/>
            </w:tcMar>
            <w:tcW w:w="637" w:type="dxa"/>
            <w:vAlign w:val="center"/>
            <w:textDirection w:val="lrTb"/>
            <w:noWrap w:val="false"/>
          </w:tcPr>
          <w:p w14:paraId="10A054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0" w:type="dxa"/>
            <w:vAlign w:val="center"/>
            <w:textDirection w:val="lrTb"/>
            <w:noWrap w:val="false"/>
          </w:tcPr>
          <w:p w14:paraId="793434A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237" w:type="dxa"/>
            <w:vAlign w:val="center"/>
            <w:textDirection w:val="lrTb"/>
            <w:noWrap w:val="false"/>
          </w:tcPr>
          <w:p w14:paraId="4E7B71E2">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Nam: Tiếp giáp đường bê tông khoảng 3m</w:t>
              <w:br/>
              <w:t xml:space="preserve">Các hướng khác: Tiếp giáp các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37" w:type="dxa"/>
            <w:vAlign w:val="center"/>
            <w:textDirection w:val="lrTb"/>
            <w:noWrap w:val="false"/>
          </w:tcPr>
          <w:p w14:paraId="141B0C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17" w:type="dxa"/>
            <w:vAlign w:val="center"/>
            <w:textDirection w:val="lrTb"/>
            <w:noWrap w:val="false"/>
          </w:tcPr>
          <w:p w14:paraId="20D9568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(20.983168, 105.882564)</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37" w:type="dxa"/>
            <w:vAlign w:val="center"/>
            <w:textDirection w:val="lrTb"/>
            <w:noWrap w:val="false"/>
          </w:tcPr>
          <w:p w14:paraId="02EC50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17" w:type="dxa"/>
            <w:vAlign w:val="center"/>
            <w:textDirection w:val="lrTb"/>
            <w:noWrap w:val="false"/>
          </w:tcPr>
          <w:p w14:paraId="546A2EB5">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6048375" cy="320676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617026" name=""/>
                              <pic:cNvPicPr>
                                <a:picLocks noChangeAspect="1"/>
                              </pic:cNvPicPr>
                              <pic:nvPr/>
                            </pic:nvPicPr>
                            <pic:blipFill rotWithShape="1">
                              <a:blip r:embed="rId16"/>
                              <a:stretch/>
                            </pic:blipFill>
                            <pic:spPr bwMode="auto">
                              <a:xfrm>
                                <a:off x="0" y="0"/>
                                <a:ext cx="6048374" cy="3206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52.50pt;mso-wrap-distance-left:0.00pt;mso-wrap-distance-top:0.00pt;mso-wrap-distance-right:0.00pt;mso-wrap-distance-bottom:0.00pt;z-index:1;" stroked="false">
                      <v:imagedata r:id="rId16" o:title=""/>
                      <o:lock v:ext="edit" rotation="t"/>
                    </v:shape>
                  </w:pict>
                </mc:Fallback>
              </mc:AlternateContent>
            </w:r>
            <w:r>
              <w:rPr>
                <w:rFonts w:ascii="Times New Roman" w:hAnsi="Times New Roman" w:eastAsia="Times New Roman" w:cs="Times New Roman"/>
                <w:color w:val="000000"/>
                <w:sz w:val="24"/>
              </w:rP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37" w:type="dxa"/>
            <w:vAlign w:val="center"/>
            <w:textDirection w:val="lrTb"/>
            <w:noWrap w:val="false"/>
          </w:tcPr>
          <w:p w14:paraId="269101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17" w:type="dxa"/>
            <w:vAlign w:val="center"/>
            <w:textDirection w:val="lrTb"/>
            <w:noWrap w:val="false"/>
          </w:tcPr>
          <w:p w14:paraId="64521DF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878"/>
        </w:trPr>
        <w:tc>
          <w:tcPr>
            <w:tcBorders>
              <w:left w:val="single" w:color="000000" w:sz="8" w:space="0"/>
              <w:bottom w:val="single" w:color="000000" w:sz="8" w:space="0"/>
              <w:right w:val="single" w:color="000000" w:sz="8" w:space="0"/>
            </w:tcBorders>
            <w:tcMar>
              <w:left w:w="108" w:type="dxa"/>
              <w:top w:w="0" w:type="dxa"/>
              <w:right w:w="108" w:type="dxa"/>
              <w:bottom w:w="0" w:type="dxa"/>
            </w:tcMar>
            <w:tcW w:w="637" w:type="dxa"/>
            <w:vAlign w:val="center"/>
            <w:textDirection w:val="lrTb"/>
            <w:noWrap w:val="false"/>
          </w:tcPr>
          <w:p w14:paraId="1BDF73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0" w:type="dxa"/>
            <w:vAlign w:val="center"/>
            <w:textDirection w:val="lrTb"/>
            <w:noWrap w:val="false"/>
          </w:tcPr>
          <w:p w14:paraId="519BFAB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1408" w:type="dxa"/>
            <w:vAlign w:val="center"/>
            <w:textDirection w:val="lrTb"/>
            <w:noWrap w:val="false"/>
          </w:tcPr>
          <w:p w14:paraId="5FAA09D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35,2 (thuộc QSD của hai vợ chồng)</w:t>
            </w:r>
            <w:r>
              <w:rPr>
                <w:color w:val="000000" w:themeColor="text1"/>
              </w:rPr>
            </w:r>
            <w:r>
              <w:rPr>
                <w:color w:val="000000" w:themeColor="text1"/>
              </w:rPr>
            </w:r>
          </w:p>
        </w:tc>
        <w:tc>
          <w:tcPr>
            <w:tcBorders>
              <w:bottom w:val="single" w:color="000000" w:sz="8" w:space="0"/>
              <w:right w:val="single" w:color="000000" w:sz="8" w:space="0"/>
            </w:tcBorders>
            <w:tcMar>
              <w:left w:w="108" w:type="dxa"/>
              <w:top w:w="0" w:type="dxa"/>
              <w:right w:w="108" w:type="dxa"/>
              <w:bottom w:w="0" w:type="dxa"/>
            </w:tcMar>
            <w:tcW w:w="2743" w:type="dxa"/>
            <w:vAlign w:val="center"/>
            <w:textDirection w:val="lrTb"/>
            <w:noWrap w:val="false"/>
          </w:tcPr>
          <w:p w14:paraId="745CAF5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73CC38FA">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40,8</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37" w:type="dxa"/>
            <w:vAlign w:val="center"/>
            <w:textDirection w:val="lrTb"/>
            <w:noWrap w:val="false"/>
          </w:tcPr>
          <w:p w14:paraId="6BBEAD3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0" w:type="dxa"/>
            <w:vAlign w:val="center"/>
            <w:textDirection w:val="lrTb"/>
            <w:noWrap w:val="false"/>
          </w:tcPr>
          <w:p w14:paraId="15C1A77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408" w:type="dxa"/>
            <w:vAlign w:val="center"/>
            <w:textDirection w:val="lrTb"/>
            <w:noWrap w:val="false"/>
          </w:tcPr>
          <w:p w14:paraId="10E4A5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3,30</w:t>
            </w:r>
            <w:r/>
          </w:p>
        </w:tc>
        <w:tc>
          <w:tcPr>
            <w:tcBorders>
              <w:bottom w:val="single" w:color="000000" w:sz="8" w:space="0"/>
              <w:right w:val="single" w:color="000000" w:sz="8" w:space="0"/>
            </w:tcBorders>
            <w:tcMar>
              <w:left w:w="108" w:type="dxa"/>
              <w:top w:w="0" w:type="dxa"/>
              <w:right w:w="108" w:type="dxa"/>
              <w:bottom w:w="0" w:type="dxa"/>
            </w:tcMar>
            <w:tcW w:w="2743" w:type="dxa"/>
            <w:vAlign w:val="center"/>
            <w:textDirection w:val="lrTb"/>
            <w:noWrap w:val="false"/>
          </w:tcPr>
          <w:p w14:paraId="1EB44EF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1B3633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10,83</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37" w:type="dxa"/>
            <w:vAlign w:val="center"/>
            <w:textDirection w:val="lrTb"/>
            <w:noWrap w:val="false"/>
          </w:tcPr>
          <w:p w14:paraId="6064DF3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0" w:type="dxa"/>
            <w:vAlign w:val="center"/>
            <w:textDirection w:val="lrTb"/>
            <w:noWrap w:val="false"/>
          </w:tcPr>
          <w:p w14:paraId="75BCB6C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408" w:type="dxa"/>
            <w:vAlign w:val="center"/>
            <w:textDirection w:val="lrTb"/>
            <w:noWrap w:val="false"/>
          </w:tcPr>
          <w:p w14:paraId="784F5E8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w:t>
            </w:r>
            <w:r/>
          </w:p>
        </w:tc>
        <w:tc>
          <w:tcPr>
            <w:tcBorders>
              <w:bottom w:val="single" w:color="000000" w:sz="8" w:space="0"/>
              <w:right w:val="single" w:color="000000" w:sz="8" w:space="0"/>
            </w:tcBorders>
            <w:tcMar>
              <w:left w:w="108" w:type="dxa"/>
              <w:top w:w="0" w:type="dxa"/>
              <w:right w:w="108" w:type="dxa"/>
              <w:bottom w:w="0" w:type="dxa"/>
            </w:tcMar>
            <w:tcW w:w="2743" w:type="dxa"/>
            <w:vAlign w:val="center"/>
            <w:textDirection w:val="lrTb"/>
            <w:noWrap w:val="false"/>
          </w:tcPr>
          <w:p w14:paraId="6B00005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2CF93CA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Nam</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37" w:type="dxa"/>
            <w:vAlign w:val="center"/>
            <w:textDirection w:val="lrTb"/>
            <w:noWrap w:val="false"/>
          </w:tcPr>
          <w:p w14:paraId="7108D2A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17" w:type="dxa"/>
            <w:vAlign w:val="center"/>
            <w:textDirection w:val="lrTb"/>
            <w:noWrap w:val="false"/>
          </w:tcPr>
          <w:p w14:paraId="6405F4C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37" w:type="dxa"/>
            <w:vAlign w:val="center"/>
            <w:textDirection w:val="lrTb"/>
            <w:noWrap w:val="false"/>
          </w:tcPr>
          <w:p w14:paraId="4B09DF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0" w:type="dxa"/>
            <w:vAlign w:val="center"/>
            <w:textDirection w:val="lrTb"/>
            <w:noWrap w:val="false"/>
          </w:tcPr>
          <w:p w14:paraId="3A2F100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237" w:type="dxa"/>
            <w:vAlign w:val="center"/>
            <w:textDirection w:val="lrTb"/>
            <w:noWrap w:val="false"/>
          </w:tcPr>
          <w:p w14:paraId="0F7B104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37" w:type="dxa"/>
            <w:vAlign w:val="center"/>
            <w:textDirection w:val="lrTb"/>
            <w:noWrap w:val="false"/>
          </w:tcPr>
          <w:p w14:paraId="6F9179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0" w:type="dxa"/>
            <w:vAlign w:val="center"/>
            <w:textDirection w:val="lrTb"/>
            <w:noWrap w:val="false"/>
          </w:tcPr>
          <w:p w14:paraId="4A7FEF2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237" w:type="dxa"/>
            <w:vAlign w:val="center"/>
            <w:textDirection w:val="lrTb"/>
            <w:noWrap w:val="false"/>
          </w:tcPr>
          <w:p w14:paraId="3D25C20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637" w:type="dxa"/>
            <w:vAlign w:val="center"/>
            <w:textDirection w:val="lrTb"/>
            <w:noWrap w:val="false"/>
          </w:tcPr>
          <w:p w14:paraId="63EED8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0" w:type="dxa"/>
            <w:vAlign w:val="center"/>
            <w:textDirection w:val="lrTb"/>
            <w:noWrap w:val="false"/>
          </w:tcPr>
          <w:p w14:paraId="44D7B56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408" w:type="dxa"/>
            <w:vAlign w:val="center"/>
            <w:textDirection w:val="lrTb"/>
            <w:noWrap w:val="false"/>
          </w:tcPr>
          <w:p w14:paraId="20C108A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 đông đúc</w:t>
            </w:r>
            <w:r/>
          </w:p>
        </w:tc>
        <w:tc>
          <w:tcPr>
            <w:tcBorders>
              <w:bottom w:val="single" w:color="000000" w:sz="8" w:space="0"/>
              <w:right w:val="single" w:color="000000" w:sz="8" w:space="0"/>
            </w:tcBorders>
            <w:tcMar>
              <w:left w:w="108" w:type="dxa"/>
              <w:top w:w="0" w:type="dxa"/>
              <w:right w:w="108" w:type="dxa"/>
              <w:bottom w:w="0" w:type="dxa"/>
            </w:tcMar>
            <w:tcW w:w="2743" w:type="dxa"/>
            <w:vAlign w:val="center"/>
            <w:textDirection w:val="lrTb"/>
            <w:noWrap w:val="false"/>
          </w:tcPr>
          <w:p w14:paraId="35DBE10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7410DB5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637" w:type="dxa"/>
            <w:vAlign w:val="center"/>
            <w:textDirection w:val="lrTb"/>
            <w:noWrap w:val="false"/>
          </w:tcPr>
          <w:p w14:paraId="787145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0" w:type="dxa"/>
            <w:vAlign w:val="center"/>
            <w:textDirection w:val="lrTb"/>
            <w:noWrap w:val="false"/>
          </w:tcPr>
          <w:p w14:paraId="7F8B818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408" w:type="dxa"/>
            <w:vAlign w:val="center"/>
            <w:textDirection w:val="lrTb"/>
            <w:noWrap w:val="false"/>
          </w:tcPr>
          <w:p w14:paraId="46EC85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743" w:type="dxa"/>
            <w:vAlign w:val="center"/>
            <w:textDirection w:val="lrTb"/>
            <w:noWrap w:val="false"/>
          </w:tcPr>
          <w:p w14:paraId="1703BBB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43A5F8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37" w:type="dxa"/>
            <w:vAlign w:val="center"/>
            <w:textDirection w:val="lrTb"/>
            <w:noWrap w:val="false"/>
          </w:tcPr>
          <w:p w14:paraId="5DB78C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17" w:type="dxa"/>
            <w:vAlign w:val="center"/>
            <w:textDirection w:val="lrTb"/>
            <w:noWrap w:val="false"/>
          </w:tcPr>
          <w:p w14:paraId="13959DE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637" w:type="dxa"/>
            <w:vAlign w:val="center"/>
            <w:textDirection w:val="lrTb"/>
            <w:noWrap w:val="false"/>
          </w:tcPr>
          <w:p w14:paraId="7D2227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717" w:type="dxa"/>
            <w:vAlign w:val="top"/>
            <w:textDirection w:val="lrTb"/>
            <w:noWrap w:val="false"/>
          </w:tcPr>
          <w:p w14:paraId="11405A32">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Căn cứ theo hiện trạng khảo sát thực tế dưới sự hướng dẫn của Khách hàng, có CTXD là nhà cấp 4, không được ghi nhận GCN số AA 03951078, xây hết đất, xây dựng năm 2016.</w:t>
            </w:r>
            <w:r/>
          </w:p>
        </w:tc>
      </w:tr>
    </w:tbl>
    <w:p w14:paraId="4D7BF0EC">
      <w:pPr>
        <w:pBdr/>
        <w:spacing/>
        <w:ind/>
        <w:rPr>
          <w:b/>
          <w:bCs/>
        </w:rPr>
      </w:pPr>
      <w:r>
        <w:rPr>
          <w:b/>
          <w:bCs/>
          <w:highlight w:val="none"/>
          <w:shd w:val="clear" w:color="auto" w:fill="ffffff"/>
        </w:rPr>
      </w:r>
      <w:r>
        <w:rPr>
          <w:b/>
          <w:bCs/>
        </w:rPr>
      </w:r>
      <w:r>
        <w:rPr>
          <w:b/>
          <w:bCs/>
        </w:rPr>
      </w:r>
    </w:p>
    <w:p w14:paraId="7CF9D5D4" w14:textId="24DD2DA8">
      <w:pPr>
        <w:pBdr/>
        <w:spacing/>
        <w:ind/>
        <w:rPr>
          <w:b/>
          <w:bCs/>
          <w:highlight w:val="none"/>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highlight w:val="none"/>
          <w:shd w:val="clear" w:color="auto" w:fill="ffffff"/>
        </w:rPr>
      </w:r>
      <w:r>
        <w:rPr>
          <w:b/>
          <w:bCs/>
          <w:highlight w:val="none"/>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Yếu tố</w:t>
            </w:r>
            <w:r>
              <w:rPr>
                <w:b/>
                <w:bCs/>
              </w:rPr>
            </w:r>
            <w:r>
              <w:rPr>
                <w:b/>
                <w:bCs/>
              </w:rPr>
            </w:r>
          </w:p>
        </w:tc>
        <w:tc>
          <w:tcPr>
            <w:tcBorders/>
            <w:tcW w:w="1560" w:type="dxa"/>
            <w:vAlign w:val="center"/>
            <w:textDirection w:val="lrTb"/>
            <w:noWrap w:val="false"/>
          </w:tcPr>
          <w:p w14:paraId="1B3AFC44" w14:textId="77777777">
            <w:pPr>
              <w:pBdr/>
              <w:spacing/>
              <w:ind/>
              <w:jc w:val="center"/>
              <w:rPr>
                <w:b/>
                <w:bCs/>
                <w:color w:val="000000" w:themeColor="text1"/>
              </w:rPr>
            </w:pPr>
            <w:r>
              <w:rPr>
                <w:b/>
                <w:bCs/>
                <w:color w:val="000000" w:themeColor="text1"/>
              </w:rPr>
              <w:t xml:space="preserve">Sơ đồ thửa đất theo pháp lý</w:t>
            </w:r>
            <w:r>
              <w:rPr>
                <w:b/>
                <w:bCs/>
                <w:color w:val="000000" w:themeColor="text1"/>
              </w:rPr>
            </w:r>
            <w:r>
              <w:rPr>
                <w:b/>
                <w:bCs/>
                <w:color w:val="000000" w:themeColor="text1"/>
              </w:rPr>
            </w:r>
          </w:p>
        </w:tc>
        <w:tc>
          <w:tcPr>
            <w:tcBorders/>
            <w:tcW w:w="1605" w:type="dxa"/>
            <w:vAlign w:val="center"/>
            <w:textDirection w:val="lrTb"/>
            <w:noWrap w:val="false"/>
          </w:tcPr>
          <w:p w14:paraId="40EC88AE" w14:textId="77777777">
            <w:pPr>
              <w:pBdr/>
              <w:spacing/>
              <w:ind/>
              <w:jc w:val="center"/>
              <w:rPr>
                <w:b/>
                <w:bCs/>
                <w:color w:val="000000" w:themeColor="text1"/>
              </w:rPr>
            </w:pPr>
            <w:r>
              <w:rPr>
                <w:b/>
                <w:bCs/>
                <w:color w:val="000000" w:themeColor="text1"/>
              </w:rPr>
              <w:t xml:space="preserve">Thông tin khảo sát</w:t>
            </w:r>
            <w:r>
              <w:rPr>
                <w:b/>
                <w:bCs/>
                <w:color w:val="000000" w:themeColor="text1"/>
              </w:rPr>
            </w:r>
            <w:r>
              <w:rPr>
                <w:b/>
                <w:bCs/>
                <w:color w:val="000000" w:themeColor="text1"/>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color w:val="000000" w:themeColor="text1"/>
                <w:highlight w:val="none"/>
              </w:rPr>
            </w:pPr>
            <w:r>
              <w:rPr>
                <w:color w:val="000000" w:themeColor="text1"/>
                <w:highlight w:val="yellow"/>
              </w:rPr>
            </w:r>
            <w:r>
              <w:rPr>
                <w:color w:val="000000" w:themeColor="text1"/>
                <w:highlight w:val="none"/>
              </w:rPr>
              <w:t xml:space="preserve">0,8m</w:t>
            </w:r>
            <w:r>
              <w:rPr>
                <w:color w:val="000000" w:themeColor="text1"/>
                <w:highlight w:val="none"/>
              </w:rPr>
            </w:r>
            <w:r>
              <w:rPr>
                <w:color w:val="000000" w:themeColor="text1"/>
                <w:highlight w:val="none"/>
              </w:rPr>
            </w:r>
          </w:p>
        </w:tc>
        <w:tc>
          <w:tcPr>
            <w:tcBorders/>
            <w:tcW w:w="1605" w:type="dxa"/>
            <w:vAlign w:val="center"/>
            <w:textDirection w:val="lrTb"/>
            <w:noWrap w:val="false"/>
          </w:tcPr>
          <w:p w14:paraId="79F97508" w14:textId="77777777">
            <w:pPr>
              <w:pBdr/>
              <w:spacing/>
              <w:ind/>
              <w:jc w:val="center"/>
              <w:rPr>
                <w:color w:val="000000" w:themeColor="text1"/>
              </w:rPr>
            </w:pPr>
            <w:r>
              <w:rPr>
                <w:color w:val="000000" w:themeColor="text1"/>
              </w:rPr>
            </w:r>
            <w:r>
              <w:rPr>
                <w:color w:val="000000" w:themeColor="text1"/>
                <w:highlight w:val="none"/>
              </w:rPr>
              <w:t xml:space="preserve">3m</w:t>
            </w:r>
            <w:r>
              <w:rPr>
                <w:color w:val="000000" w:themeColor="text1"/>
              </w:rPr>
            </w:r>
            <w:r>
              <w:rPr>
                <w:color w:val="000000" w:themeColor="text1"/>
              </w:rPr>
            </w:r>
          </w:p>
        </w:tc>
        <w:tc>
          <w:tcPr>
            <w:tcBorders/>
            <w:tcW w:w="1371" w:type="dxa"/>
            <w:vAlign w:val="center"/>
            <w:textDirection w:val="lrTb"/>
            <w:noWrap w:val="false"/>
          </w:tcPr>
          <w:p w14:paraId="720BC03F" w14:textId="77777777">
            <w:pPr>
              <w:pBdr/>
              <w:spacing/>
              <w:ind/>
              <w:jc w:val="center"/>
              <w:rPr/>
            </w:pPr>
            <w:r>
              <w:t xml:space="preserve">2,2m</w:t>
            </w:r>
            <w:r/>
          </w:p>
        </w:tc>
        <w:tc>
          <w:tcPr>
            <w:tcBorders/>
            <w:tcW w:w="2149" w:type="dxa"/>
            <w:vAlign w:val="center"/>
            <w:textDirection w:val="lrTb"/>
            <w:noWrap w:val="false"/>
          </w:tcPr>
          <w:p w14:paraId="47DB12F8" w14:textId="77777777">
            <w:pPr>
              <w:pBdr/>
              <w:spacing/>
              <w:ind/>
              <w:jc w:val="center"/>
              <w:rPr/>
            </w:pPr>
            <w:r>
              <w:t xml:space="preserve">Thông tin từ chủ tài sản, đường được mở rộng thêm, không ảnh hưởng đến diện tích thửa đất</w:t>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highlight w:val="none"/>
          <w:u w:val="single"/>
        </w:rPr>
      </w:pPr>
      <w:r>
        <w:rPr>
          <w:b/>
          <w:bCs/>
          <w:u w:val="single"/>
        </w:rPr>
        <w:t xml:space="preserve">Các</w:t>
      </w:r>
      <w:r>
        <w:rPr>
          <w:b/>
          <w:bCs/>
          <w:u w:val="single"/>
        </w:rPr>
        <w:t xml:space="preserve"> lợi thế thương mại </w:t>
      </w:r>
      <w:r>
        <w:rPr>
          <w:b/>
          <w:bCs/>
          <w:u w:val="single"/>
        </w:rPr>
        <w:t xml:space="preserve">của thửa đất:</w:t>
      </w:r>
      <w:r>
        <w:rPr>
          <w:b/>
          <w:bCs/>
          <w:highlight w:val="none"/>
          <w:u w:val="single"/>
        </w:rPr>
      </w:r>
      <w:r>
        <w:rPr>
          <w:b/>
          <w:bCs/>
          <w:highlight w:val="none"/>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3657"/>
        <w:gridCol w:w="1560"/>
        <w:gridCol w:w="3571"/>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657" w:type="dxa"/>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60" w:type="dxa"/>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560" w:type="dxa"/>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560" w:type="dxa"/>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560" w:type="dxa"/>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560" w:type="dxa"/>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560" w:type="dxa"/>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560" w:type="dxa"/>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560" w:type="dxa"/>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560" w:type="dxa"/>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560" w:type="dxa"/>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DD83A81">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highlight w:val="white"/>
        </w:rPr>
      </w:pPr>
      <w:r>
        <w:rPr>
          <w:rFonts w:ascii="Times New Roman" w:hAnsi="Times New Roman" w:eastAsia="Times New Roman" w:cs="Times New Roman"/>
          <w:color w:val="000000"/>
          <w:sz w:val="24"/>
        </w:rPr>
        <w:t xml:space="preserve">Căn cứ theo hiện trạng khảo sát thực tế dưới sự hướng dẫn của Khách hàng</w:t>
      </w:r>
      <w:r>
        <w:rPr>
          <w:rFonts w:ascii="Times New Roman" w:hAnsi="Times New Roman" w:eastAsia="Times New Roman" w:cs="Times New Roman"/>
          <w:color w:val="000000"/>
          <w:sz w:val="24"/>
        </w:rPr>
        <w:t xml:space="preserve">, có CTXD là nhà cấp 4, không được ghi nhận GCN số AA 03951078, xây hết đất, xây dựng năm 2016</w:t>
      </w:r>
      <w:r>
        <w:rPr>
          <w:rFonts w:ascii="Times New Roman" w:hAnsi="Times New Roman" w:eastAsia="Times New Roman" w:cs="Times New Roman"/>
          <w:color w:val="000000"/>
          <w:sz w:val="24"/>
        </w:rPr>
        <w:t xml:space="preserve">. Theo đề nghị của Ngân hàng/Khách hàng, Tổ thẩm định không xác định giá trị của công trình xây dựng vào tổng giá trị, nhưng vẫn coi đó là phần không thể tách rời của tài sản thẩm định. Kính đề nghị đơn </w:t>
      </w:r>
      <w:r>
        <w:rPr>
          <w:rFonts w:ascii="Times New Roman" w:hAnsi="Times New Roman" w:eastAsia="Times New Roman" w:cs="Times New Roman"/>
          <w:color w:val="000000"/>
          <w:sz w:val="24"/>
          <w:highlight w:val="white"/>
        </w:rPr>
        <w:t xml:space="preserve">vị sử dụng kết quả lưu ý.</w:t>
      </w:r>
      <w:r>
        <w:rPr>
          <w:highlight w:val="white"/>
        </w:rPr>
      </w:r>
      <w:r>
        <w:rPr>
          <w:highlight w:val="white"/>
        </w:rPr>
      </w:r>
    </w:p>
    <w:p w14:paraId="003C0D42">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highlight w:val="white"/>
        </w:rPr>
      </w:pPr>
      <w:r>
        <w:rPr>
          <w:rFonts w:ascii="Times New Roman" w:hAnsi="Times New Roman" w:eastAsia="Times New Roman" w:cs="Times New Roman"/>
          <w:sz w:val="24"/>
          <w:highlight w:val="white"/>
        </w:rPr>
        <w:t xml:space="preserve">Theo sơ đồ thửa đất, đường dẫn vào tài sản có độ rộng 0,8m, tuy nhiên theo khảo sát thực tế, đường dẫn vào tài sản đã được mở rộng 3m và chủ sử dụng đất cam kết không ảnh hưởng đến diện tích của thửa đất</w:t>
      </w:r>
      <w:r>
        <w:rPr>
          <w:rFonts w:ascii="Times New Roman" w:hAnsi="Times New Roman" w:eastAsia="Times New Roman" w:cs="Times New Roman"/>
          <w:sz w:val="24"/>
          <w:highlight w:val="white"/>
        </w:rPr>
        <w:t xml:space="preserve">. Do đó, tổ thẩm định thực hiện ước tính giá trị quyền sử dụng đất theo hiện trạng đường tiếp giáp rộng 3m. Đề nghị các bên sử dụng kết quả chứng thư lưu ý.</w:t>
      </w:r>
      <w:r>
        <w:rPr>
          <w:highlight w:val="white"/>
        </w:rPr>
      </w:r>
      <w:r>
        <w:rPr>
          <w:highlight w:val="white"/>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55013C89">
      <w:pPr>
        <w:pBdr/>
        <w:spacing w:after="120" w:before="120" w:line="276" w:lineRule="auto"/>
        <w:ind/>
        <w:jc w:val="both"/>
        <w:rPr>
          <w:lang w:val="pt-BR"/>
        </w:rPr>
      </w:pPr>
      <w:r>
        <w:rPr>
          <w:b/>
          <w:bCs/>
          <w:highlight w:val="none"/>
          <w:lang w:val="pt-BR"/>
        </w:rPr>
      </w:r>
      <w:r>
        <w:rPr>
          <w:lang w:val="pt-BR"/>
        </w:rPr>
      </w:r>
      <w:r>
        <w:rPr>
          <w:lang w:val="pt-BR"/>
        </w:rPr>
      </w:r>
    </w:p>
    <w:p w14:paraId="0E9A2341" w14:textId="0DECDFBD">
      <w:pPr>
        <w:pBdr/>
        <w:spacing w:after="120" w:before="120" w:line="276" w:lineRule="auto"/>
        <w:ind/>
        <w:jc w:val="both"/>
        <w:rPr>
          <w:b/>
          <w:bCs/>
          <w:highlight w:val="none"/>
          <w:lang w:val="pt-BR"/>
        </w:rPr>
      </w:pPr>
      <w:r>
        <w:rPr>
          <w:b/>
          <w:bCs/>
          <w:lang w:val="pt-BR"/>
        </w:rPr>
        <w:t xml:space="preserve">VII. CÁCH TIẾP CẬN, PHƯƠNG PHÁP THẨM ĐỊNH GIÁ</w:t>
      </w:r>
      <w:r>
        <w:rPr>
          <w:b/>
          <w:bCs/>
          <w:highlight w:val="none"/>
          <w:lang w:val="pt-BR"/>
        </w:rPr>
      </w:r>
      <w:r>
        <w:rPr>
          <w:b/>
          <w:bCs/>
          <w:highlight w:val="none"/>
          <w:lang w:val="pt-BR"/>
        </w:rPr>
      </w:r>
    </w:p>
    <w:p w14:paraId="39305B4E" w14:textId="0278DD02">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3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32"/>
        <w:gridCol w:w="2089"/>
        <w:gridCol w:w="1701"/>
        <w:gridCol w:w="1701"/>
        <w:gridCol w:w="1701"/>
        <w:gridCol w:w="1701"/>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top"/>
            <w:textDirection w:val="lrTb"/>
            <w:noWrap w:val="false"/>
          </w:tcPr>
          <w:p w14:paraId="1FCA7A6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89" w:type="dxa"/>
            <w:vAlign w:val="top"/>
            <w:textDirection w:val="lrTb"/>
            <w:noWrap w:val="false"/>
          </w:tcPr>
          <w:p w14:paraId="2237BF0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14:paraId="30E2466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14:paraId="460B5E0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14:paraId="556DBEE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8FF2EF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top"/>
            <w:textDirection w:val="lrTb"/>
            <w:noWrap w:val="false"/>
          </w:tcPr>
          <w:p w14:paraId="6C34C95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2089" w:type="dxa"/>
            <w:vAlign w:val="top"/>
            <w:textDirection w:val="lrTb"/>
            <w:noWrap w:val="false"/>
          </w:tcPr>
          <w:p w14:paraId="62197EA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14:paraId="2886FA3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14:paraId="1009DAB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14:paraId="1033B1E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484F2A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 </w:t>
            </w:r>
            <w:r/>
          </w:p>
        </w:tc>
      </w:tr>
      <w:tr>
        <w:trPr>
          <w:trHeight w:val="1044"/>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7F7E80D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43479B76">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14BFDF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Phường Vĩnh Hưng, Quận Hoàng Mai, Thành phố Hà Nộ</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EC92FD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Phường Vĩnh Hưng, Quận Hoàng Mai, Thành phố Hà Nộ</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B633BB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Phường Vĩnh Hưng, Quận Hoàng Mai, Thành phố Hà Nộ</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0F4CAE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Phường Vĩnh Hưng, Quận Hoàng Mai, Thành phố Hà Nộ</w:t>
            </w:r>
            <w:r/>
          </w:p>
        </w:tc>
      </w:tr>
      <w:tr>
        <w:trPr>
          <w:trHeight w:val="22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3C6C8E3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0C31CB4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1C39C3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F5150CF">
            <w:pPr>
              <w:pBdr>
                <w:top w:val="none" w:color="000000" w:sz="4" w:space="0"/>
                <w:left w:val="none" w:color="000000" w:sz="4" w:space="0"/>
                <w:bottom w:val="none" w:color="000000" w:sz="4" w:space="0"/>
                <w:right w:val="none" w:color="000000" w:sz="4" w:space="0"/>
              </w:pBdr>
              <w:spacing w:after="0"/>
              <w:ind w:right="0" w:firstLine="0" w:left="0"/>
              <w:jc w:val="center"/>
              <w:rPr/>
            </w:pPr>
            <w:r/>
            <w:hyperlink r:id="rId17" w:tooltip="https://batdongsan.com.vn/ban-dat-duong-dong-thien-phuong-vinh-hung-2/ban-p-130tr-m-cho-74m2-mat-tien-5-5m-full-tho-cu-chinh-chu-9-7-ty-pr44800048" w:history="1">
              <w:r>
                <w:rPr>
                  <w:rStyle w:val="1025"/>
                  <w:rFonts w:ascii="Times New Roman" w:hAnsi="Times New Roman" w:eastAsia="Times New Roman" w:cs="Times New Roman"/>
                  <w:color w:val="000000"/>
                  <w:sz w:val="22"/>
                  <w:u w:val="none"/>
                </w:rPr>
                <w:t xml:space="preserve">Bán đất Phường Vĩnh Hưng - P.Đông Thiên 130tr/m cho 74m2 mặt tiền 5.5m full thổ cư chính chủ, 9.7tỷ</w:t>
              </w:r>
            </w:hyperlink>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0855760">
            <w:pPr>
              <w:pBdr>
                <w:top w:val="none" w:color="000000" w:sz="4" w:space="0"/>
                <w:left w:val="none" w:color="000000" w:sz="4" w:space="0"/>
                <w:bottom w:val="none" w:color="000000" w:sz="4" w:space="0"/>
                <w:right w:val="none" w:color="000000" w:sz="4" w:space="0"/>
              </w:pBdr>
              <w:spacing w:after="0"/>
              <w:ind w:right="0" w:firstLine="0" w:left="0"/>
              <w:jc w:val="center"/>
              <w:rPr/>
            </w:pPr>
            <w:r/>
            <w:hyperlink r:id="rId18" w:tooltip="https://batdongsan.com.vn/ban-dat-duong-linh-nam-phuong-vinh-hung-2/em-can-ban-manh-95m-tho-cu-tai-hoang-mai-truoc-nha-2-to-to-chay-pr42254976" w:history="1">
              <w:r>
                <w:rPr>
                  <w:rStyle w:val="1025"/>
                  <w:rFonts w:ascii="Times New Roman" w:hAnsi="Times New Roman" w:eastAsia="Times New Roman" w:cs="Times New Roman"/>
                  <w:color w:val="000000"/>
                  <w:sz w:val="22"/>
                  <w:u w:val="none"/>
                </w:rPr>
                <w:t xml:space="preserve">Em bán mảnh đất 90m2 MT 4,5m tại đường Lĩnh Nam, Hoàng Mai ngõ 4,5m ô tô vào nhà hoặc đỗ cửa</w:t>
              </w:r>
            </w:hyperlink>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B38ED9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https://batdongsan.com.vn/ban-dat-duong-linh-nam-phuong-vinh-hung-2/em-can-ban-manh-voi-dien-tich-45m-so-do-mat-tien-6m-tai-ngay-cho-dem-pr44748007</w:t>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492CF3C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409B7A6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10D1AF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88923C5">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SĐT: 0856867789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772A01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SĐT: 0886162921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2E1596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SĐT: 0886162921</w:t>
            </w:r>
            <w:r/>
          </w:p>
        </w:tc>
      </w:tr>
      <w:tr>
        <w:trPr>
          <w:trHeight w:val="348"/>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39F73E5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4CB82B4E">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39AB1E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C844EC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5993D6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83D5E6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Đang giao dịch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4370BE0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176A428D">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165F28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29A1FB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12/2025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4318F4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12/2025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16C73B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12/2025 </w:t>
            </w:r>
            <w:r/>
          </w:p>
        </w:tc>
      </w:tr>
      <w:tr>
        <w:trPr>
          <w:trHeight w:val="876"/>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43D28B7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2BE15D1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3580F4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8CB6EE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3E1A6C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E3F30E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744"/>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5AE286D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0C9FCC7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AAA880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CEF284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EDF2E4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61523D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5A75E3F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74583C2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37C2BF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1387261">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20DF8D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DBAD1D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556"/>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07CFA0B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6C5514CF">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52F920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Phường Vĩnh Hưng, Quận Hoàng Mai, Thành phố Hà Nội, tài sản cách đường Lĩnh Nam khoảng 350m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56539C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Phường Lĩnh Nam, Quận Hoàng Mai, Thành phố Hà Nội, khoảng cách ra đường chính Tài sản cách đường Lĩnh Nam khoảng 500m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7950AB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Phường Lĩnh Nam, Quận Hoàng Mai, Thành phố Hà Nội, khoảng cách ra đường chính Tài sản cách đường Lĩnh Nam khoảng 500m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EF7534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Phường Lĩnh Nam, Quận Hoàng Mai, Thành phố Hà Nội, khoảng cách ra đường chính Tài sản cách đường Lĩnh Nam khoảng 100m và cách chợ đêm Lĩnh Nam khoảng 100m</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226431C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5AF4334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B8E4EF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336704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2,5</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7FBFBD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7678D5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2,5</w:t>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2260956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304DB42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Diện tích đất</w:t>
              <w:br/>
              <w:t xml:space="preserve">  (m²)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FD5D2F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35,2</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01C95D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74,00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CC7B90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90,00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CA42BF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45,00</w:t>
            </w:r>
            <w:r/>
          </w:p>
        </w:tc>
      </w:tr>
      <w:tr>
        <w:trPr>
          <w:trHeight w:val="504"/>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576AEC7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59E7ECDD">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E533F7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3,30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8E1559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5,50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E81A8F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4,50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54F6E3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6,0</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54A3DC7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3140881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CBB745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27,15</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D32217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614492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25</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8F0FAB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24</w:t>
            </w:r>
            <w:r/>
          </w:p>
        </w:tc>
      </w:tr>
      <w:tr>
        <w:trPr>
          <w:trHeight w:val="636"/>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1BB84CC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183B038D">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DBEE9B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1 mặt tiền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09B317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1 mặt tiền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A0E710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1 mặt tiền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E1C254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1 mặt tiền </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1CF8127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0A02D7C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A9B508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981A85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387B25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7EC641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Vuông vức</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0AACF3B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45C4B786">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CC362A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khá</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30E833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khá</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8A7A0F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Khá</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A24DEF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Khá</w:t>
            </w:r>
            <w:r/>
          </w:p>
        </w:tc>
      </w:tr>
      <w:tr>
        <w:trPr>
          <w:trHeight w:val="864"/>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437AE90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603C036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Bất lợi thương mại</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E25862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Ngõ cụt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8D8F80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bất lợi thương mại</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44374F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bất lợi thương mại</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AE48C4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bất lợi thương mại</w:t>
            </w:r>
            <w:r/>
          </w:p>
        </w:tc>
      </w:tr>
      <w:tr>
        <w:trPr>
          <w:trHeight w:val="120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4D1D1BB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10472EDB">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5860E7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Hạ tầng khu đô thị: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176EF9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Hạ tầng khu đô thị: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70A02E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Hạ tầng khu đô thị: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BE4838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Hạ tầng khu đô thị: Hệ thống cấp điện, cấp thoát nước đầy đủ</w:t>
            </w:r>
            <w:r/>
          </w:p>
        </w:tc>
      </w:tr>
      <w:tr>
        <w:trPr>
          <w:trHeight w:val="564"/>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5B322EF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2C10AF3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C2B90C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EA862D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Đất trống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D4A309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Nhà cấp 4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7C5320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Nhà 1 tầng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bottom"/>
            <w:textDirection w:val="lrTb"/>
            <w:noWrap/>
          </w:tcPr>
          <w:p w14:paraId="7212283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5828454F">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Số tầng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B917E4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1A62A5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D0C6D9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1,0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22D67C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1,0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bottom"/>
            <w:textDirection w:val="lrTb"/>
            <w:noWrap/>
          </w:tcPr>
          <w:p w14:paraId="60CA324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438A2C77">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Diện tích sàn sử dụng (m²)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4B5C77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F2925A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6E63C3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EB5B97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45,00</w:t>
            </w:r>
            <w:r/>
          </w:p>
        </w:tc>
      </w:tr>
      <w:tr>
        <w:trPr>
          <w:trHeight w:val="381"/>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7B80779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4DBE317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5195DE5">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1CBDB2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9.700.000.000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658851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13.000.000.000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6218E0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7.500.000.000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6852CE7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5A2FCF0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E9C7C7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DE96EB6">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color w:val="000000"/>
                <w:sz w:val="22"/>
              </w:rPr>
              <w:t xml:space="preserve">9.215.000.000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DBDE328">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color w:val="000000"/>
                <w:sz w:val="22"/>
              </w:rPr>
              <w:t xml:space="preserve">11.700.000.000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23901D7">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color w:val="000000"/>
                <w:sz w:val="22"/>
              </w:rPr>
              <w:t xml:space="preserve">7.125.000.000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2F022F3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64673D8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D83807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5451FE3">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3F9D620">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C26FE7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r>
      <w:tr>
        <w:trPr>
          <w:trHeight w:val="485"/>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51403A6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47F6067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3A671A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E1FC2EE">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color w:val="000000"/>
                <w:sz w:val="22"/>
              </w:rPr>
              <w:t xml:space="preserve">                            -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B5674A4">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color w:val="000000"/>
                <w:sz w:val="22"/>
              </w:rPr>
              <w:t xml:space="preserve">  172.730.880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3AE3142">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color w:val="000000"/>
                <w:sz w:val="22"/>
              </w:rPr>
              <w:t xml:space="preserve">  183.800.736 </w:t>
            </w:r>
            <w:r/>
          </w:p>
        </w:tc>
      </w:tr>
      <w:tr>
        <w:trPr>
          <w:trHeight w:val="138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08AD0E6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20D43DAA">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Đơn giá xây dựng theo Quyết định số 409/QĐ-BXD 2025 của Bộ xây dựng (đồng/m²)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4EAFCD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FD1CD2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CB7621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4.935.168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4C2314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5.105.576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7C02675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79C4B6FB">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 Tỷ lệ % CLCL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570672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2AE717C">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AD51AC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70%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EDABF9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80%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638A2D2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33B2B2B1">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5B2194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5FDD51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9.215.000.000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68F32D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11.527.269.120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1FCC09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6.941.199.264</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4331D02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4C3CB85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F9E467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3E0E579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124.527.027</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1F0F07A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128.080.768</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429F1BF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154.248.873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57A5932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37EE802D">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1ED3EE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8AB9F3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04F77D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43F946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088F273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40CD65FF">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0B83E2F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E5BFD4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066CD5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D939B4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5F27C9B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4981DC3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36ED1CE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64376D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F17CDF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D2C0AD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158A70C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22D8426B">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7B8CE10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00730E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6ADEE4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131CC9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11D632C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43DE3F51">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2D68829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0E137B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8D3DA4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1EC2F8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3A7BC0E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2573F92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128CE00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54D0EC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18F0A6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D9601B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0BAD33D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49FC20E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0CC3F34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460E1E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E1E4A5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9404AD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7076F64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53DBC37F">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Diện tích đất</w:t>
              <w:br/>
              <w:t xml:space="preserve">  (m²)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6957348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11EFAD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DB12B5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5AF07B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5E0260F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52589166">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23C2925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47D350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DCD63F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8B7F65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14AE52D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06687C5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116B249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5C6E85C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217246D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87AC20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3F518D1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7CC22C0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7DED596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1E2EB01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6FACE69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8C337A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1A43F68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089" w:type="dxa"/>
            <w:vAlign w:val="center"/>
            <w:textDirection w:val="lrTb"/>
            <w:noWrap w:val="false"/>
          </w:tcPr>
          <w:p w14:paraId="61FBC1B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51746F7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04903E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983965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7750E7E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64"/>
        <w:gridCol w:w="2057"/>
        <w:gridCol w:w="845"/>
        <w:gridCol w:w="1405"/>
        <w:gridCol w:w="1481"/>
        <w:gridCol w:w="37"/>
        <w:gridCol w:w="1518"/>
        <w:gridCol w:w="37"/>
        <w:gridCol w:w="1481"/>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textDirection w:val="lrTb"/>
            <w:noWrap w:val="false"/>
          </w:tcPr>
          <w:p w14:paraId="74389A8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4CC5624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3234B90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3624DC1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thẩm định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15C4B74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so sánh 1</w:t>
            </w:r>
            <w:r>
              <w:rPr>
                <w:color w:val="000000" w:themeColor="text1"/>
              </w:rPr>
            </w:r>
            <w:r>
              <w:rPr>
                <w:color w:val="000000" w:themeColor="text1"/>
              </w:rP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63410A5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so sánh 2</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211AA1D2">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so sánh 3</w:t>
            </w:r>
            <w:r>
              <w:rPr>
                <w:color w:val="000000" w:themeColor="text1"/>
              </w:rPr>
            </w:r>
            <w:r>
              <w:rPr>
                <w:color w:val="000000" w:themeColor="text1"/>
              </w:rP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textDirection w:val="lrTb"/>
            <w:noWrap w:val="false"/>
          </w:tcPr>
          <w:p w14:paraId="40CBFB9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4A035AF3">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4F04813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51ED32B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41E3519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9.215.000.000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5336F481">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11.527.269.120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5206CC82">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left"/>
              <w:rPr>
                <w:color w:val="000000" w:themeColor="text1"/>
              </w:rPr>
            </w:pPr>
            <w:r>
              <w:rPr>
                <w:rFonts w:ascii="Times New Roman" w:hAnsi="Times New Roman" w:eastAsia="Times New Roman" w:cs="Times New Roman"/>
                <w:color w:val="000000" w:themeColor="text1"/>
                <w:sz w:val="22"/>
              </w:rPr>
              <w:t xml:space="preserve">6.941.199.264 </w:t>
            </w:r>
            <w:r>
              <w:rPr>
                <w:color w:val="000000" w:themeColor="text1"/>
              </w:rPr>
            </w:r>
            <w:r>
              <w:rPr>
                <w:color w:val="000000" w:themeColor="text1"/>
              </w:rP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textDirection w:val="lrTb"/>
            <w:noWrap w:val="false"/>
          </w:tcPr>
          <w:p w14:paraId="4F36B5B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7526B91A">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03F9157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07E7700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315B6550">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124.527.027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7F56017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128.080.768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0553B402">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154.248.873 </w:t>
            </w:r>
            <w:r>
              <w:rPr>
                <w:color w:val="000000" w:themeColor="text1"/>
              </w:rPr>
            </w:r>
            <w:r>
              <w:rPr>
                <w:color w:val="000000" w:themeColor="text1"/>
              </w:rPr>
            </w:r>
          </w:p>
        </w:tc>
      </w:tr>
      <w:tr>
        <w:trPr>
          <w:trHeight w:val="5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textDirection w:val="lrTb"/>
            <w:noWrap w:val="false"/>
          </w:tcPr>
          <w:p w14:paraId="3A3519E2">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449B9811">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6EC8C09B">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3D32E10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67FBFA7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14:paraId="4F78164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7956CBB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vMerge w:val="restart"/>
            <w:textDirection w:val="lrTb"/>
            <w:noWrap w:val="false"/>
          </w:tcPr>
          <w:p w14:paraId="49EE638B">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698039C9">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Tính chất giao dịch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1C302FA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43758912">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0589543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7ACC2AD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571DAB35">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668BB60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40C5C317">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6AB9F01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7D8BB5E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left"/>
              <w:rPr>
                <w:color w:val="000000" w:themeColor="text1"/>
              </w:rPr>
            </w:pPr>
            <w:r>
              <w:rPr>
                <w:rFonts w:ascii="Times New Roman" w:hAnsi="Times New Roman" w:eastAsia="Times New Roman" w:cs="Times New Roman"/>
                <w:color w:val="000000" w:themeColor="text1"/>
                <w:sz w:val="22"/>
              </w:rPr>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6AB5B1D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3C8285A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0B613C5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00A39F2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318E4216">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1927D60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10C3F40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6DB51FB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14:paraId="1B92142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77C3CD95">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1295308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17E9B28B">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7A89E93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749E55E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42ED4D9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124.527.027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14:paraId="3A584F9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128.080.768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78738B0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154.248.873 </w:t>
            </w:r>
            <w:r>
              <w:rPr>
                <w:color w:val="000000" w:themeColor="text1"/>
              </w:rPr>
            </w:r>
            <w:r>
              <w:rPr>
                <w:color w:val="000000" w:themeColor="text1"/>
              </w:rP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vMerge w:val="restart"/>
            <w:textDirection w:val="lrTb"/>
            <w:noWrap w:val="false"/>
          </w:tcPr>
          <w:p w14:paraId="0C8CFEA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01F96F96">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41BBE2D0">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3BC6958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1C873B1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559ECF6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0EF39F9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51FA949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364E6939">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5FCF5DC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4E28310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00C9A33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31F185C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6037869B">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3337634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2E51ADF3">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36FA090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5608285B">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44E3E42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14:paraId="69B1723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08AB971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2DC1769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53786DD2">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63F847D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0AB080B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5C8026A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124.527.027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14:paraId="3D55E4E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128.080.768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160FA1E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154.248.873 </w:t>
            </w:r>
            <w:r>
              <w:rPr>
                <w:color w:val="000000" w:themeColor="text1"/>
              </w:rPr>
            </w:r>
            <w:r>
              <w:rPr>
                <w:color w:val="000000" w:themeColor="text1"/>
              </w:rPr>
            </w:r>
          </w:p>
        </w:tc>
      </w:tr>
      <w:tr>
        <w:trPr>
          <w:trHeight w:val="7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vMerge w:val="restart"/>
            <w:textDirection w:val="lrTb"/>
            <w:noWrap w:val="false"/>
          </w:tcPr>
          <w:p w14:paraId="411022B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21CFE77D">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Mục đích sử dụng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1FABAC4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49B3295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ở tại đô thị</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5009FD4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ở tại đô thị</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6F05A36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ở tại đô thị</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71BDE47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ở tại đô thị</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79D9065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0192043A">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30C753C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7573D64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3A29A3A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0F19EE30">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25DD0B6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1D1D244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10819D6B">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6F148B02">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7BA738F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5D311FA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14:paraId="2B171B2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03E53ADB">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64"/>
        </w:trPr>
        <w:tc>
          <w:tcPr>
            <w:tcBorders>
              <w:left w:val="single" w:color="000000" w:sz="8" w:space="0"/>
              <w:bottom w:val="single" w:color="000000" w:sz="8" w:space="0"/>
              <w:right w:val="single" w:color="000000" w:sz="8" w:space="0"/>
            </w:tcBorders>
            <w:vMerge w:val="continue"/>
            <w:textDirection w:val="lrTb"/>
            <w:noWrap w:val="false"/>
          </w:tcPr>
          <w:p w14:paraId="57463DE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56760511">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04C9235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0907354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44617F40">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124.527.027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14:paraId="0BEED230">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128.080.768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1485452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154.248.873 </w:t>
            </w:r>
            <w:r>
              <w:rPr>
                <w:color w:val="000000" w:themeColor="text1"/>
              </w:rPr>
            </w:r>
            <w:r>
              <w:rPr>
                <w:color w:val="000000" w:themeColor="text1"/>
              </w:rPr>
            </w:r>
          </w:p>
        </w:tc>
      </w:tr>
      <w:tr>
        <w:trPr>
          <w:trHeight w:val="249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vMerge w:val="restart"/>
            <w:textDirection w:val="lrTb"/>
            <w:noWrap w:val="false"/>
          </w:tcPr>
          <w:p w14:paraId="726D3E7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06894E33">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6C68AF1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4B9A9635">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tại: Phường Vĩnh Hưng, Quận Hoàng Mai, Thành phố Hà Nội, tài sản cách đường Lĩnh Nam khoảng 350m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209BFAFB">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tại: Phường Lĩnh Nam, Quận Hoàng Mai, Thành phố Hà Nội, khoảng cách ra đường chính Tài sản cách đường Lĩnh Nam khoảng 500m</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542808B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tại: Phường Lĩnh Nam, Quận Hoàng Mai, Thành phố Hà Nội, khoảng cách ra đường chính Tài sản cách đường Lĩnh Nam khoảng 500m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195A3E70">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tại: Phường Lĩnh Nam, Quận Hoàng Mai, Thành phố Hà Nội, khoảng cách ra đường chính Tài sản cách đường Lĩnh Nam khoảng 100m và cách chợ đêm Lĩnh Nam khoảng 100m</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23EE3B9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7FF4FBF4">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6774C8BB">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7A221B8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177E4E1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5D7E8740">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4AECAF8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3BF9AE4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560ACB2E">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1BC6ED9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1BB309D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07A1455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14:paraId="2193F94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70F2DA2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-15.424.887 </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6A88AEB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08A93AB4">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4F6305F1">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22EEEDD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4C209A6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124.527.027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14:paraId="6FACB24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128.080.768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280BEF91">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138.823.985 </w:t>
            </w:r>
            <w:r>
              <w:rPr>
                <w:color w:val="000000" w:themeColor="text1"/>
              </w:rPr>
            </w:r>
            <w:r>
              <w:rPr>
                <w:color w:val="000000" w:themeColor="text1"/>
              </w:rPr>
            </w:r>
          </w:p>
        </w:tc>
      </w:tr>
      <w:tr>
        <w:trPr>
          <w:trHeight w:val="543"/>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vMerge w:val="restart"/>
            <w:textDirection w:val="lrTb"/>
            <w:noWrap w:val="false"/>
          </w:tcPr>
          <w:p w14:paraId="5854CC0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712C81B4">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59B8144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20A91E7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787324F0">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2,5</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7BC930D5">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5CB0CCF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2,5</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0AC4E01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6A647063">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4DE2374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765C793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61668EE0">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4CDF4E8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0091ADF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292AD83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04DA388B">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5DA3D3D5">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65C217A0">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7A0F07C0">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6.226.351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14:paraId="259765D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-12.808.077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0A24D305">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7.712.444 </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6411988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508B4B8A">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46AA27A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3EFA477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0E17D58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130.753.378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14:paraId="02B2F79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115.272.691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746C5001">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146.536.429 </w:t>
            </w:r>
            <w:r>
              <w:rPr>
                <w:color w:val="000000" w:themeColor="text1"/>
              </w:rPr>
            </w:r>
            <w:r>
              <w:rPr>
                <w:color w:val="000000" w:themeColor="text1"/>
              </w:rP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vMerge w:val="restart"/>
            <w:textDirection w:val="lrTb"/>
            <w:noWrap w:val="false"/>
          </w:tcPr>
          <w:p w14:paraId="0ECE6B8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294ECBC4">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Diện tích đất</w:t>
              <w:br/>
              <w:t xml:space="preserve">  (m²)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7E1D8C3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6B55D9F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35,2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1BD49B6B">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74</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0E9D890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90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579E3462">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45</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21CCC23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6A344813">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04A17B5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2410659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41A7F5B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13,00%</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599E35D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17,00%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5E00B04B">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7,00%</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01234FF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442E8C01">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0AEE852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0FCAE4E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131D289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16.188.514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14:paraId="56C5BB15">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21.773.731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29E7DBA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10.797.421 </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4316678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5A12E194">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3B1319B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4E793EB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59317D55">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146.941.892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14:paraId="2AE7AC9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137.046.422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65C3FF3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157.333.850 </w:t>
            </w:r>
            <w:r>
              <w:rPr>
                <w:color w:val="000000" w:themeColor="text1"/>
              </w:rPr>
            </w:r>
            <w:r>
              <w:rPr>
                <w:color w:val="000000" w:themeColor="text1"/>
              </w:rP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vMerge w:val="restart"/>
            <w:textDirection w:val="lrTb"/>
            <w:noWrap w:val="false"/>
          </w:tcPr>
          <w:p w14:paraId="0B296AB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tcPr>
          <w:p w14:paraId="7ED7E4B3">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435DD9FB">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5BAE89F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3,30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051D423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5,5</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0233B595">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4,50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364E186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6,0</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0274CF6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6B2E44F7">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103EFAE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464DA64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64C9947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57185DB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6633246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104C7BE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63262A74">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4082EC4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66F6D1E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003DC22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-6.226.351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14:paraId="7BF82AC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-3.842.423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218EE41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-12.339.910 </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69692B3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40236933">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6D67277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0B7BBAC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4A47931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140.715.541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14:paraId="2B460ADB">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133.203.999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1F7FC9F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144.993.940 </w:t>
            </w:r>
            <w:r>
              <w:rPr>
                <w:color w:val="000000" w:themeColor="text1"/>
              </w:rPr>
            </w:r>
            <w:r>
              <w:rPr>
                <w:color w:val="000000" w:themeColor="text1"/>
              </w:rPr>
            </w:r>
          </w:p>
        </w:tc>
      </w:tr>
      <w:tr>
        <w:trPr>
          <w:trHeight w:val="63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vMerge w:val="restart"/>
            <w:textDirection w:val="lrTb"/>
            <w:noWrap w:val="false"/>
          </w:tcPr>
          <w:p w14:paraId="1316DFF1">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3CB108CC">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782B6AD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32EBA71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5EED238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52EA436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69240AB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20BFCD5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548B4350">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61889CA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036830C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067A16E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32B7D48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4AA294A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1DF8C0F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77F24C7B">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793829F2">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27F7A69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3B6AB9E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14:paraId="321FBCC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0094070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499B50F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69DFF967">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201C162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112B01D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6D57D92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140.715.541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14:paraId="7D76A07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133.203.999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19507F52">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144.993.940 </w:t>
            </w:r>
            <w:r>
              <w:rPr>
                <w:color w:val="000000" w:themeColor="text1"/>
              </w:rPr>
            </w:r>
            <w:r>
              <w:rPr>
                <w:color w:val="000000" w:themeColor="text1"/>
              </w:rPr>
            </w:r>
          </w:p>
        </w:tc>
      </w:tr>
      <w:tr>
        <w:trPr>
          <w:trHeight w:val="37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vMerge w:val="restart"/>
            <w:textDirection w:val="lrTb"/>
            <w:noWrap w:val="false"/>
          </w:tcPr>
          <w:p w14:paraId="11E2E4C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17CBCBFA">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09FD391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72810B4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31E6C4AB">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76E1D280">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3EC1219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4523EBF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1C86CF1B">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58DE67F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7945B440">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01D3FDB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4E534CD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2116977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532E554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29A1F817">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5D4DBC3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60FAAB1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246B985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14:paraId="6840A70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7A1DCE1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4B6C88D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3EBEE07F">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5717EFEB">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263EF7A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31FC96E2">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140.715.541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14:paraId="3D99EBB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133.203.999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5FE5CB51">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144.993.940 </w:t>
            </w:r>
            <w:r>
              <w:rPr>
                <w:color w:val="000000" w:themeColor="text1"/>
              </w:rPr>
            </w:r>
            <w:r>
              <w:rPr>
                <w:color w:val="000000" w:themeColor="text1"/>
              </w:rP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vMerge w:val="restart"/>
            <w:textDirection w:val="lrTb"/>
            <w:noWrap w:val="false"/>
          </w:tcPr>
          <w:p w14:paraId="69A5329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C10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4115C40A">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Lợi thế kinh doanh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3F82381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1385303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khá</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0661D31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khá</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6C1A84B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Khá</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3782BEA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Khá</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12FBE85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234DA130">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4DB55ED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349A453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2520EBD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0B23D75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33BDFEF2">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0835A8F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2B2F7317">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50C42BF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56E33E21">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6F47BE15">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14:paraId="10C3637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20D99D10">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375"/>
        </w:trPr>
        <w:tc>
          <w:tcPr>
            <w:tcBorders>
              <w:left w:val="single" w:color="000000" w:sz="8" w:space="0"/>
              <w:bottom w:val="single" w:color="000000" w:sz="8" w:space="0"/>
              <w:right w:val="single" w:color="000000" w:sz="8" w:space="0"/>
            </w:tcBorders>
            <w:vMerge w:val="continue"/>
            <w:textDirection w:val="lrTb"/>
            <w:noWrap w:val="false"/>
          </w:tcPr>
          <w:p w14:paraId="3D05D44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41049276">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3A16563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03F6862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1DE5E06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140.715.541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14:paraId="017BDDA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133.203.999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12BC43D2">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144.993.940 </w:t>
            </w:r>
            <w:r>
              <w:rPr>
                <w:color w:val="000000" w:themeColor="text1"/>
              </w:rPr>
            </w:r>
            <w:r>
              <w:rPr>
                <w:color w:val="000000" w:themeColor="text1"/>
              </w:rPr>
            </w:r>
          </w:p>
        </w:tc>
      </w:tr>
      <w:tr>
        <w:trPr>
          <w:trHeight w:val="13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vMerge w:val="restart"/>
            <w:textDirection w:val="lrTb"/>
            <w:noWrap w:val="false"/>
          </w:tcPr>
          <w:p w14:paraId="01E145A0">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C11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3ACF0905">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352BF931">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104C0E71">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Hạ tầng khu đô thị: Hệ thống cấp điện, cấp thoát nước đầy đủ</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74C51B2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Hạ tầng khu đô thị: Hệ thống cấp điện, cấp thoát nước đầy đủ</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3476327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Hạ tầng khu đô thị: Hệ thống cấp điện, cấp thoát nước đầy đủ</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4047E79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Hạ tầng khu đô thị: Hệ thống cấp điện, cấp thoát nước đầy đủ</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16A3A5D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0FCD151B">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6EBA7BA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5D382C0B">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72F4AFC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73EC72D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1C712DD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0215433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5DD64667">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5497A0D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34995D5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0EEC3D0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14:paraId="35F0BE7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41AB5ED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64"/>
        </w:trPr>
        <w:tc>
          <w:tcPr>
            <w:tcBorders>
              <w:left w:val="single" w:color="000000" w:sz="8" w:space="0"/>
              <w:bottom w:val="single" w:color="000000" w:sz="8" w:space="0"/>
              <w:right w:val="single" w:color="000000" w:sz="8" w:space="0"/>
            </w:tcBorders>
            <w:vMerge w:val="continue"/>
            <w:textDirection w:val="lrTb"/>
            <w:noWrap w:val="false"/>
          </w:tcPr>
          <w:p w14:paraId="5975490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657A3AB6">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373F062B">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67FC7DC0">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0B9BE13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140.715.541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14:paraId="0A48D7C1">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133.203.999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14BB0EF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144.993.940 </w:t>
            </w:r>
            <w:r>
              <w:rPr>
                <w:color w:val="000000" w:themeColor="text1"/>
              </w:rPr>
            </w:r>
            <w:r>
              <w:rPr>
                <w:color w:val="000000" w:themeColor="text1"/>
              </w:rPr>
            </w:r>
          </w:p>
        </w:tc>
      </w:tr>
      <w:tr>
        <w:trPr>
          <w:trHeight w:val="8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vMerge w:val="restart"/>
            <w:textDirection w:val="lrTb"/>
            <w:noWrap w:val="false"/>
          </w:tcPr>
          <w:p w14:paraId="32481E6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C14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53E3CA92">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Bất lợi thương mại</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7FF9067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0EC3409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Ngõ cụt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42B1E315">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 có bất lợi thương mại</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4059284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 có bất lợi thương mại</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1B2274F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Không có bất lợi thương mại</w:t>
            </w:r>
            <w:r>
              <w:rPr>
                <w:color w:val="000000" w:themeColor="text1"/>
              </w:rPr>
            </w:r>
            <w:r>
              <w:rPr>
                <w:color w:val="000000" w:themeColor="text1"/>
              </w:rPr>
            </w:r>
          </w:p>
        </w:tc>
      </w:tr>
      <w:tr>
        <w:trPr>
          <w:trHeight w:val="264"/>
        </w:trPr>
        <w:tc>
          <w:tcPr>
            <w:tcBorders>
              <w:left w:val="single" w:color="000000" w:sz="8" w:space="0"/>
              <w:bottom w:val="single" w:color="000000" w:sz="8" w:space="0"/>
              <w:right w:val="single" w:color="000000" w:sz="8" w:space="0"/>
            </w:tcBorders>
            <w:vMerge w:val="continue"/>
            <w:textDirection w:val="lrTb"/>
            <w:noWrap w:val="false"/>
          </w:tcPr>
          <w:p w14:paraId="68E21FA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3D4AA3B9">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3E5362E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2B7A33E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7A7CB86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50470D5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0A4228D5">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64"/>
        </w:trPr>
        <w:tc>
          <w:tcPr>
            <w:tcBorders>
              <w:left w:val="single" w:color="000000" w:sz="8" w:space="0"/>
              <w:bottom w:val="single" w:color="000000" w:sz="8" w:space="0"/>
              <w:right w:val="single" w:color="000000" w:sz="8" w:space="0"/>
            </w:tcBorders>
            <w:vMerge w:val="continue"/>
            <w:textDirection w:val="lrTb"/>
            <w:noWrap w:val="false"/>
          </w:tcPr>
          <w:p w14:paraId="71CA069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0F9D915C">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46B737E2">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2115833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18FF21C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-6.226.351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14:paraId="3255A82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-6.404.038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1B488671">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-7.712.444 </w:t>
            </w:r>
            <w:r>
              <w:rPr>
                <w:color w:val="000000" w:themeColor="text1"/>
              </w:rPr>
            </w:r>
            <w:r>
              <w:rPr>
                <w:color w:val="000000" w:themeColor="text1"/>
              </w:rPr>
            </w:r>
          </w:p>
        </w:tc>
      </w:tr>
      <w:tr>
        <w:trPr>
          <w:trHeight w:val="264"/>
        </w:trPr>
        <w:tc>
          <w:tcPr>
            <w:tcBorders>
              <w:left w:val="single" w:color="000000" w:sz="8" w:space="0"/>
              <w:bottom w:val="single" w:color="000000" w:sz="8" w:space="0"/>
              <w:right w:val="single" w:color="000000" w:sz="8" w:space="0"/>
            </w:tcBorders>
            <w:vMerge w:val="continue"/>
            <w:textDirection w:val="lrTb"/>
            <w:noWrap w:val="false"/>
          </w:tcPr>
          <w:p w14:paraId="07699B1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513C6ED8">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2CD06B2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042D1871">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407E0A6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134.489.189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14:paraId="76E6CE2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126.799.960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39DC77C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137.281.497 </w:t>
            </w:r>
            <w:r>
              <w:rPr>
                <w:color w:val="000000" w:themeColor="text1"/>
              </w:rPr>
            </w:r>
            <w:r>
              <w:rPr>
                <w:color w:val="000000" w:themeColor="text1"/>
              </w:rPr>
            </w:r>
          </w:p>
        </w:tc>
      </w:tr>
      <w:tr>
        <w:trPr>
          <w:trHeight w:val="26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textDirection w:val="lrTb"/>
            <w:noWrap/>
          </w:tcPr>
          <w:p w14:paraId="3A0E30E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tcPr>
          <w:p w14:paraId="6B6A8EBB">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2CC12CF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tcPr>
          <w:p w14:paraId="46B8A4D0">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01BB5E3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134.489.189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00710F15">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126.799.960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63DB614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137.281.497 </w:t>
            </w:r>
            <w:r>
              <w:rPr>
                <w:color w:val="000000" w:themeColor="text1"/>
              </w:rPr>
            </w:r>
            <w:r>
              <w:rPr>
                <w:color w:val="000000" w:themeColor="text1"/>
              </w:rPr>
            </w:r>
          </w:p>
        </w:tc>
      </w:tr>
      <w:tr>
        <w:trPr>
          <w:trHeight w:val="26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vMerge w:val="restart"/>
            <w:textDirection w:val="lrTb"/>
            <w:noWrap/>
          </w:tcPr>
          <w:p w14:paraId="51CD6DD2">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sz w:val="24"/>
              </w:rPr>
            </w:pPr>
            <w:r>
              <w:rPr>
                <w:rFonts w:ascii="Times New Roman" w:hAnsi="Times New Roman" w:eastAsia="Times New Roman" w:cs="Times New Roman"/>
                <w:color w:val="000000" w:themeColor="text1"/>
                <w:sz w:val="22"/>
              </w:rPr>
              <w:t xml:space="preserve">D1</w:t>
            </w:r>
            <w:r>
              <w:rPr>
                <w:color w:val="000000" w:themeColor="text1"/>
                <w:sz w:val="24"/>
              </w:rPr>
            </w:r>
            <w:r>
              <w:rPr>
                <w:color w:val="000000" w:themeColor="text1"/>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vMerge w:val="restart"/>
            <w:textDirection w:val="lrTb"/>
            <w:noWrap/>
          </w:tcPr>
          <w:p w14:paraId="7A939392">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sz w:val="24"/>
              </w:rPr>
            </w:pPr>
            <w:r>
              <w:rPr>
                <w:rFonts w:ascii="Times New Roman" w:hAnsi="Times New Roman" w:eastAsia="Times New Roman" w:cs="Times New Roman"/>
                <w:color w:val="000000" w:themeColor="text1"/>
                <w:sz w:val="22"/>
              </w:rPr>
              <w:t xml:space="preserve">Giá trị trung bình </w:t>
            </w:r>
            <w:r>
              <w:rPr>
                <w:color w:val="000000" w:themeColor="text1"/>
                <w:sz w:val="24"/>
              </w:rPr>
            </w:r>
            <w:r>
              <w:rPr>
                <w:color w:val="000000" w:themeColor="text1"/>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vMerge w:val="restart"/>
            <w:textDirection w:val="lrTb"/>
            <w:noWrap/>
          </w:tcPr>
          <w:p w14:paraId="3F386D1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sz w:val="24"/>
              </w:rPr>
            </w:pPr>
            <w:r>
              <w:rPr>
                <w:rFonts w:ascii="Times New Roman" w:hAnsi="Times New Roman" w:eastAsia="Times New Roman" w:cs="Times New Roman"/>
                <w:color w:val="000000" w:themeColor="text1"/>
                <w:sz w:val="22"/>
              </w:rPr>
              <w:t xml:space="preserve">Đồng </w:t>
            </w:r>
            <w:r>
              <w:rPr>
                <w:color w:val="000000" w:themeColor="text1"/>
                <w:sz w:val="24"/>
              </w:rPr>
            </w:r>
            <w:r>
              <w:rPr>
                <w:color w:val="000000" w:themeColor="text1"/>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vMerge w:val="restart"/>
            <w:textDirection w:val="lrTb"/>
            <w:noWrap/>
          </w:tcPr>
          <w:p w14:paraId="49FDB15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rFonts w:ascii="Times New Roman" w:hAnsi="Times New Roman" w:eastAsia="Times New Roman" w:cs="Times New Roman"/>
                <w:b/>
                <w:color w:val="000000" w:themeColor="text1"/>
                <w:sz w:val="22"/>
              </w:rPr>
            </w:pPr>
            <w:r>
              <w:rPr>
                <w:rFonts w:ascii="Times New Roman" w:hAnsi="Times New Roman" w:eastAsia="Times New Roman" w:cs="Times New Roman"/>
                <w:b/>
                <w:color w:val="000000" w:themeColor="text1"/>
                <w:sz w:val="22"/>
              </w:rPr>
            </w:r>
            <w:r>
              <w:rPr>
                <w:rFonts w:ascii="Times New Roman" w:hAnsi="Times New Roman" w:eastAsia="Times New Roman" w:cs="Times New Roman"/>
                <w:b/>
                <w:color w:val="000000" w:themeColor="text1"/>
                <w:sz w:val="22"/>
              </w:rPr>
            </w:r>
            <w:r>
              <w:rPr>
                <w:rFonts w:ascii="Times New Roman" w:hAnsi="Times New Roman" w:eastAsia="Times New Roman" w:cs="Times New Roman"/>
                <w:b/>
                <w:color w:val="000000" w:themeColor="text1"/>
                <w:sz w:val="22"/>
              </w:rP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4553" w:type="dxa"/>
            <w:vAlign w:val="center"/>
            <w:vMerge w:val="restart"/>
            <w:textDirection w:val="lrTb"/>
            <w:noWrap w:val="false"/>
          </w:tcPr>
          <w:p w14:paraId="64C9DBC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rFonts w:ascii="Times New Roman" w:hAnsi="Times New Roman" w:eastAsia="Times New Roman" w:cs="Times New Roman"/>
                <w:b/>
                <w:color w:val="000000" w:themeColor="text1"/>
                <w:sz w:val="22"/>
              </w:rPr>
            </w:pPr>
            <w:r>
              <w:rPr>
                <w:rFonts w:ascii="Times New Roman" w:hAnsi="Times New Roman" w:eastAsia="Times New Roman" w:cs="Times New Roman"/>
                <w:b/>
                <w:color w:val="000000" w:themeColor="text1"/>
                <w:sz w:val="22"/>
              </w:rPr>
            </w:r>
            <w:r>
              <w:rPr>
                <w:rFonts w:ascii="Times New Roman" w:hAnsi="Times New Roman" w:eastAsia="Times New Roman" w:cs="Times New Roman"/>
                <w:b/>
                <w:color w:val="000000" w:themeColor="text1"/>
                <w:sz w:val="22"/>
              </w:rPr>
              <w:t xml:space="preserve">132.856.882</w:t>
            </w:r>
            <w:r>
              <w:rPr>
                <w:rFonts w:ascii="Times New Roman" w:hAnsi="Times New Roman" w:eastAsia="Times New Roman" w:cs="Times New Roman"/>
                <w:b/>
                <w:color w:val="000000" w:themeColor="text1"/>
                <w:sz w:val="22"/>
              </w:rPr>
            </w:r>
            <w:r>
              <w:rPr>
                <w:rFonts w:ascii="Times New Roman" w:hAnsi="Times New Roman" w:eastAsia="Times New Roman" w:cs="Times New Roman"/>
                <w:b/>
                <w:color w:val="000000" w:themeColor="text1"/>
                <w:sz w:val="22"/>
              </w:rP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textDirection w:val="lrTb"/>
            <w:noWrap/>
          </w:tcPr>
          <w:p w14:paraId="6282B51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7970661A">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4B04B43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tcPr>
          <w:p w14:paraId="31B8665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5B13CF21">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1,2%</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3D98B7B5">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-4,6%</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6F50771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3,3%</w:t>
            </w:r>
            <w:r>
              <w:rPr>
                <w:color w:val="000000" w:themeColor="text1"/>
              </w:rPr>
            </w:r>
            <w:r>
              <w:rPr>
                <w:color w:val="000000" w:themeColor="text1"/>
              </w:rP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textDirection w:val="lrTb"/>
            <w:noWrap/>
          </w:tcPr>
          <w:p w14:paraId="79F592CB">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6B8F19FA">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62D76AE6">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tcPr>
          <w:p w14:paraId="2C6CE6C0">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49078E51">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16190D9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1A56FFF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textDirection w:val="lrTb"/>
            <w:noWrap/>
          </w:tcPr>
          <w:p w14:paraId="735C2A4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73817E03">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4C604F9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tcPr>
          <w:p w14:paraId="48B99BC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635C927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34.867.568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4DE493F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44.828.269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5A953E9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53.987.105 </w:t>
            </w:r>
            <w:r>
              <w:rPr>
                <w:color w:val="000000" w:themeColor="text1"/>
              </w:rPr>
            </w:r>
            <w:r>
              <w:rPr>
                <w:color w:val="000000" w:themeColor="text1"/>
              </w:rP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textDirection w:val="lrTb"/>
            <w:noWrap/>
          </w:tcPr>
          <w:p w14:paraId="35B38AD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385B0FA5">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2DB42EB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1327627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0FA818B2">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14:paraId="544067F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725110A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textDirection w:val="lrTb"/>
            <w:noWrap/>
          </w:tcPr>
          <w:p w14:paraId="6FF56E80">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5EF7314F">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val="false"/>
          </w:tcPr>
          <w:p w14:paraId="6508635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val="false"/>
          </w:tcPr>
          <w:p w14:paraId="398B646B">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5785635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 - 13%</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14:paraId="5E902FF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 - 17%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37BC0C4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 - 10%</w:t>
            </w:r>
            <w:r>
              <w:rPr>
                <w:color w:val="000000" w:themeColor="text1"/>
              </w:rPr>
            </w:r>
            <w:r>
              <w:rPr>
                <w:color w:val="000000" w:themeColor="text1"/>
              </w:rP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textDirection w:val="lrTb"/>
            <w:noWrap/>
          </w:tcPr>
          <w:p w14:paraId="2CC92C7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14:paraId="6F4FE81E">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textDirection w:val="lrTb"/>
            <w:noWrap/>
          </w:tcPr>
          <w:p w14:paraId="627C49E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textDirection w:val="lrTb"/>
            <w:noWrap/>
          </w:tcPr>
          <w:p w14:paraId="44755A9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0B61AAA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9.962.162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tcPr>
          <w:p w14:paraId="4636E48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1.280.808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14:paraId="7C86FAA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16.967.376 </w:t>
            </w:r>
            <w:r>
              <w:rPr>
                <w:color w:val="000000" w:themeColor="text1"/>
              </w:rPr>
            </w:r>
            <w:r>
              <w:rPr>
                <w:color w:val="000000" w:themeColor="text1"/>
              </w:rP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4" w:type="dxa"/>
            <w:vAlign w:val="center"/>
            <w:vMerge w:val="restart"/>
            <w:textDirection w:val="lrTb"/>
            <w:noWrap/>
          </w:tcPr>
          <w:p w14:paraId="1D628FC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sz w:val="24"/>
              </w:rPr>
            </w:pPr>
            <w:r>
              <w:rPr>
                <w:rFonts w:ascii="Times New Roman" w:hAnsi="Times New Roman" w:eastAsia="Times New Roman" w:cs="Times New Roman"/>
                <w:b/>
                <w:color w:val="000000" w:themeColor="text1"/>
                <w:sz w:val="22"/>
              </w:rPr>
              <w:t xml:space="preserve">F</w:t>
            </w:r>
            <w:r>
              <w:rPr>
                <w:color w:val="000000" w:themeColor="text1"/>
                <w:sz w:val="24"/>
              </w:rPr>
            </w:r>
            <w:r>
              <w:rPr>
                <w:color w:val="000000" w:themeColor="text1"/>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vMerge w:val="restart"/>
            <w:textDirection w:val="lrTb"/>
            <w:noWrap w:val="false"/>
          </w:tcPr>
          <w:p w14:paraId="3E2B5DCD">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sz w:val="24"/>
              </w:rPr>
            </w:pPr>
            <w:r>
              <w:rPr>
                <w:rFonts w:ascii="Times New Roman" w:hAnsi="Times New Roman" w:eastAsia="Times New Roman" w:cs="Times New Roman"/>
                <w:b/>
                <w:color w:val="000000" w:themeColor="text1"/>
                <w:sz w:val="22"/>
              </w:rPr>
              <w:t xml:space="preserve">Mức giá cho tài sản thẩm định (làm tròn)</w:t>
            </w:r>
            <w:r>
              <w:rPr>
                <w:color w:val="000000" w:themeColor="text1"/>
                <w:sz w:val="24"/>
              </w:rPr>
            </w:r>
            <w:r>
              <w:rPr>
                <w:color w:val="000000" w:themeColor="text1"/>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845" w:type="dxa"/>
            <w:vAlign w:val="center"/>
            <w:vMerge w:val="restart"/>
            <w:textDirection w:val="lrTb"/>
            <w:noWrap/>
          </w:tcPr>
          <w:p w14:paraId="6E43EB10">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sz w:val="24"/>
              </w:rPr>
            </w:pPr>
            <w:r>
              <w:rPr>
                <w:rFonts w:ascii="Times New Roman" w:hAnsi="Times New Roman" w:eastAsia="Times New Roman" w:cs="Times New Roman"/>
                <w:b/>
                <w:color w:val="000000" w:themeColor="text1"/>
                <w:sz w:val="22"/>
              </w:rPr>
              <w:t xml:space="preserve">Đồng/m²</w:t>
            </w:r>
            <w:r>
              <w:rPr>
                <w:color w:val="000000" w:themeColor="text1"/>
                <w:sz w:val="24"/>
              </w:rPr>
            </w:r>
            <w:r>
              <w:rPr>
                <w:color w:val="000000" w:themeColor="text1"/>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05" w:type="dxa"/>
            <w:vAlign w:val="center"/>
            <w:vMerge w:val="restart"/>
            <w:textDirection w:val="lrTb"/>
            <w:noWrap/>
          </w:tcPr>
          <w:p w14:paraId="0C2984F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rFonts w:ascii="Times New Roman" w:hAnsi="Times New Roman" w:eastAsia="Times New Roman" w:cs="Times New Roman"/>
                <w:color w:val="000000" w:themeColor="text1"/>
                <w:sz w:val="22"/>
              </w:rPr>
            </w:pPr>
            <w:r>
              <w:rPr>
                <w:rFonts w:ascii="Times New Roman" w:hAnsi="Times New Roman" w:eastAsia="Times New Roman" w:cs="Times New Roman"/>
                <w:color w:val="000000" w:themeColor="text1"/>
                <w:sz w:val="22"/>
              </w:rPr>
            </w:r>
            <w:r>
              <w:rPr>
                <w:rFonts w:ascii="Times New Roman" w:hAnsi="Times New Roman" w:eastAsia="Times New Roman" w:cs="Times New Roman"/>
                <w:color w:val="000000" w:themeColor="text1"/>
                <w:sz w:val="22"/>
              </w:rPr>
            </w:r>
            <w:r>
              <w:rPr>
                <w:rFonts w:ascii="Times New Roman" w:hAnsi="Times New Roman" w:eastAsia="Times New Roman" w:cs="Times New Roman"/>
                <w:color w:val="000000" w:themeColor="text1"/>
                <w:sz w:val="22"/>
              </w:rP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4553" w:type="dxa"/>
            <w:vAlign w:val="center"/>
            <w:vMerge w:val="restart"/>
            <w:textDirection w:val="lrTb"/>
            <w:noWrap/>
          </w:tcPr>
          <w:p w14:paraId="2B7D0612">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sz w:val="24"/>
              </w:rPr>
            </w:pPr>
            <w:r>
              <w:rPr>
                <w:rFonts w:ascii="Times New Roman" w:hAnsi="Times New Roman" w:eastAsia="Times New Roman" w:cs="Times New Roman"/>
                <w:b/>
                <w:color w:val="000000" w:themeColor="text1"/>
                <w:sz w:val="22"/>
              </w:rPr>
              <w:t xml:space="preserve">133.000.000 </w:t>
            </w:r>
            <w:r>
              <w:rPr>
                <w:color w:val="000000" w:themeColor="text1"/>
                <w:sz w:val="24"/>
              </w:rPr>
            </w:r>
            <w:r>
              <w:rPr>
                <w:color w:val="000000" w:themeColor="text1"/>
                <w:sz w:val="24"/>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highlight w:val="none"/>
          <w:u w:val="single"/>
        </w:rPr>
      </w:pPr>
      <w:r>
        <w:t xml:space="preserve">Theo số liệu tại mục </w:t>
      </w:r>
      <w:r>
        <w:t xml:space="preserve">D</w:t>
      </w:r>
      <w:r>
        <w:t xml:space="preserve">2, chênh lệch giữa mức giá trung bình của các mức giá chỉ dẫn nằm trong khoảng </w:t>
      </w:r>
      <w:r>
        <w:t xml:space="preserve">từ </w:t>
      </w:r>
      <w:r>
        <w:rPr>
          <w:highlight w:val="white"/>
        </w:rPr>
        <w:t xml:space="preserve"> -4,6</w:t>
      </w:r>
      <w:r>
        <w:rPr>
          <w:highlight w:val="white"/>
        </w:rPr>
        <w:t xml:space="preserve">% đến</w:t>
      </w:r>
      <w:r>
        <w:rPr>
          <w:highlight w:val="white"/>
        </w:rPr>
        <w:t xml:space="preserve"> </w:t>
      </w:r>
      <w:r>
        <w:rPr>
          <w:highlight w:val="white"/>
        </w:rPr>
        <w:t xml:space="preserve"> </w:t>
      </w:r>
      <w:r>
        <w:rPr>
          <w:highlight w:val="white"/>
        </w:rPr>
        <w:t xml:space="preserve">3,3</w:t>
      </w:r>
      <w:r>
        <w:rPr>
          <w:highlight w:val="white"/>
        </w:rPr>
        <w:t xml:space="preserve">%</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highlight w:val="none"/>
          <w:u w:val="single"/>
        </w:rPr>
      </w:r>
      <w:r>
        <w:rPr>
          <w:b/>
          <w:bCs/>
          <w:highlight w:val="none"/>
          <w:u w:val="single"/>
        </w:rPr>
      </w:r>
    </w:p>
    <w:p w14:paraId="79413FC6">
      <w:pPr>
        <w:pBdr>
          <w:top w:val="none" w:color="000000" w:sz="4" w:space="0"/>
          <w:left w:val="none" w:color="000000" w:sz="4" w:space="0"/>
          <w:bottom w:val="none" w:color="000000" w:sz="4" w:space="0"/>
          <w:right w:val="none" w:color="000000" w:sz="4" w:space="0"/>
        </w:pBdr>
        <w:spacing w:after="60" w:before="60" w:line="276" w:lineRule="auto"/>
        <w:ind w:right="28" w:firstLine="0" w:left="0"/>
        <w:jc w:val="both"/>
        <w:rPr/>
      </w:pPr>
      <w:r>
        <w:rPr>
          <w:rFonts w:ascii="Times New Roman" w:hAnsi="Times New Roman" w:eastAsia="Times New Roman" w:cs="Times New Roman"/>
          <w:color w:val="000000"/>
          <w:sz w:val="24"/>
          <w:u w:val="single"/>
        </w:rPr>
        <w:t xml:space="preserve">Về thống nhất các mức giá chỉ dẫn:</w:t>
      </w:r>
      <w:r/>
    </w:p>
    <w:p w14:paraId="634A4796">
      <w:pPr>
        <w:pBdr>
          <w:top w:val="none" w:color="000000" w:sz="4" w:space="0"/>
          <w:left w:val="none" w:color="000000" w:sz="4" w:space="0"/>
          <w:bottom w:val="none" w:color="000000" w:sz="4" w:space="0"/>
          <w:right w:val="none" w:color="000000" w:sz="4" w:space="0"/>
        </w:pBdr>
        <w:spacing w:after="60" w:before="60" w:line="276" w:lineRule="auto"/>
        <w:ind w:right="28" w:firstLine="0" w:left="0"/>
        <w:jc w:val="both"/>
        <w:rPr/>
      </w:pPr>
      <w:r>
        <w:rPr>
          <w:rFonts w:ascii="Times New Roman" w:hAnsi="Times New Roman" w:eastAsia="Times New Roman" w:cs="Times New Roman"/>
          <w:color w:val="000000"/>
          <w:spacing w:val="-4"/>
          <w:sz w:val="24"/>
        </w:rPr>
        <w:t xml:space="preserve">Tổ thẩm định đánh giá chất lượng thông tin về các tài sản so sánh là tương đương  nhau; mức giá chỉ dẫn, tổng giá trị điều chỉnh gộp, tổng số lần điều chỉnh, biên độ điều chỉnh của các bất động sản chênh lệch không đáng kể. Do đó, Tổ thẩm định sử dụng mức </w:t>
      </w:r>
      <w:r>
        <w:rPr>
          <w:rFonts w:ascii="Times New Roman" w:hAnsi="Times New Roman" w:eastAsia="Times New Roman" w:cs="Times New Roman"/>
          <w:color w:val="000000"/>
          <w:spacing w:val="-4"/>
          <w:sz w:val="24"/>
        </w:rPr>
        <w:t xml:space="preserve">giá chỉ dẫn trung bình của 03 bất động sản so sánh làm mức giá của bất động sản thẩm định giá, tương ứng </w:t>
      </w:r>
      <w:r>
        <w:rPr>
          <w:rFonts w:ascii="Times New Roman" w:hAnsi="Times New Roman" w:eastAsia="Times New Roman" w:cs="Times New Roman"/>
          <w:color w:val="000000"/>
          <w:sz w:val="24"/>
        </w:rPr>
        <w:t xml:space="preserve">là:</w:t>
      </w:r>
      <w:r>
        <w:rPr>
          <w:rFonts w:ascii="Times New Roman" w:hAnsi="Times New Roman" w:eastAsia="Times New Roman" w:cs="Times New Roman"/>
          <w:b/>
          <w:color w:val="000000"/>
          <w:sz w:val="24"/>
        </w:rPr>
        <w:t xml:space="preserve"> 133.000.000 đồng/m²</w:t>
      </w: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p>
    <w:p w14:paraId="4B506B03" w14:textId="49B8E0F8">
      <w:pPr>
        <w:pStyle w:val="103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3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95"/>
        <w:gridCol w:w="3260"/>
        <w:gridCol w:w="1417"/>
        <w:gridCol w:w="1984"/>
        <w:gridCol w:w="2126"/>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767DDF39">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260" w:type="dxa"/>
            <w:vAlign w:val="center"/>
            <w:textDirection w:val="lrTb"/>
            <w:noWrap w:val="false"/>
          </w:tcPr>
          <w:p w14:paraId="74E82716">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14:paraId="32B96ADF">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7F524006">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ACFACF3">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2D578AA1">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61" w:type="dxa"/>
            <w:vAlign w:val="center"/>
            <w:textDirection w:val="lrTb"/>
            <w:noWrap w:val="false"/>
          </w:tcPr>
          <w:p w14:paraId="5089DCA2">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Quyền sử dụng đất tại thửa đất số: 395, tờ bản đồ số 48 có địa chỉ: phường Vĩnh Hưng, thành phố Hà Nội theo Giấy chứng nhận quyền sử dụng đất, quyền sở hữu tài sản gắn liền với đất số: AA 03951078, số vào sổ cấp GCN: CN 02979 do Chi nhánh văn phòng đăng ký</w:t>
            </w:r>
            <w:r>
              <w:rPr>
                <w:rFonts w:ascii="Times New Roman" w:hAnsi="Times New Roman" w:eastAsia="Times New Roman" w:cs="Times New Roman"/>
                <w:color w:val="000000"/>
                <w:sz w:val="24"/>
              </w:rPr>
              <w:t xml:space="preserve"> đất đai Hà Nội cấp ngày 12/12/2025; Chủ sử dụng đất là Ông Nguyễn Thành Luân và Vợ Vũ Thị Nguyệt 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083DB93B">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330E5551">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260" w:type="dxa"/>
            <w:vAlign w:val="center"/>
            <w:textDirection w:val="lrTb"/>
            <w:noWrap w:val="false"/>
          </w:tcPr>
          <w:p w14:paraId="372914FF">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tcPr>
          <w:p w14:paraId="2531B042">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35,2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33B39D12">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133.000.000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2DE75B63">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4.681.600.000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256" w:type="dxa"/>
            <w:vAlign w:val="center"/>
            <w:textDirection w:val="lrTb"/>
            <w:noWrap/>
          </w:tcPr>
          <w:p w14:paraId="2D3ACB54">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tcPr>
          <w:p w14:paraId="0F8679B3">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b/>
                <w:bCs/>
              </w:rPr>
            </w:pPr>
            <w:r>
              <w:rPr>
                <w:rFonts w:ascii="Times New Roman" w:hAnsi="Times New Roman" w:eastAsia="Times New Roman" w:cs="Times New Roman"/>
                <w:b/>
                <w:bCs/>
                <w:color w:val="000000"/>
                <w:sz w:val="24"/>
              </w:rPr>
              <w:t xml:space="preserve">4.681.600.000</w:t>
            </w:r>
            <w:r>
              <w:rPr>
                <w:b/>
                <w:bCs/>
              </w:rPr>
            </w:r>
            <w:r>
              <w:rPr>
                <w:b/>
                <w:bCs/>
              </w:rP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382" w:type="dxa"/>
            <w:vAlign w:val="center"/>
            <w:textDirection w:val="lrTb"/>
            <w:noWrap w:val="false"/>
          </w:tcPr>
          <w:p w14:paraId="6AFDE71B">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rPr>
              <w:t xml:space="preserve">(Bằng chữ: Bốn tỷ sáu trăm tám mươi mốt triệu sáu trăm nghìn đồng chẵn./.)</w:t>
            </w:r>
            <w:r/>
          </w:p>
        </w:tc>
      </w:tr>
    </w:tbl>
    <w:p w14:paraId="7C23F8D1">
      <w:pPr>
        <w:pStyle w:val="1035"/>
        <w:pBdr/>
        <w:tabs>
          <w:tab w:val="left" w:leader="none" w:pos="993"/>
        </w:tabs>
        <w:spacing w:after="120" w:before="120" w:line="288" w:lineRule="auto"/>
        <w:ind w:left="0"/>
        <w:jc w:val="both"/>
        <w:rPr>
          <w:b/>
          <w:bCs/>
          <w:lang w:val="pt-BR"/>
        </w:rPr>
      </w:pPr>
      <w:r>
        <w:rPr>
          <w:b/>
          <w:bCs/>
          <w:highlight w:val="none"/>
          <w:lang w:val="pt-BR"/>
        </w:rPr>
      </w:r>
      <w:r>
        <w:rPr>
          <w:b/>
          <w:bCs/>
          <w:highlight w:val="none"/>
          <w:lang w:val="pt-BR"/>
        </w:rPr>
      </w:r>
      <w:r>
        <w:rPr>
          <w:b/>
          <w:bCs/>
          <w:lang w:val="pt-BR"/>
        </w:rPr>
      </w:r>
    </w:p>
    <w:p w14:paraId="187E2E91" w14:textId="56B58432">
      <w:pPr>
        <w:pStyle w:val="1035"/>
        <w:pBdr/>
        <w:tabs>
          <w:tab w:val="left" w:leader="none" w:pos="993"/>
        </w:tabs>
        <w:spacing w:after="120" w:before="120" w:line="288"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bCs/>
          <w:highlight w:val="none"/>
          <w:lang w:val="pt-BR"/>
        </w:rPr>
      </w:r>
    </w:p>
    <w:p w14:paraId="279C742C" w14:textId="6D8F76C7">
      <w:pPr>
        <w:pStyle w:val="103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606ED156">
      <w:pPr>
        <w:pStyle w:val="1035"/>
        <w:numPr>
          <w:ilvl w:val="0"/>
          <w:numId w:val="5"/>
        </w:numPr>
        <w:pBdr/>
        <w:tabs>
          <w:tab w:val="left" w:leader="none" w:pos="993"/>
        </w:tabs>
        <w:spacing w:after="120" w:before="120" w:line="288" w:lineRule="auto"/>
        <w:ind/>
        <w:jc w:val="both"/>
        <w:rPr>
          <w:spacing w:val="-2"/>
          <w:highlight w:val="white"/>
        </w:rPr>
      </w:pPr>
      <w:r>
        <w:rPr>
          <w:highlight w:val="none"/>
        </w:rPr>
        <w:t xml:space="preserve">Căn cứ </w:t>
      </w:r>
      <w:r>
        <w:rPr>
          <w:rFonts w:ascii="Times New Roman" w:hAnsi="Times New Roman" w:eastAsia="Times New Roman" w:cs="Times New Roman"/>
          <w:color w:val="000000"/>
          <w:sz w:val="24"/>
        </w:rPr>
        <w:t xml:space="preserve">theo hiện trạng khảo sát thực tế dưới sự hướng dẫn của Khách hàng, có CTXD là nhà cấp 4, không được ghi nhận GCN số AA 03951078, xây hết đất, xây dựng năm 2016</w:t>
      </w:r>
      <w:r>
        <w:rPr>
          <w:rFonts w:ascii="Times New Roman" w:hAnsi="Times New Roman" w:eastAsia="Times New Roman" w:cs="Times New Roman"/>
          <w:color w:val="000000"/>
          <w:sz w:val="24"/>
        </w:rPr>
        <w:t xml:space="preserve">.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highlight w:val="none"/>
        </w:rPr>
        <w:t xml:space="preserve">. </w:t>
      </w:r>
      <w:r>
        <w:rPr>
          <w:spacing w:val="-2"/>
          <w:highlight w:val="white"/>
        </w:rPr>
      </w:r>
      <w:r>
        <w:rPr>
          <w:spacing w:val="-2"/>
          <w:highlight w:val="white"/>
        </w:rPr>
      </w:r>
    </w:p>
    <w:p w14:paraId="52B8A5CE">
      <w:pPr>
        <w:pStyle w:val="1035"/>
        <w:numPr>
          <w:ilvl w:val="0"/>
          <w:numId w:val="5"/>
        </w:numPr>
        <w:pBdr/>
        <w:tabs>
          <w:tab w:val="left" w:leader="none" w:pos="993"/>
        </w:tabs>
        <w:spacing w:after="120" w:before="120" w:line="288" w:lineRule="auto"/>
        <w:ind/>
        <w:jc w:val="both"/>
        <w:rPr>
          <w:spacing w:val="-2"/>
          <w:highlight w:val="white"/>
        </w:rPr>
      </w:pPr>
      <w:r>
        <w:rPr>
          <w:spacing w:val="-2"/>
          <w:highlight w:val="none"/>
        </w:rPr>
      </w:r>
      <w:r>
        <w:rPr>
          <w:rFonts w:ascii="Times New Roman" w:hAnsi="Times New Roman" w:eastAsia="Times New Roman" w:cs="Times New Roman"/>
          <w:sz w:val="24"/>
          <w:highlight w:val="white"/>
        </w:rPr>
        <w:t xml:space="preserve">Theo sơ đồ thửa đất, đường dẫn vào tài sản có độ rộng 0,8m, tuy nhiên theo khảo sát thực tế, đường dẫn vào tài sản đã được mở rộng 3m và chủ sử dụng đất cam kết không ảnh hưởng đến diện tích của thửa đất</w:t>
      </w:r>
      <w:r>
        <w:rPr>
          <w:rFonts w:ascii="Times New Roman" w:hAnsi="Times New Roman" w:eastAsia="Times New Roman" w:cs="Times New Roman"/>
          <w:sz w:val="24"/>
          <w:highlight w:val="white"/>
        </w:rPr>
        <w:t xml:space="preserve">. Do đó, tổ thẩm định thực hiện ước tính giá trị quyền sử dụng đất theo hiện trạng đường tiếp giáp rộng 3m. Đề nghị các bên sử dụng kết quả chứng thư lưu ý.</w:t>
      </w:r>
      <w:r>
        <w:rPr>
          <w:spacing w:val="-2"/>
          <w:highlight w:val="white"/>
        </w:rPr>
      </w:r>
      <w:r>
        <w:rPr>
          <w:spacing w:val="-2"/>
          <w:highlight w:val="white"/>
        </w:rPr>
      </w:r>
    </w:p>
    <w:p w14:paraId="0F9E384F" w14:textId="63102E36">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39C50704">
      <w:pPr>
        <w:pStyle w:val="1035"/>
        <w:pBdr/>
        <w:tabs>
          <w:tab w:val="left" w:leader="none" w:pos="993"/>
        </w:tabs>
        <w:spacing w:after="120" w:before="120" w:line="288" w:lineRule="auto"/>
        <w:ind w:left="0"/>
        <w:jc w:val="both"/>
        <w:rPr>
          <w:lang w:val="vi-VN"/>
        </w:rPr>
      </w:pPr>
      <w:r>
        <w:rPr>
          <w:highlight w:val="none"/>
          <w:lang w:val="vi-VN"/>
        </w:rPr>
      </w:r>
      <w:r>
        <w:rPr>
          <w:lang w:val="vi-VN"/>
        </w:rPr>
      </w:r>
      <w:r>
        <w:rPr>
          <w:lang w:val="vi-VN"/>
        </w:rPr>
      </w:r>
    </w:p>
    <w:p w14:paraId="687651ED">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3A8A77D6">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02AF47A0">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72F9D495">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6BA36937">
      <w:pPr>
        <w:pStyle w:val="103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699F9D9D" w14:textId="4418D349">
      <w:pPr>
        <w:pStyle w:val="103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275/2025/1887/VFI-CT.55.A</w:t>
      </w:r>
      <w:r>
        <w:rPr>
          <w:color w:val="ff0000"/>
          <w:lang w:val="vi-VN"/>
        </w:rPr>
        <w:t xml:space="preserve"> </w:t>
      </w:r>
      <w:r>
        <w:rPr>
          <w:color w:val="000000" w:themeColor="text1"/>
        </w:rPr>
        <w:t xml:space="preserve">ngày 29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ascii="Times New Roman" w:hAnsi="Times New Roman" w:eastAsia="Times New Roman" w:cs="Times New Roman"/>
                <w:color w:val="000000"/>
                <w:sz w:val="24"/>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Quốc Đại</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Đỗ Thanh Thảo</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2B442136">
      <w:pPr>
        <w:pBdr/>
        <w:spacing w:after="200" w:line="276" w:lineRule="auto"/>
        <w:ind/>
        <w:jc w:val="center"/>
        <w:rPr>
          <w:b/>
          <w:bCs/>
          <w:u w:val="single"/>
          <w:lang w:val="vi-VN"/>
        </w:rPr>
      </w:pPr>
      <w:r>
        <w:rPr>
          <w:b/>
          <w:highlight w:val="none"/>
          <w:lang w:val="pt-BR"/>
        </w:rPr>
      </w:r>
      <w:r>
        <w:rPr>
          <w:b/>
          <w:bCs/>
          <w:u w:val="single"/>
          <w:lang w:val="vi-VN"/>
        </w:rPr>
      </w:r>
      <w:r>
        <w:rPr>
          <w:b/>
          <w:bCs/>
          <w:u w:val="single"/>
          <w:lang w:val="vi-VN"/>
        </w:rPr>
      </w:r>
    </w:p>
    <w:p w14:paraId="1AD1B559">
      <w:pPr>
        <w:pBdr/>
        <w:spacing w:after="200" w:line="276" w:lineRule="auto"/>
        <w:ind/>
        <w:jc w:val="left"/>
        <w:rPr>
          <w:b/>
          <w:bCs/>
          <w:highlight w:val="none"/>
          <w:lang w:val="pt-BR"/>
        </w:rPr>
      </w:pPr>
      <w:r>
        <w:rPr>
          <w:b/>
          <w:bCs/>
          <w:highlight w:val="none"/>
          <w:lang w:val="pt-BR"/>
        </w:rPr>
      </w:r>
      <w:r>
        <w:rPr>
          <w:b/>
          <w:bCs/>
          <w:highlight w:val="none"/>
          <w:lang w:val="pt-BR"/>
        </w:rPr>
      </w:r>
      <w:r>
        <w:rPr>
          <w:b/>
          <w:bCs/>
          <w:highlight w:val="none"/>
          <w:lang w:val="pt-BR"/>
        </w:rPr>
      </w:r>
    </w:p>
    <w:p w14:paraId="5ABC25BA">
      <w:pPr>
        <w:pBdr/>
        <w:spacing w:after="200" w:line="276" w:lineRule="auto"/>
        <w:ind/>
        <w:jc w:val="left"/>
        <w:rPr>
          <w:b/>
          <w:bCs/>
          <w:highlight w:val="none"/>
          <w:lang w:val="pt-BR"/>
        </w:rPr>
      </w:pPr>
      <w:r>
        <w:rPr>
          <w:b/>
          <w:bCs/>
          <w:highlight w:val="none"/>
          <w:lang w:val="pt-BR"/>
        </w:rPr>
      </w:r>
      <w:r>
        <w:rPr>
          <w:b/>
          <w:bCs/>
          <w:highlight w:val="none"/>
          <w:lang w:val="pt-BR"/>
        </w:rPr>
      </w:r>
      <w:r>
        <w:rPr>
          <w:b/>
          <w:bCs/>
          <w:highlight w:val="none"/>
          <w:lang w:val="pt-BR"/>
        </w:rPr>
      </w:r>
    </w:p>
    <w:p w14:paraId="2F39FFDE">
      <w:pPr>
        <w:pBdr/>
        <w:spacing w:after="200" w:line="276" w:lineRule="auto"/>
        <w:ind/>
        <w:jc w:val="left"/>
        <w:rPr>
          <w:b/>
          <w:bCs/>
          <w:highlight w:val="none"/>
          <w:lang w:val="pt-BR"/>
        </w:rPr>
      </w:pPr>
      <w:r>
        <w:rPr>
          <w:b/>
          <w:bCs/>
          <w:highlight w:val="none"/>
          <w:lang w:val="pt-BR"/>
        </w:rPr>
      </w:r>
      <w:r>
        <w:rPr>
          <w:b/>
          <w:bCs/>
          <w:highlight w:val="none"/>
          <w:lang w:val="pt-BR"/>
        </w:rPr>
      </w:r>
      <w:r>
        <w:rPr>
          <w:b/>
          <w:bCs/>
          <w:highlight w:val="none"/>
          <w:lang w:val="pt-BR"/>
        </w:rPr>
      </w:r>
    </w:p>
    <w:p w14:paraId="18F225DA">
      <w:pPr>
        <w:pBdr/>
        <w:spacing w:after="200" w:line="276" w:lineRule="auto"/>
        <w:ind/>
        <w:jc w:val="left"/>
        <w:rPr>
          <w:b/>
          <w:bCs/>
          <w:highlight w:val="none"/>
          <w:lang w:val="pt-BR"/>
        </w:rPr>
      </w:pPr>
      <w:r>
        <w:rPr>
          <w:b/>
          <w:bCs/>
          <w:highlight w:val="none"/>
          <w:lang w:val="pt-BR"/>
        </w:rPr>
      </w:r>
      <w:r>
        <w:rPr>
          <w:b/>
          <w:bCs/>
          <w:highlight w:val="none"/>
          <w:lang w:val="pt-BR"/>
        </w:rPr>
      </w:r>
      <w:r>
        <w:rPr>
          <w:b/>
          <w:bCs/>
          <w:highlight w:val="none"/>
          <w:lang w:val="pt-BR"/>
        </w:rPr>
      </w:r>
    </w:p>
    <w:p w14:paraId="4BFD7EF8">
      <w:pPr>
        <w:pBdr/>
        <w:spacing w:after="200" w:line="276" w:lineRule="auto"/>
        <w:ind/>
        <w:jc w:val="left"/>
        <w:rPr>
          <w:b/>
          <w:bCs/>
          <w:highlight w:val="none"/>
          <w:lang w:val="pt-BR"/>
        </w:rPr>
      </w:pPr>
      <w:r>
        <w:rPr>
          <w:b/>
          <w:bCs/>
          <w:highlight w:val="none"/>
          <w:lang w:val="pt-BR"/>
        </w:rPr>
      </w:r>
      <w:r>
        <w:rPr>
          <w:b/>
          <w:bCs/>
          <w:highlight w:val="none"/>
          <w:lang w:val="pt-BR"/>
        </w:rPr>
      </w:r>
      <w:r>
        <w:rPr>
          <w:b/>
          <w:bCs/>
          <w:highlight w:val="none"/>
          <w:lang w:val="pt-BR"/>
        </w:rPr>
      </w:r>
    </w:p>
    <w:p w14:paraId="2B8842F1">
      <w:pPr>
        <w:pBdr/>
        <w:spacing w:after="200" w:line="276" w:lineRule="auto"/>
        <w:ind/>
        <w:jc w:val="left"/>
        <w:rPr>
          <w:b/>
          <w:bCs/>
          <w:highlight w:val="none"/>
          <w:lang w:val="pt-BR"/>
        </w:rPr>
      </w:pPr>
      <w:r>
        <w:rPr>
          <w:b/>
          <w:bCs/>
          <w:highlight w:val="none"/>
          <w:lang w:val="pt-BR"/>
        </w:rPr>
      </w:r>
      <w:r>
        <w:rPr>
          <w:b/>
          <w:bCs/>
          <w:highlight w:val="none"/>
          <w:lang w:val="pt-BR"/>
        </w:rPr>
      </w:r>
      <w:r>
        <w:rPr>
          <w:b/>
          <w:bCs/>
          <w:highlight w:val="none"/>
          <w:lang w:val="pt-BR"/>
        </w:rPr>
      </w:r>
    </w:p>
    <w:p w14:paraId="5B8A0577">
      <w:pPr>
        <w:pBdr/>
        <w:spacing w:after="200" w:line="276" w:lineRule="auto"/>
        <w:ind/>
        <w:jc w:val="left"/>
        <w:rPr>
          <w:b/>
          <w:bCs/>
          <w:highlight w:val="none"/>
          <w:lang w:val="pt-BR"/>
        </w:rPr>
      </w:pPr>
      <w:r>
        <w:rPr>
          <w:b/>
          <w:bCs/>
          <w:highlight w:val="none"/>
          <w:lang w:val="pt-BR"/>
        </w:rPr>
      </w:r>
      <w:r>
        <w:rPr>
          <w:b/>
          <w:bCs/>
          <w:highlight w:val="none"/>
          <w:lang w:val="pt-BR"/>
        </w:rPr>
      </w:r>
      <w:r>
        <w:rPr>
          <w:b/>
          <w:bCs/>
          <w:highlight w:val="none"/>
          <w:lang w:val="pt-BR"/>
        </w:rPr>
      </w:r>
    </w:p>
    <w:p w14:paraId="5E55A25C">
      <w:pPr>
        <w:pBdr/>
        <w:spacing w:after="200" w:line="276" w:lineRule="auto"/>
        <w:ind/>
        <w:jc w:val="left"/>
        <w:rPr>
          <w:b/>
          <w:bCs/>
          <w:highlight w:val="none"/>
          <w:lang w:val="pt-BR"/>
        </w:rPr>
      </w:pPr>
      <w:r>
        <w:rPr>
          <w:b/>
          <w:bCs/>
          <w:highlight w:val="none"/>
          <w:lang w:val="pt-BR"/>
        </w:rPr>
      </w:r>
      <w:r>
        <w:rPr>
          <w:b/>
          <w:bCs/>
          <w:highlight w:val="none"/>
          <w:lang w:val="pt-BR"/>
        </w:rPr>
      </w:r>
      <w:r>
        <w:rPr>
          <w:b/>
          <w:bCs/>
          <w:highlight w:val="none"/>
          <w:lang w:val="pt-BR"/>
        </w:rPr>
      </w:r>
    </w:p>
    <w:p w14:paraId="6AE6B1DE">
      <w:pPr>
        <w:pBdr/>
        <w:spacing w:after="200" w:line="276" w:lineRule="auto"/>
        <w:ind/>
        <w:jc w:val="left"/>
        <w:rPr>
          <w:b/>
          <w:bCs/>
          <w:highlight w:val="none"/>
          <w:lang w:val="pt-BR"/>
        </w:rPr>
      </w:pPr>
      <w:r>
        <w:rPr>
          <w:b/>
          <w:bCs/>
          <w:highlight w:val="none"/>
          <w:lang w:val="pt-BR"/>
        </w:rPr>
      </w:r>
      <w:r>
        <w:rPr>
          <w:b/>
          <w:bCs/>
          <w:highlight w:val="none"/>
          <w:lang w:val="pt-BR"/>
        </w:rPr>
      </w:r>
      <w:r>
        <w:rPr>
          <w:b/>
          <w:bCs/>
          <w:highlight w:val="none"/>
          <w:lang w:val="pt-BR"/>
        </w:rPr>
      </w:r>
    </w:p>
    <w:p w14:paraId="01DEAE6A">
      <w:pPr>
        <w:pBdr/>
        <w:spacing w:after="200" w:line="276" w:lineRule="auto"/>
        <w:ind/>
        <w:jc w:val="left"/>
        <w:rPr>
          <w:b/>
          <w:bCs/>
          <w:highlight w:val="none"/>
          <w:lang w:val="pt-BR"/>
        </w:rPr>
      </w:pPr>
      <w:r>
        <w:rPr>
          <w:b/>
          <w:bCs/>
          <w:highlight w:val="none"/>
          <w:lang w:val="pt-BR"/>
        </w:rPr>
      </w:r>
      <w:r>
        <w:rPr>
          <w:b/>
          <w:bCs/>
          <w:highlight w:val="none"/>
          <w:lang w:val="pt-BR"/>
        </w:rPr>
      </w:r>
      <w:r>
        <w:rPr>
          <w:b/>
          <w:bCs/>
          <w:highlight w:val="none"/>
          <w:lang w:val="pt-BR"/>
        </w:rPr>
      </w:r>
    </w:p>
    <w:p w14:paraId="53A6CE71">
      <w:pPr>
        <w:pBdr/>
        <w:spacing w:after="200" w:line="276" w:lineRule="auto"/>
        <w:ind/>
        <w:jc w:val="left"/>
        <w:rPr>
          <w:b/>
          <w:bCs/>
          <w:highlight w:val="none"/>
          <w:lang w:val="pt-BR"/>
        </w:rPr>
      </w:pPr>
      <w:r>
        <w:rPr>
          <w:b/>
          <w:bCs/>
          <w:highlight w:val="none"/>
          <w:lang w:val="pt-BR"/>
        </w:rPr>
      </w:r>
      <w:r>
        <w:rPr>
          <w:b/>
          <w:bCs/>
          <w:highlight w:val="none"/>
          <w:lang w:val="pt-BR"/>
        </w:rPr>
      </w:r>
      <w:r>
        <w:rPr>
          <w:b/>
          <w:bCs/>
          <w:highlight w:val="none"/>
          <w:lang w:val="pt-BR"/>
        </w:rPr>
      </w:r>
    </w:p>
    <w:p w14:paraId="34FD1FCD">
      <w:pPr>
        <w:pBdr/>
        <w:spacing w:after="200" w:line="276" w:lineRule="auto"/>
        <w:ind/>
        <w:jc w:val="left"/>
        <w:rPr>
          <w:b/>
          <w:bCs/>
          <w:highlight w:val="none"/>
          <w:lang w:val="pt-BR"/>
        </w:rPr>
      </w:pPr>
      <w:r>
        <w:rPr>
          <w:b/>
          <w:bCs/>
          <w:highlight w:val="none"/>
          <w:lang w:val="pt-BR"/>
        </w:rPr>
      </w:r>
      <w:r>
        <w:rPr>
          <w:b/>
          <w:bCs/>
          <w:highlight w:val="none"/>
          <w:lang w:val="pt-BR"/>
        </w:rPr>
      </w:r>
      <w:r>
        <w:rPr>
          <w:b/>
          <w:bCs/>
          <w:highlight w:val="none"/>
          <w:lang w:val="pt-BR"/>
        </w:rPr>
      </w:r>
    </w:p>
    <w:p w14:paraId="2E9B1E47">
      <w:pPr>
        <w:pBdr/>
        <w:spacing w:after="200" w:line="276" w:lineRule="auto"/>
        <w:ind/>
        <w:jc w:val="left"/>
        <w:rPr>
          <w:b/>
          <w:bCs/>
          <w:highlight w:val="none"/>
          <w:lang w:val="pt-BR"/>
        </w:rPr>
      </w:pPr>
      <w:r>
        <w:rPr>
          <w:b/>
          <w:bCs/>
          <w:highlight w:val="none"/>
          <w:lang w:val="pt-BR"/>
        </w:rPr>
      </w:r>
      <w:r>
        <w:rPr>
          <w:b/>
          <w:bCs/>
          <w:highlight w:val="none"/>
          <w:lang w:val="pt-BR"/>
        </w:rPr>
      </w:r>
      <w:r>
        <w:rPr>
          <w:b/>
          <w:bCs/>
          <w:highlight w:val="none"/>
          <w:lang w:val="pt-BR"/>
        </w:rPr>
      </w:r>
    </w:p>
    <w:p w14:paraId="79EBCD6E" w14:textId="7EE5057B">
      <w:pPr>
        <w:pBdr/>
        <w:spacing w:after="200" w:line="276" w:lineRule="auto"/>
        <w:ind/>
        <w:jc w:val="center"/>
        <w:rPr>
          <w:b/>
          <w:bCs/>
          <w:highlight w:val="none"/>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bCs/>
          <w:highlight w:val="none"/>
          <w:lang w:val="pt-BR"/>
        </w:rPr>
      </w:r>
      <w:r>
        <w:rPr>
          <w:b/>
          <w:bCs/>
          <w:highlight w:val="none"/>
          <w:lang w:val="pt-BR"/>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275/2025/1887/VFI-BC.55.A</w:t>
      </w:r>
      <w:r>
        <w:rPr>
          <w:i/>
          <w:lang w:val="pt-BR"/>
        </w:rPr>
        <w:t xml:space="preserve"> </w:t>
      </w:r>
      <w:r>
        <w:rPr>
          <w:i/>
          <w:lang w:val="pt-BR"/>
        </w:rPr>
        <w:t xml:space="preserve">29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12.5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2.50pt;height:150.0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12.50pt;height:150.00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159C15E2">
      <w:pPr>
        <w:pBdr/>
        <w:spacing w:after="200" w:line="276" w:lineRule="auto"/>
        <w:ind/>
        <w:jc w:val="center"/>
        <w:rPr>
          <w:b/>
          <w:bCs/>
          <w:highlight w:val="none"/>
        </w:rPr>
      </w:pPr>
      <w:r>
        <w:rPr>
          <w:b/>
          <w:highlight w:val="none"/>
        </w:rPr>
        <w:t xml:space="preserve">GIẤY CHỨNG NHẬN QUYỀN SỬ DỤNG ĐẤT</w:t>
      </w:r>
      <w:r>
        <w:rPr>
          <w:b/>
          <w:bCs/>
          <w:highlight w:val="none"/>
        </w:rPr>
      </w:r>
      <w:r>
        <w:rPr>
          <w:b/>
          <w:bCs/>
          <w:highlight w:val="none"/>
        </w:rPr>
      </w:r>
    </w:p>
    <w:p w14:paraId="707313FD">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836713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231450" name=""/>
                        <pic:cNvPicPr>
                          <a:picLocks noChangeAspect="1"/>
                        </pic:cNvPicPr>
                        <pic:nvPr/>
                      </pic:nvPicPr>
                      <pic:blipFill rotWithShape="1">
                        <a:blip r:embed="rId25"/>
                        <a:stretch/>
                      </pic:blipFill>
                      <pic:spPr bwMode="auto">
                        <a:xfrm>
                          <a:off x="0" y="0"/>
                          <a:ext cx="6048374" cy="83671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658.83pt;mso-wrap-distance-left:0.00pt;mso-wrap-distance-top:0.00pt;mso-wrap-distance-right:0.00pt;mso-wrap-distance-bottom:0.00pt;z-index:1;" stroked="false">
                <v:imagedata r:id="rId25" o:title=""/>
                <o:lock v:ext="edit" rotation="t"/>
              </v:shape>
            </w:pict>
          </mc:Fallback>
        </mc:AlternateContent>
      </w:r>
      <w:r>
        <w:rPr>
          <w:b/>
          <w:bCs/>
          <w:highlight w:val="none"/>
        </w:rPr>
      </w:r>
      <w:r>
        <w:rPr>
          <w:b/>
          <w:bCs/>
          <w:highlight w:val="none"/>
        </w:rPr>
      </w:r>
    </w:p>
    <w:p w14:paraId="390B33A1">
      <w:pPr>
        <w:pBdr/>
        <w:spacing w:after="200" w:line="276" w:lineRule="auto"/>
        <w:ind/>
        <w:jc w:val="center"/>
        <w:rPr>
          <w:b/>
          <w:bCs/>
          <w:highlight w:val="none"/>
          <w:lang w:val="pt-BR" w:bidi="pt-BR"/>
        </w:rPr>
      </w:pPr>
      <w:r>
        <w:rPr>
          <w:b/>
          <w:highlight w:val="none"/>
          <w:lang w:val="pt-BR" w:bidi="pt-BR"/>
        </w:rPr>
      </w:r>
      <w:r>
        <w:rPr>
          <w:b/>
          <w:bCs/>
          <w:highlight w:val="none"/>
          <w:lang w:val="pt-BR" w:bidi="pt-BR"/>
        </w:rPr>
      </w:r>
      <w:r>
        <w:rPr>
          <w:b/>
          <w:bCs/>
          <w:highlight w:val="none"/>
          <w:lang w:val="pt-BR" w:bidi="pt-BR"/>
        </w:rPr>
      </w:r>
    </w:p>
    <w:p w14:paraId="0F62EAC6">
      <w:pPr>
        <w:pBdr/>
        <w:spacing w:after="200" w:line="276" w:lineRule="auto"/>
        <w:ind/>
        <w:jc w:val="center"/>
        <w:rPr>
          <w:b/>
          <w:bCs/>
          <w:highlight w:val="none"/>
          <w:lang w:val="pt-BR" w:bidi="pt-BR"/>
        </w:rPr>
      </w:pPr>
      <w:r>
        <w:rPr>
          <w:b/>
          <w:highlight w:val="none"/>
          <w:lang w:val="pt-BR" w:bidi="pt-BR"/>
        </w:rPr>
      </w:r>
      <w:r>
        <mc:AlternateContent>
          <mc:Choice Requires="wpg">
            <w:drawing>
              <wp:inline xmlns:wp="http://schemas.openxmlformats.org/drawingml/2006/wordprocessingDrawing" distT="0" distB="0" distL="0" distR="0">
                <wp:extent cx="6048375" cy="862129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419869" name=""/>
                        <pic:cNvPicPr>
                          <a:picLocks noChangeAspect="1"/>
                        </pic:cNvPicPr>
                        <pic:nvPr/>
                      </pic:nvPicPr>
                      <pic:blipFill rotWithShape="1">
                        <a:blip r:embed="rId26"/>
                        <a:stretch/>
                      </pic:blipFill>
                      <pic:spPr bwMode="auto">
                        <a:xfrm>
                          <a:off x="0" y="0"/>
                          <a:ext cx="6048374" cy="86212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78.84pt;mso-wrap-distance-left:0.00pt;mso-wrap-distance-top:0.00pt;mso-wrap-distance-right:0.00pt;mso-wrap-distance-bottom:0.00pt;z-index:1;" stroked="false">
                <v:imagedata r:id="rId26" o:title=""/>
                <o:lock v:ext="edit" rotation="t"/>
              </v:shape>
            </w:pict>
          </mc:Fallback>
        </mc:AlternateContent>
      </w:r>
      <w:r>
        <w:rPr>
          <w:b/>
          <w:bCs/>
          <w:highlight w:val="none"/>
          <w:lang w:val="pt-BR" w:bidi="pt-BR"/>
        </w:rPr>
      </w:r>
      <w:r>
        <w:rPr>
          <w:b/>
          <w:bCs/>
          <w:highlight w:val="none"/>
          <w:lang w:val="pt-BR" w:bidi="pt-BR"/>
        </w:rPr>
      </w:r>
    </w:p>
    <w:p w14:paraId="77585DA8">
      <w:pPr>
        <w:pBdr/>
        <w:spacing w:after="200" w:line="276" w:lineRule="auto"/>
        <w:ind/>
        <w:jc w:val="center"/>
        <w:rPr>
          <w:b/>
          <w:bCs/>
          <w:highlight w:val="none"/>
          <w:lang w:val="pt-BR" w:bidi="pt-BR"/>
        </w:rPr>
      </w:pPr>
      <w:r>
        <w:rPr>
          <w:b/>
          <w:highlight w:val="none"/>
          <w:lang w:val="pt-BR" w:bidi="pt-BR"/>
        </w:rPr>
      </w:r>
      <w:r>
        <w:rPr>
          <w:b/>
          <w:bCs/>
          <w:highlight w:val="none"/>
          <w:lang w:val="pt-BR" w:bidi="pt-BR"/>
        </w:rPr>
      </w:r>
      <w:r>
        <w:rPr>
          <w:b/>
          <w:bCs/>
          <w:highlight w:val="none"/>
          <w:lang w:val="pt-BR" w:bidi="pt-BR"/>
        </w:rPr>
      </w:r>
    </w:p>
    <w:p w14:paraId="2D6A4F10">
      <w:pPr>
        <w:pBdr/>
        <w:spacing w:after="200" w:line="276" w:lineRule="auto"/>
        <w:ind/>
        <w:jc w:val="center"/>
        <w:rPr>
          <w:b/>
          <w:bCs/>
          <w:highlight w:val="none"/>
          <w:lang w:val="pt-BR" w:bidi="pt-BR"/>
        </w:rPr>
      </w:pPr>
      <w:r>
        <w:rPr>
          <w:b/>
          <w:highlight w:val="none"/>
          <w:lang w:val="pt-BR" w:bidi="pt-BR"/>
        </w:rPr>
        <w:t xml:space="preserve">BIÊN BẢN KHẢO SÁT</w:t>
      </w:r>
      <w:r>
        <w:rPr>
          <w:b/>
          <w:bCs/>
          <w:highlight w:val="none"/>
          <w:lang w:val="pt-BR" w:bidi="pt-BR"/>
        </w:rPr>
      </w:r>
      <w:r>
        <w:rPr>
          <w:b/>
          <w:bCs/>
          <w:highlight w:val="none"/>
          <w:lang w:val="pt-BR" w:bidi="pt-BR"/>
        </w:rPr>
      </w:r>
    </w:p>
    <w:p w14:paraId="23AE9436">
      <w:pPr>
        <w:pBdr/>
        <w:spacing w:after="200" w:line="276" w:lineRule="auto"/>
        <w:ind/>
        <w:jc w:val="center"/>
        <w:rPr>
          <w:bCs/>
          <w:i/>
          <w:lang w:val="pt-BR"/>
        </w:rPr>
      </w:pPr>
      <w:r>
        <w:rPr>
          <w:b/>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346912" name=""/>
                        <pic:cNvPicPr>
                          <a:picLocks noChangeAspect="1"/>
                        </pic:cNvPicPr>
                        <pic:nvPr/>
                      </pic:nvPicPr>
                      <pic:blipFill rotWithShape="1">
                        <a:blip r:embed="rId27"/>
                        <a:stretch/>
                      </pic:blipFill>
                      <pic:spPr bwMode="auto">
                        <a:xfrm>
                          <a:off x="0" y="0"/>
                          <a:ext cx="6048373" cy="80644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00pt;mso-wrap-distance-left:0.00pt;mso-wrap-distance-top:0.00pt;mso-wrap-distance-right:0.00pt;mso-wrap-distance-bottom:0.00pt;z-index:1;" stroked="false">
                <v:imagedata r:id="rId27" o:title=""/>
                <o:lock v:ext="edit" rotation="t"/>
              </v:shape>
            </w:pict>
          </mc:Fallback>
        </mc:AlternateContent>
      </w:r>
      <w:r>
        <w:rPr>
          <w:bCs/>
          <w:i/>
          <w:lang w:val="pt-BR"/>
        </w:rPr>
      </w:r>
      <w:r>
        <w:rPr>
          <w:bCs/>
          <w:i/>
          <w:lang w:val="pt-BR"/>
        </w:rPr>
      </w:r>
    </w:p>
    <w:p w14:paraId="73D10A9B">
      <w:pPr>
        <w:pBdr/>
        <w:spacing w:after="200" w:line="276" w:lineRule="auto"/>
        <w:ind/>
        <w:jc w:val="center"/>
        <w:rPr>
          <w:b/>
          <w:bCs/>
          <w:highlight w:val="none"/>
        </w:rPr>
      </w:pPr>
      <w:r>
        <w:rPr>
          <w:b/>
          <w:highlight w:val="none"/>
        </w:rPr>
      </w:r>
      <w:r>
        <w:rPr>
          <w:b/>
          <w:bCs/>
          <w:highlight w:val="none"/>
        </w:rPr>
      </w:r>
      <w:r>
        <w:rPr>
          <w:b/>
          <w:bCs/>
          <w:highlight w:val="none"/>
        </w:rPr>
      </w:r>
    </w:p>
    <w:p w14:paraId="43EEA545">
      <w:pPr>
        <w:pBdr/>
        <w:spacing w:after="200" w:line="276" w:lineRule="auto"/>
        <w:ind/>
        <w:jc w:val="center"/>
        <w:rPr>
          <w:b/>
          <w:bCs/>
          <w:highlight w:val="none"/>
        </w:rPr>
      </w:pPr>
      <w:r>
        <w:rPr>
          <w:b/>
          <w:highlight w:val="none"/>
        </w:rPr>
      </w:r>
      <w:r>
        <w:rPr>
          <w:b/>
          <w:bCs/>
          <w:highlight w:val="none"/>
        </w:rPr>
      </w:r>
      <w:r>
        <w:rPr>
          <w:b/>
          <w:bCs/>
          <w:highlight w:val="none"/>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14:paraId="6F4CB34C" w14:textId="63A58DB4">
      <w:pPr>
        <w:pBdr/>
        <w:spacing/>
        <w:ind/>
        <w:jc w:val="center"/>
        <w:rPr>
          <w:i/>
          <w:lang w:val="pt-BR"/>
        </w:rPr>
      </w:pPr>
      <w:r>
        <w:rPr>
          <w:i/>
          <w:lang w:val="pt-BR"/>
        </w:rPr>
        <w:t xml:space="preserve">(Kèm theo Báo cáo thẩm định số </w:t>
      </w:r>
      <w:r>
        <w:rPr>
          <w:i/>
        </w:rPr>
        <w:t xml:space="preserve">275/2025/1887/VFI-BC.55.A</w:t>
      </w:r>
      <w:r>
        <w:rPr>
          <w:i/>
          <w:lang w:val="pt-BR"/>
        </w:rPr>
        <w:t xml:space="preserve"> </w:t>
      </w:r>
      <w:r>
        <w:rPr>
          <w:i/>
          <w:lang w:val="pt-BR"/>
        </w:rPr>
        <w:t xml:space="preserve">29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sz w:val="24"/>
          <w:szCs w:val="24"/>
          <w:lang w:val="pt-BR"/>
        </w:rPr>
      </w: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https://batdongsan.com.vn/ban-dat-duong-dong-thien-phuong-vinh-hung-2/ban-p-130tr-m-cho-74m2-mat-tien-5-5m-full-tho-cu-chinh-chu-9-7-ty-pr44800048</w:t>
            </w:r>
            <w:r>
              <w:rPr>
                <w:color w:val="000000" w:themeColor="text1"/>
                <w:sz w:val="22"/>
                <w:szCs w:val="22"/>
              </w:rPr>
              <w:br/>
              <w:t xml:space="preserve">0856867789</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9.700.000.000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8.730.000.000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(74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Phường Vĩnh Hưng, Thành phố Hà Nội, Tài sản cách đường Lĩnh Nam khoảng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74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68890" cy="165483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2368890" cy="165482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6.53pt;height:130.3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78465" cy="165483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666732205" name="" descr=""/>
                              <pic:cNvPicPr/>
                              <pic:nvPr/>
                            </pic:nvPicPr>
                            <pic:blipFill rotWithShape="1">
                              <a:blip r:embed="rId29"/>
                              <a:stretch/>
                            </pic:blipFill>
                            <pic:spPr bwMode="auto">
                              <a:xfrm flipH="0" flipV="0">
                                <a:off x="0" y="0"/>
                                <a:ext cx="2778464" cy="165482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8.78pt;height:130.30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Đặng Quốc Đại</w:t>
            </w:r>
            <w:r/>
          </w:p>
        </w:tc>
      </w:tr>
    </w:tbl>
    <w:p w14:paraId="26B4769F" w14:textId="77777777">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https://batdongsan.com.vn/ban-dat-duong-linh-nam-phuong-vinh-hung-2/em-can-ban-manh-95m-tho-cu-tai-hoang-mai-truoc-nha-2-to-to-chay-pr42254976</w:t>
            </w:r>
            <w:r>
              <w:rPr>
                <w:color w:val="000000" w:themeColor="text1"/>
                <w:sz w:val="22"/>
                <w:szCs w:val="22"/>
              </w:rPr>
              <w:br/>
              <w:t xml:space="preserve">0886162921</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13.000.000.000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11.960.000.000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(90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Phường Vĩnh Hưng, Thành phố Hà Nội, Tài sản cách đường Lĩnh Nam khoảng 400m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78415" cy="1558853"/>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378414" cy="155885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28pt;height:122.74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45065" cy="1553447"/>
                      <wp:effectExtent l="0" t="0" r="0" b="0"/>
                      <wp:docPr id="18" name=""/>
                      <wp:cNvGraphicFramePr/>
                      <a:graphic xmlns:a="http://schemas.openxmlformats.org/drawingml/2006/main">
                        <a:graphicData uri="http://schemas.openxmlformats.org/drawingml/2006/picture">
                          <pic:pic xmlns:pic="http://schemas.openxmlformats.org/drawingml/2006/picture">
                            <pic:nvPicPr>
                              <pic:cNvPr id="396507248" name="" descr=""/>
                              <pic:cNvPicPr/>
                              <pic:nvPr/>
                            </pic:nvPicPr>
                            <pic:blipFill rotWithShape="1">
                              <a:blip r:embed="rId31"/>
                              <a:stretch/>
                            </pic:blipFill>
                            <pic:spPr bwMode="auto">
                              <a:xfrm flipH="0" flipV="0">
                                <a:off x="0" y="0"/>
                                <a:ext cx="2245064" cy="15534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76.78pt;height:122.32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ayout w:type="fixed"/>
        <w:tblLook w:val="04A0" w:firstRow="1" w:lastRow="0" w:firstColumn="1" w:lastColumn="0" w:noHBand="0" w:noVBand="1"/>
      </w:tblPr>
      <w:tblGrid>
        <w:gridCol w:w="4427"/>
        <w:gridCol w:w="28"/>
        <w:gridCol w:w="4748"/>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gridSpan w:val="2"/>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gridSpan w:val="2"/>
            <w:tcBorders/>
            <w:tcW w:w="4455"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48" w:type="dxa"/>
            <w:vAlign w:val="center"/>
            <w:textDirection w:val="lrTb"/>
            <w:noWrap/>
          </w:tcPr>
          <w:p w14:paraId="799E55DA" w14:textId="0F7B3065">
            <w:pPr>
              <w:pBdr/>
              <w:spacing/>
              <w:ind/>
              <w:jc w:val="center"/>
              <w:rPr/>
            </w:pPr>
            <w:r>
              <w:t xml:space="preserve">Đặng Quốc Đại</w:t>
            </w:r>
            <w:r/>
          </w:p>
          <w:p w14:paraId="2FFCC431" w14:textId="77777777">
            <w:pPr>
              <w:pBdr/>
              <w:spacing/>
              <w:ind/>
              <w:jc w:val="center"/>
              <w:rPr/>
            </w:pPr>
            <w:r/>
            <w:r/>
          </w:p>
        </w:tc>
      </w:tr>
    </w:tbl>
    <w:p w14:paraId="12930896" w14:textId="77777777">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https://batdongsan.com.vn/ban-dat-duong-linh-nam-phuong-vinh-hung-2/em-can-ban-manh-voi-dien-tich-45m-so-do-mat-tien-6m-tai-ngay-cho-dem-pr44748007</w:t>
            </w:r>
            <w:r>
              <w:rPr>
                <w:color w:val="000000" w:themeColor="text1"/>
                <w:sz w:val="22"/>
                <w:szCs w:val="22"/>
              </w:rPr>
              <w:br/>
            </w:r>
            <w:r>
              <w:rPr>
                <w:sz w:val="22"/>
                <w:szCs w:val="22"/>
              </w:rPr>
              <w:t xml:space="preserve">SĐT: </w:t>
            </w:r>
            <w:r>
              <w:rPr>
                <w:color w:val="000000" w:themeColor="text1"/>
                <w:sz w:val="22"/>
                <w:szCs w:val="22"/>
              </w:rPr>
              <w:t xml:space="preserve">0886162921</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7.500.000.000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6.750.000.000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(45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w:t>
            </w:r>
            <w:r>
              <w:rPr>
                <w:color w:val="000000" w:themeColor="text1"/>
                <w:sz w:val="22"/>
                <w:szCs w:val="22"/>
              </w:rPr>
              <w:t xml:space="preserve">n tại: Phường Vĩnh Hưng, Thành phố Hà Nội, Tài sản cách đường Lĩnh Nam khoảng 100m và cách chợ đêm Lĩnh Nam khoảng 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1872AF4F"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51980" cy="176476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413370882" name="" descr=""/>
                              <pic:cNvPicPr/>
                              <pic:nvPr/>
                            </pic:nvPicPr>
                            <pic:blipFill rotWithShape="1">
                              <a:blip r:embed="rId32"/>
                              <a:stretch/>
                            </pic:blipFill>
                            <pic:spPr bwMode="auto">
                              <a:xfrm flipH="0" flipV="0">
                                <a:off x="0" y="0"/>
                                <a:ext cx="2651979" cy="17647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8.82pt;height:138.96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92195" cy="167652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373148088" name="" descr=""/>
                              <pic:cNvPicPr/>
                              <pic:nvPr/>
                            </pic:nvPicPr>
                            <pic:blipFill rotWithShape="1">
                              <a:blip r:embed="rId33"/>
                              <a:stretch/>
                            </pic:blipFill>
                            <pic:spPr bwMode="auto">
                              <a:xfrm flipH="0" flipV="0">
                                <a:off x="0" y="0"/>
                                <a:ext cx="2792194" cy="167651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9.86pt;height:132.01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17AB2889">
            <w:pPr>
              <w:pBdr/>
              <w:spacing/>
              <w:ind/>
              <w:jc w:val="center"/>
              <w:rPr/>
            </w:pPr>
            <w:r>
              <w:t xml:space="preserve">Đặng Quốc Đại</w:t>
            </w:r>
            <w:r>
              <w:rPr>
                <w:b/>
                <w:bCs/>
              </w:rPr>
            </w: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DC9357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1D855A9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1D855A9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1D855A9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1D855A9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https://onehousing.vn/blog/cap-nhat-ban-do-quy-hoach-phuong-vinh-hung-quan-hoang-mai-ha-noi-moi-nhat-n17t" TargetMode="External"/><Relationship Id="rId16" Type="http://schemas.openxmlformats.org/officeDocument/2006/relationships/image" Target="media/image3.png"/><Relationship Id="rId17" Type="http://schemas.openxmlformats.org/officeDocument/2006/relationships/hyperlink" Target="https://batdongsan.com.vn/ban-dat-duong-dong-thien-phuong-vinh-hung-2/ban-p-130tr-m-cho-74m2-mat-tien-5-5m-full-tho-cu-chinh-chu-9-7-ty-pr44800048" TargetMode="External"/><Relationship Id="rId18" Type="http://schemas.openxmlformats.org/officeDocument/2006/relationships/hyperlink" Target="https://batdongsan.com.vn/ban-dat-duong-linh-nam-phuong-vinh-hung-2/em-can-ban-manh-95m-tho-cu-tai-hoang-mai-truoc-nha-2-to-to-chay-pr42254976" TargetMode="External"/><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jp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Chủ tịch</cp:lastModifiedBy>
  <cp:revision>280</cp:revision>
  <dcterms:created xsi:type="dcterms:W3CDTF">2025-09-15T09:58:00Z</dcterms:created>
  <dcterms:modified xsi:type="dcterms:W3CDTF">2026-01-06T04:08:57Z</dcterms:modified>
</cp:coreProperties>
</file>