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275/2025/1865/VFI-CT.44.A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Phạm Thị Bích Thúy</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 </w:t>
                            </w:r>
                            <w:r>
                              <w:rPr>
                                <w:b w:val="0"/>
                                <w:bCs w:val="0"/>
                              </w:rPr>
                              <w:t xml:space="preserve">Quyền sử dụng đất tại thửa đất số: 393, tờ bản đồ số: 42, có địa chỉ: Phường Phan Đình Phùng, thành phố Thái Nguyên, tỉnh Thái Nguyên (nay là phường Phan Đình Phùng, Tỉnh Thái Nguyên) theo Giấy chứng nhận quyền sử dụng đất, quyền sở hữu nhà ở và tài sản khác g</w:t>
                            </w:r>
                            <w:r>
                              <w:rPr>
                                <w:b w:val="0"/>
                                <w:bCs w:val="0"/>
                              </w:rPr>
                              <w:t xml:space="preserve">ắn liền với đất  số: CO 795398, Số vào sổ cấp GCN: 00608/MCN do Sở tài nguyên và môi trường tỉnh Thái Nguyên cấp ngày 05/09/2018; chủ sử dụng đất là Bà Phạm Thị Bích Thúy</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275/2025/1865/VFI-CT.44.A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Phạm Thị Bích Thúy</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 </w:t>
                      </w:r>
                      <w:r>
                        <w:rPr>
                          <w:b w:val="0"/>
                          <w:bCs w:val="0"/>
                        </w:rPr>
                        <w:t xml:space="preserve">Quyền sử dụng đất tại thửa đất số: 393, tờ bản đồ số: 42, có địa chỉ: Phường Phan Đình Phùng, thành phố Thái Nguyên, tỉnh Thái Nguyên (nay là phường Phan Đình Phùng, Tỉnh Thái Nguyên) theo Giấy chứng nhận quyền sử dụng đất, quyền sở hữu nhà ở và tài sản khác g</w:t>
                      </w:r>
                      <w:r>
                        <w:rPr>
                          <w:b w:val="0"/>
                          <w:bCs w:val="0"/>
                        </w:rPr>
                        <w:t xml:space="preserve">ắn liền với đất  số: CO 795398, Số vào sổ cấp GCN: 00608/MCN do Sở tài nguyên và môi trường tỉnh Thái Nguyên cấp ngày 05/09/2018; chủ sử dụng đất là Bà Phạm Thị Bích Thúy</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03F6C0D" w14:textId="77777777">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275/2025/1865/VFI-CT.44.A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6C20F813" w14:textId="77777777">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24 tháng 12 năm 2025</w:t>
            </w:r>
            <w:r>
              <w:rPr>
                <w:color w:val="000000" w:themeColor="text1"/>
                <w:sz w:val="24"/>
                <w:szCs w:val="24"/>
                <w:lang w:val="vi-VN"/>
              </w:rPr>
            </w:r>
            <w:r>
              <w:rPr>
                <w:color w:val="000000" w:themeColor="text1"/>
                <w:sz w:val="24"/>
                <w:szCs w:val="24"/>
                <w:lang w:val="vi-VN"/>
              </w:rPr>
            </w:r>
          </w:p>
        </w:tc>
      </w:tr>
    </w:tbl>
    <w:p w14:paraId="60EC0402" w14:textId="3594439F">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Phạm Thị Bích Thúy</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275/2025/1865/VFI-HĐTĐ.44.A</w:t>
      </w:r>
      <w:r>
        <w:rPr>
          <w:spacing w:val="-4"/>
          <w:lang w:val="vi-VN"/>
        </w:rPr>
        <w:t xml:space="preserve"> ký ngày </w:t>
      </w:r>
      <w:r>
        <w:rPr>
          <w:color w:val="000000" w:themeColor="text1"/>
          <w:spacing w:val="-4"/>
        </w:rPr>
        <w:t xml:space="preserve">19 tháng 12 năm 2025</w:t>
      </w:r>
      <w:r>
        <w:rPr>
          <w:spacing w:val="-4"/>
          <w:lang w:val="vi-VN"/>
        </w:rPr>
        <w:t xml:space="preserve"> </w:t>
      </w:r>
      <w:r>
        <w:rPr>
          <w:spacing w:val="-4"/>
          <w:lang w:val="vi-VN"/>
        </w:rPr>
        <w:t xml:space="preserve">giữa </w:t>
      </w:r>
      <w:r>
        <w:rPr>
          <w:color w:val="000000" w:themeColor="text1"/>
          <w:spacing w:val="-4"/>
        </w:rPr>
        <w:t xml:space="preserve">Bà Phạm Thị Bích Thúy</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275/2025/1865/VFI-BC.44.A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 tháng 12 năm 2025</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164C3AD7">
            <w:pPr>
              <w:pBdr/>
              <w:spacing w:after="40" w:before="40" w:line="276" w:lineRule="auto"/>
              <w:ind/>
              <w:rPr>
                <w:bCs/>
                <w:lang w:val="pt-BR"/>
              </w:rPr>
            </w:pPr>
            <w:r>
              <w:rPr>
                <w:bCs/>
                <w:lang w:val="pt-BR"/>
              </w:rPr>
              <w:t xml:space="preserve">Khách hàng</w:t>
            </w:r>
            <w:r>
              <w:rPr>
                <w:bCs/>
                <w:lang w:val="pt-BR"/>
              </w:rPr>
            </w:r>
            <w:r>
              <w:rPr>
                <w:bCs/>
                <w:lang w:val="pt-BR"/>
              </w:rPr>
            </w:r>
          </w:p>
        </w:tc>
        <w:tc>
          <w:tcPr>
            <w:tcBorders/>
            <w:tcW w:w="289" w:type="dxa"/>
            <w:vAlign w:val="center"/>
            <w:textDirection w:val="lrTb"/>
            <w:noWrap w:val="false"/>
          </w:tcPr>
          <w:p w14:paraId="0C034E11">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3E1EFE">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BÀ PHẠM THỊ BÍCH THÚY</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76639520">
            <w:pPr>
              <w:pBdr/>
              <w:tabs>
                <w:tab w:val="center" w:leader="none" w:pos="1026"/>
              </w:tabs>
              <w:spacing w:after="40" w:before="40" w:line="276" w:lineRule="auto"/>
              <w:ind/>
              <w:rPr>
                <w:bCs/>
              </w:rPr>
            </w:pPr>
            <w:r>
              <w:rPr>
                <w:bCs/>
              </w:rPr>
              <w:t xml:space="preserve">Địa chỉ </w:t>
            </w:r>
            <w:r>
              <w:rPr>
                <w:bCs/>
              </w:rPr>
            </w:r>
            <w:r>
              <w:rPr>
                <w:bCs/>
              </w:rPr>
            </w:r>
          </w:p>
        </w:tc>
        <w:tc>
          <w:tcPr>
            <w:tcBorders/>
            <w:tcW w:w="289" w:type="dxa"/>
            <w:vAlign w:val="center"/>
            <w:textDirection w:val="lrTb"/>
            <w:noWrap w:val="false"/>
          </w:tcPr>
          <w:p w14:paraId="711C38EB">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5CBC2040">
            <w:pPr>
              <w:pBdr/>
              <w:spacing w:after="40" w:before="40" w:line="276" w:lineRule="auto"/>
              <w:ind/>
              <w:rPr>
                <w:spacing w:val="-6"/>
                <w:lang w:val="pt-BR"/>
              </w:rPr>
            </w:pPr>
            <w:r>
              <w:rPr>
                <w:color w:val="000000" w:themeColor="text1"/>
                <w:spacing w:val="-2"/>
              </w:rPr>
              <w:t xml:space="preserve">Xã Quảng Bạch, Tỉnh Thái Nguyên</w:t>
            </w:r>
            <w:r>
              <w:rPr>
                <w:spacing w:val="-6"/>
                <w:lang w:val="pt-BR"/>
              </w:rPr>
            </w:r>
            <w:r>
              <w:rPr>
                <w:spacing w:val="-6"/>
                <w:lang w:val="pt-BR"/>
              </w:rPr>
            </w:r>
          </w:p>
        </w:tc>
      </w:tr>
      <w:tr>
        <w:trPr>
          <w:trHeight w:val="20"/>
        </w:trPr>
        <w:tc>
          <w:tcPr>
            <w:tcBorders/>
            <w:tcW w:w="2269" w:type="dxa"/>
            <w:vAlign w:val="center"/>
            <w:textDirection w:val="lrTb"/>
            <w:noWrap w:val="false"/>
          </w:tcPr>
          <w:p w14:paraId="1AD31249">
            <w:pPr>
              <w:pBdr/>
              <w:spacing w:after="40" w:before="40" w:line="276" w:lineRule="auto"/>
              <w:ind/>
              <w:rPr>
                <w:bCs/>
              </w:rPr>
            </w:pPr>
            <w:r>
              <w:rPr>
                <w:bCs/>
                <w:lang w:val="pt-BR"/>
              </w:rPr>
              <w:t xml:space="preserve">CCCD</w:t>
            </w:r>
            <w:r>
              <w:rPr>
                <w:bCs/>
              </w:rPr>
            </w:r>
            <w:r>
              <w:rPr>
                <w:bCs/>
              </w:rPr>
            </w:r>
          </w:p>
        </w:tc>
        <w:tc>
          <w:tcPr>
            <w:tcBorders/>
            <w:tcW w:w="289" w:type="dxa"/>
            <w:vAlign w:val="center"/>
            <w:textDirection w:val="lrTb"/>
            <w:noWrap w:val="false"/>
          </w:tcPr>
          <w:p w14:paraId="14B5B89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17FE03A4">
            <w:pPr>
              <w:pBdr/>
              <w:tabs>
                <w:tab w:val="left" w:leader="none" w:pos="3382"/>
              </w:tabs>
              <w:spacing w:after="40" w:before="40" w:line="276" w:lineRule="auto"/>
              <w:ind/>
              <w:rPr>
                <w:iCs/>
              </w:rPr>
            </w:pPr>
            <w:r>
              <w:rPr>
                <w:iCs/>
                <w:color w:val="000000" w:themeColor="text1"/>
              </w:rPr>
              <w:t xml:space="preserve">01916001838</w:t>
            </w:r>
            <w:r>
              <w:rPr>
                <w:iCs/>
              </w:rPr>
            </w:r>
            <w:r>
              <w:rPr>
                <w:iCs/>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b w:val="0"/>
          <w:bCs w:val="0"/>
        </w:rPr>
        <w:t xml:space="preserve">Quyền sử dụng đất tại thửa đất số: 393, tờ bản đồ số: 42, có địa chỉ: Phường Phan Đình Phùng, thành phố Thái Nguyên, tỉnh Thái Nguyên (nay là phường Phan Đình Phùng, Tỉnh Thái Nguyên) theo Giấy chứng nhận quyền sử dụng đất, quyền sở hữu nhà ở và tài sản khác g</w:t>
      </w:r>
      <w:r>
        <w:rPr>
          <w:b w:val="0"/>
          <w:bCs w:val="0"/>
        </w:rPr>
        <w:t xml:space="preserve">ắn liền với đất  số: CO 795398, Số vào sổ cấp GCN: 00608/MCN do Sở tài nguyên và môi trường tỉnh Thái Nguyên cấp ngày 05/09/2018; chủ sử dụng đất là Bà Phạm Thị Bích Thúy</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1910"/>
        <w:gridCol w:w="1917"/>
        <w:gridCol w:w="2581"/>
        <w:gridCol w:w="2164"/>
      </w:tblGrid>
      <w:tr>
        <w:trPr>
          <w:trHeight w:val="20"/>
        </w:trPr>
        <w:tc>
          <w:tcPr>
            <w:shd w:val="clear" w:color="000000" w:fill="ffffff"/>
            <w:tcBorders/>
            <w:tcW w:w="952" w:type="dxa"/>
            <w:vAlign w:val="center"/>
            <w:textDirection w:val="lrTb"/>
            <w:noWrap w:val="false"/>
          </w:tcPr>
          <w:p w14:paraId="44EF0B98">
            <w:pPr>
              <w:pBdr/>
              <w:spacing w:after="40" w:before="40" w:line="288" w:lineRule="auto"/>
              <w:ind/>
              <w:jc w:val="center"/>
              <w:rPr>
                <w:b/>
                <w:bCs/>
              </w:rPr>
            </w:pPr>
            <w:r>
              <w:rPr>
                <w:b/>
                <w:bCs/>
              </w:rPr>
              <w:t xml:space="preserve">TT</w:t>
            </w:r>
            <w:r>
              <w:rPr>
                <w:b/>
                <w:bCs/>
              </w:rPr>
            </w:r>
            <w:r>
              <w:rPr>
                <w:b/>
                <w:bCs/>
              </w:rPr>
            </w:r>
          </w:p>
        </w:tc>
        <w:tc>
          <w:tcPr>
            <w:shd w:val="clear" w:color="000000" w:fill="ffffff"/>
            <w:tcBorders/>
            <w:tcW w:w="1910" w:type="dxa"/>
            <w:vAlign w:val="center"/>
            <w:textDirection w:val="lrTb"/>
            <w:noWrap w:val="false"/>
          </w:tcPr>
          <w:p w14:paraId="52F5C505">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917" w:type="dxa"/>
            <w:vAlign w:val="center"/>
            <w:textDirection w:val="lrTb"/>
            <w:noWrap w:val="false"/>
          </w:tcPr>
          <w:p w14:paraId="231674CC">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14:paraId="65CC4D31">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1A6A4AF8">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14:paraId="53CD60D1">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588E32E1">
            <w:pPr>
              <w:pBdr/>
              <w:spacing w:after="40" w:before="40" w:line="288" w:lineRule="auto"/>
              <w:ind/>
              <w:jc w:val="both"/>
              <w:rPr>
                <w:b/>
                <w:bCs/>
              </w:rPr>
            </w:pPr>
            <w:r>
              <w:rPr>
                <w:color w:val="000000"/>
              </w:rPr>
            </w:r>
            <w:r>
              <w:rPr>
                <w:b w:val="0"/>
                <w:bCs w:val="0"/>
              </w:rPr>
              <w:t xml:space="preserve">Quyền sử dụng đất tại thửa đất số: 393, tờ bản đồ số: 42, có địa chỉ: Phường Phan Đình Phùng, thành phố Thái Nguyên, tỉnh Thái Nguyên (nay là phường Phan Đình Phùng, Tỉnh Thái Nguyên) theo Giấy chứng nhận quyền sử dụng đất, quyền sở hữu nhà ở và tài sản khác g</w:t>
            </w:r>
            <w:r>
              <w:rPr>
                <w:b w:val="0"/>
                <w:bCs w:val="0"/>
              </w:rPr>
              <w:t xml:space="preserve">ắn liền với đất  số: CO 795398, Số vào sổ cấp GCN: 00608/MCN do Sở tài nguyên và môi trường tỉnh Thái Nguyên cấp ngày 05/09/2018; chủ sử dụng đất là Bà Phạm Thị Bích Thúy</w:t>
            </w:r>
            <w:r>
              <w:rPr>
                <w:b/>
                <w:bCs/>
              </w:rPr>
              <w:t xml:space="preserve">.</w:t>
            </w:r>
            <w:r>
              <w:rPr>
                <w:b/>
                <w:bCs/>
              </w:rPr>
            </w:r>
            <w:r>
              <w:rPr>
                <w:b/>
                <w:bCs/>
              </w:rPr>
            </w:r>
          </w:p>
        </w:tc>
        <w:tc>
          <w:tcPr>
            <w:shd w:val="clear" w:color="000000" w:fill="ffffff"/>
            <w:tcBorders/>
            <w:tcW w:w="2164" w:type="dxa"/>
            <w:vAlign w:val="center"/>
            <w:textDirection w:val="lrTb"/>
            <w:noWrap w:val="false"/>
          </w:tcPr>
          <w:p w14:paraId="15CCDDEA">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018B3042">
            <w:pPr>
              <w:pBdr/>
              <w:spacing w:after="40" w:before="40" w:line="288" w:lineRule="auto"/>
              <w:ind/>
              <w:jc w:val="center"/>
              <w:rPr/>
            </w:pPr>
            <w:r>
              <w:rPr>
                <w:b/>
                <w:bCs/>
              </w:rPr>
              <w:t xml:space="preserve">1</w:t>
            </w:r>
            <w:r/>
          </w:p>
        </w:tc>
        <w:tc>
          <w:tcPr>
            <w:shd w:val="clear" w:color="000000" w:fill="ffffff"/>
            <w:tcBorders/>
            <w:tcW w:w="1910" w:type="dxa"/>
            <w:vAlign w:val="center"/>
            <w:textDirection w:val="lrTb"/>
            <w:noWrap w:val="false"/>
          </w:tcPr>
          <w:p w14:paraId="0039441C">
            <w:pPr>
              <w:pBdr/>
              <w:spacing w:after="40" w:before="40" w:line="288" w:lineRule="auto"/>
              <w:ind/>
              <w:rPr/>
            </w:pPr>
            <w:r>
              <w:rPr>
                <w:b/>
                <w:bCs/>
              </w:rPr>
              <w:t xml:space="preserve">Đất ở tại đô thị</w:t>
            </w:r>
            <w:r/>
          </w:p>
        </w:tc>
        <w:tc>
          <w:tcPr>
            <w:tcBorders/>
            <w:tcW w:w="1917" w:type="dxa"/>
            <w:vAlign w:val="center"/>
            <w:textDirection w:val="lrTb"/>
            <w:noWrap/>
          </w:tcPr>
          <w:p w14:paraId="779CF8BF">
            <w:pPr>
              <w:pBdr/>
              <w:spacing w:after="40" w:before="40" w:line="288" w:lineRule="auto"/>
              <w:ind/>
              <w:jc w:val="center"/>
              <w:rPr>
                <w:color w:val="000000"/>
              </w:rPr>
            </w:pPr>
            <w:r>
              <w:rPr>
                <w:color w:val="000000" w:themeColor="text1"/>
              </w:rPr>
              <w:t xml:space="preserve">114.11</w:t>
            </w:r>
            <w:r>
              <w:rPr>
                <w:color w:val="000000"/>
              </w:rPr>
            </w:r>
            <w:r>
              <w:rPr>
                <w:color w:val="000000"/>
              </w:rPr>
            </w:r>
          </w:p>
        </w:tc>
        <w:tc>
          <w:tcPr>
            <w:shd w:val="clear" w:color="000000" w:fill="ffffff"/>
            <w:tcBorders/>
            <w:tcW w:w="2581" w:type="dxa"/>
            <w:vAlign w:val="center"/>
            <w:textDirection w:val="lrTb"/>
            <w:noWrap w:val="false"/>
          </w:tcPr>
          <w:p w14:paraId="60673C87">
            <w:pPr>
              <w:pBdr/>
              <w:spacing w:after="40" w:before="40" w:line="288" w:lineRule="auto"/>
              <w:ind/>
              <w:jc w:val="center"/>
              <w:rPr/>
            </w:pPr>
            <w:r>
              <w:rPr>
                <w:color w:val="000000" w:themeColor="text1"/>
              </w:rPr>
              <w:t xml:space="preserve">73.715.000</w:t>
            </w:r>
            <w:r/>
          </w:p>
        </w:tc>
        <w:tc>
          <w:tcPr>
            <w:shd w:val="clear" w:color="000000" w:fill="ffffff"/>
            <w:tcBorders/>
            <w:tcW w:w="2164" w:type="dxa"/>
            <w:vAlign w:val="center"/>
            <w:textDirection w:val="lrTb"/>
            <w:noWrap w:val="false"/>
          </w:tcPr>
          <w:p w14:paraId="3B9854DE">
            <w:pPr>
              <w:pBdr/>
              <w:spacing w:after="40" w:before="40" w:line="288" w:lineRule="auto"/>
              <w:ind/>
              <w:jc w:val="center"/>
              <w:rPr/>
            </w:pPr>
            <w:r>
              <w:rPr>
                <w:color w:val="000000" w:themeColor="text1"/>
              </w:rPr>
              <w:t xml:space="preserve">8.411.618.650</w:t>
            </w:r>
            <w:r/>
          </w:p>
        </w:tc>
      </w:tr>
      <w:tr>
        <w:trPr>
          <w:trHeight w:val="20"/>
        </w:trPr>
        <w:tc>
          <w:tcPr>
            <w:gridSpan w:val="4"/>
            <w:tcBorders/>
            <w:tcW w:w="7361" w:type="dxa"/>
            <w:vAlign w:val="center"/>
            <w:textDirection w:val="lrTb"/>
            <w:noWrap/>
          </w:tcPr>
          <w:p w14:paraId="4B6F44D0">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62EC4E4D">
            <w:pPr>
              <w:pBdr/>
              <w:spacing w:after="40" w:before="40" w:line="288" w:lineRule="auto"/>
              <w:ind/>
              <w:jc w:val="center"/>
              <w:rPr>
                <w:b/>
                <w:bCs/>
                <w:color w:val="000000"/>
              </w:rPr>
            </w:pPr>
            <w:r>
              <w:t xml:space="preserve">8.411.618.650</w:t>
            </w:r>
            <w:r>
              <w:rPr>
                <w:b/>
                <w:bCs/>
                <w:color w:val="000000"/>
              </w:rPr>
            </w:r>
            <w:r>
              <w:rPr>
                <w:b/>
                <w:bCs/>
                <w:color w:val="000000"/>
              </w:rPr>
            </w:r>
          </w:p>
        </w:tc>
      </w:tr>
      <w:tr>
        <w:trPr>
          <w:trHeight w:val="20"/>
        </w:trPr>
        <w:tc>
          <w:tcPr>
            <w:gridSpan w:val="5"/>
            <w:tcBorders/>
            <w:tcW w:w="9525" w:type="dxa"/>
            <w:vAlign w:val="center"/>
            <w:textDirection w:val="lrTb"/>
            <w:noWrap w:val="false"/>
          </w:tcPr>
          <w:p w14:paraId="1D4A06CF">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tỷ bốn trăm mười một triệu sáu trăm mười tám nghìn sáu trăm năm mươi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lang w:val="pt-BR"/>
        </w:rPr>
      </w:r>
      <w:r>
        <w:rPr>
          <w:rFonts w:eastAsia="Calibri"/>
          <w:b/>
          <w:bCs/>
          <w:spacing w:val="-4"/>
          <w:lang w:val="pt-BR"/>
        </w:rPr>
      </w:r>
    </w:p>
    <w:p w14:paraId="33BCB0D6">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55E7402E" w14:textId="77777777">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275/2025/1865/VFI-CT.44.A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2396134F" w14:textId="77777777">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24 tháng 12 năm 2025</w:t>
            </w:r>
            <w:r>
              <w:rPr>
                <w:color w:val="000000" w:themeColor="text1"/>
                <w:sz w:val="24"/>
                <w:szCs w:val="24"/>
                <w:lang w:val="vi-VN"/>
              </w:rPr>
            </w:r>
            <w:r>
              <w:rPr>
                <w:color w:val="000000" w:themeColor="text1"/>
                <w:sz w:val="24"/>
                <w:szCs w:val="24"/>
                <w:lang w:val="vi-VN"/>
              </w:rPr>
            </w:r>
          </w:p>
        </w:tc>
      </w:tr>
    </w:tbl>
    <w:p w14:paraId="53E21BF3" w14:textId="59EB6EC9">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275/2025/1865/VFI-CT.44.A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highlight w:val="none"/>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highlight w:val="none"/>
          <w:lang w:val="pt-BR"/>
        </w:rPr>
      </w:r>
      <w:r>
        <w:rPr>
          <w:b/>
          <w:bCs/>
          <w:highlight w:val="none"/>
          <w:lang w:val="pt-BR"/>
        </w:rPr>
      </w:r>
    </w:p>
    <w:tbl>
      <w:tblPr>
        <w:tblInd w:w="-34" w:type="dxa"/>
        <w:tblW w:w="9921" w:type="dxa"/>
        <w:tblBorders/>
        <w:tblLayout w:type="fixed"/>
        <w:tblLook w:val="04A0" w:firstRow="1" w:lastRow="0" w:firstColumn="1" w:lastColumn="0" w:noHBand="0" w:noVBand="1"/>
      </w:tblPr>
      <w:tblGrid>
        <w:gridCol w:w="2517"/>
        <w:gridCol w:w="289"/>
        <w:gridCol w:w="7115"/>
      </w:tblGrid>
      <w:tr>
        <w:trPr>
          <w:trHeight w:val="20"/>
        </w:trPr>
        <w:tc>
          <w:tcPr>
            <w:tcBorders/>
            <w:tcW w:w="2517" w:type="dxa"/>
            <w:vAlign w:val="center"/>
            <w:textDirection w:val="lrTb"/>
            <w:noWrap w:val="false"/>
          </w:tcPr>
          <w:p w14:paraId="164C3AD7">
            <w:pPr>
              <w:pBdr/>
              <w:spacing w:after="40" w:before="40" w:line="276" w:lineRule="auto"/>
              <w:ind/>
              <w:rPr>
                <w:bCs/>
                <w:lang w:val="pt-BR"/>
              </w:rPr>
            </w:pPr>
            <w:r>
              <w:rPr>
                <w:bCs/>
                <w:lang w:val="pt-BR"/>
              </w:rPr>
              <w:t xml:space="preserve">Khách hàng</w:t>
            </w:r>
            <w:r>
              <w:rPr>
                <w:bCs/>
                <w:lang w:val="pt-BR"/>
              </w:rPr>
            </w:r>
            <w:r>
              <w:rPr>
                <w:bCs/>
                <w:lang w:val="pt-BR"/>
              </w:rPr>
            </w:r>
          </w:p>
        </w:tc>
        <w:tc>
          <w:tcPr>
            <w:tcBorders/>
            <w:tcW w:w="289" w:type="dxa"/>
            <w:vAlign w:val="center"/>
            <w:textDirection w:val="lrTb"/>
            <w:noWrap w:val="false"/>
          </w:tcPr>
          <w:p w14:paraId="0C034E11">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3E1EFE">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BÀ PHẠM THỊ BÍCH THÚY</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517" w:type="dxa"/>
            <w:vAlign w:val="center"/>
            <w:textDirection w:val="lrTb"/>
            <w:noWrap w:val="false"/>
          </w:tcPr>
          <w:p w14:paraId="76639520">
            <w:pPr>
              <w:pBdr/>
              <w:tabs>
                <w:tab w:val="center" w:leader="none" w:pos="1026"/>
              </w:tabs>
              <w:spacing w:after="40" w:before="40" w:line="276" w:lineRule="auto"/>
              <w:ind/>
              <w:rPr>
                <w:bCs/>
              </w:rPr>
            </w:pPr>
            <w:r>
              <w:rPr>
                <w:bCs/>
              </w:rPr>
              <w:t xml:space="preserve">Địa chỉ </w:t>
            </w:r>
            <w:r>
              <w:rPr>
                <w:bCs/>
              </w:rPr>
            </w:r>
            <w:r>
              <w:rPr>
                <w:bCs/>
              </w:rPr>
            </w:r>
          </w:p>
        </w:tc>
        <w:tc>
          <w:tcPr>
            <w:tcBorders/>
            <w:tcW w:w="289" w:type="dxa"/>
            <w:vAlign w:val="center"/>
            <w:textDirection w:val="lrTb"/>
            <w:noWrap w:val="false"/>
          </w:tcPr>
          <w:p w14:paraId="711C38EB">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5CBC2040">
            <w:pPr>
              <w:pBdr/>
              <w:spacing w:after="40" w:before="40" w:line="276" w:lineRule="auto"/>
              <w:ind/>
              <w:rPr>
                <w:spacing w:val="-6"/>
                <w:lang w:val="pt-BR"/>
              </w:rPr>
            </w:pPr>
            <w:r>
              <w:rPr>
                <w:color w:val="000000" w:themeColor="text1"/>
                <w:spacing w:val="-2"/>
              </w:rPr>
              <w:t xml:space="preserve">Xã Quảng Bạch, Tỉnh Thái Nguyên</w:t>
            </w:r>
            <w:r>
              <w:rPr>
                <w:spacing w:val="-6"/>
                <w:lang w:val="pt-BR"/>
              </w:rPr>
            </w:r>
            <w:r>
              <w:rPr>
                <w:spacing w:val="-6"/>
                <w:lang w:val="pt-BR"/>
              </w:rPr>
            </w:r>
          </w:p>
        </w:tc>
      </w:tr>
      <w:tr>
        <w:trPr>
          <w:trHeight w:val="20"/>
        </w:trPr>
        <w:tc>
          <w:tcPr>
            <w:tcBorders/>
            <w:tcW w:w="2517" w:type="dxa"/>
            <w:vAlign w:val="center"/>
            <w:textDirection w:val="lrTb"/>
            <w:noWrap w:val="false"/>
          </w:tcPr>
          <w:p w14:paraId="1AD31249">
            <w:pPr>
              <w:pBdr/>
              <w:spacing w:after="40" w:before="40" w:line="276" w:lineRule="auto"/>
              <w:ind/>
              <w:rPr>
                <w:bCs/>
              </w:rPr>
            </w:pPr>
            <w:r>
              <w:rPr>
                <w:bCs/>
                <w:lang w:val="pt-BR"/>
              </w:rPr>
              <w:t xml:space="preserve">CCCD</w:t>
            </w:r>
            <w:r>
              <w:rPr>
                <w:bCs/>
              </w:rPr>
            </w:r>
            <w:r>
              <w:rPr>
                <w:bCs/>
              </w:rPr>
            </w:r>
          </w:p>
        </w:tc>
        <w:tc>
          <w:tcPr>
            <w:tcBorders/>
            <w:tcW w:w="289" w:type="dxa"/>
            <w:vAlign w:val="center"/>
            <w:textDirection w:val="lrTb"/>
            <w:noWrap w:val="false"/>
          </w:tcPr>
          <w:p w14:paraId="14B5B89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17FE03A4">
            <w:pPr>
              <w:pBdr/>
              <w:tabs>
                <w:tab w:val="left" w:leader="none" w:pos="3382"/>
              </w:tabs>
              <w:spacing w:after="40" w:before="40" w:line="276" w:lineRule="auto"/>
              <w:ind/>
              <w:rPr>
                <w:iCs/>
              </w:rPr>
            </w:pPr>
            <w:r>
              <w:rPr>
                <w:iCs/>
                <w:color w:val="000000" w:themeColor="text1"/>
              </w:rPr>
              <w:t xml:space="preserve">01916001838</w:t>
            </w:r>
            <w:r>
              <w:rPr>
                <w:iCs/>
              </w:rPr>
            </w:r>
            <w:r>
              <w:rPr>
                <w:iCs/>
              </w:rPr>
            </w:r>
          </w:p>
        </w:tc>
      </w:tr>
    </w:tbl>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b w:val="0"/>
                <w:bCs w:val="0"/>
              </w:rPr>
              <w:t xml:space="preserve">Quyền sử dụng đất tại thửa đất số: 393, tờ bản đồ số: 42, có địa chỉ: Phường Phan Đình Phùng, thành phố Thái Nguyên, tỉnh Thái Nguyên (nay là phường Phan Đình Phùng, Tỉnh Thái Nguyên) theo Giấy chứng nhận quyền sử dụng đất, quyền sở hữu nhà ở và tài sản khác g</w:t>
            </w:r>
            <w:r>
              <w:rPr>
                <w:b w:val="0"/>
                <w:bCs w:val="0"/>
              </w:rPr>
              <w:t xml:space="preserve">ắn liền với đất  số: CO 795398, Số vào sổ cấp GCN: 00608/MCN do Sở tài nguyên và môi trường tỉnh Thái Nguyên cấp ngày 05/09/2018; chủ sử dụng đất là Bà Phạm Thị Bích Thúy</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Phan Đình Phùng, Tỉnh Thái Nguyên</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21.5822557, 105.839245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31"/>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31"/>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31"/>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7494B17B" w14:textId="41F9AB61">
      <w:pPr>
        <w:pStyle w:val="1031"/>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 w:val="0"/>
          <w:bCs w:val="0"/>
        </w:rPr>
        <w:t xml:space="preserve">Giấy chứng nhận quyền sử dụng đất, quyền sở hữu nhà ở và tài sản khác g</w:t>
      </w:r>
      <w:r>
        <w:rPr>
          <w:b w:val="0"/>
          <w:bCs w:val="0"/>
        </w:rPr>
        <w:t xml:space="preserve">ắn liền với đất  số: CO 795398, Số vào sổ cấp GCN: 00608/MCN do Sở tài nguyên và môi trường tỉnh Thái Nguyên cấp ngày 05/09/2018; chủ sử dụng đất là Bà Phạm Thị Bích Thúy</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HSTD-20251213-0007/HĐTĐ-VFI ngày 16/12/2025 giữa  với Công ty Cổ phần Thẩm định và Đầu tư Tài chính Hoa Sen.</w:t>
      </w:r>
      <w:r>
        <w:rPr>
          <w:b/>
          <w:lang w:val="pt-BR"/>
        </w:rPr>
      </w:r>
      <w:r>
        <w:rPr>
          <w:b/>
          <w:lang w:val="pt-BR"/>
        </w:rPr>
      </w:r>
    </w:p>
    <w:p w14:paraId="7BDC3A25" w14:textId="77D2CF95">
      <w:pPr>
        <w:pStyle w:val="1031"/>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77F94E4B">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rPr/>
      </w:pPr>
      <w:r>
        <w:rPr>
          <w:lang w:val="pt-BR"/>
        </w:rPr>
        <w:tab/>
      </w:r>
      <w:r>
        <w:rPr>
          <w:rFonts w:ascii="Times New Roman" w:hAnsi="Times New Roman" w:eastAsia="Times New Roman" w:cs="Times New Roman"/>
          <w:color w:val="000000"/>
          <w:sz w:val="24"/>
        </w:rPr>
        <w:t xml:space="preserve">Vốn FDI là một trong những động lực quan trọng thúc đẩy phát triển kinh tế, đưa Thái Nguyên trở thành nơi có tốc độ đô thị hóa nhanh và quy hoạch phát triển bài bản, có mật độ dân số cao. Tỉnh đặt mục tiêu nâng tỷ lệ đô thị hóa lên 40,5% giai đoạn 2021-202</w:t>
      </w:r>
      <w:r>
        <w:rPr>
          <w:rFonts w:ascii="Times New Roman" w:hAnsi="Times New Roman" w:eastAsia="Times New Roman" w:cs="Times New Roman"/>
          <w:color w:val="000000"/>
          <w:sz w:val="24"/>
        </w:rPr>
        <w:t xml:space="preserve">5 và 50% vào năm 2035. Quy hoạch mở rộng địa giới hành chính, phát triển khu vực ven sông Cầu thành đô thị xanh, hiện đại tạo ra môi trường sống chất lượng. Đây đều là nền tảng vững chắc cho phát triển kinh tế và thị trường bất động sản về quy mô cũng như </w:t>
      </w:r>
      <w:r>
        <w:rPr>
          <w:rFonts w:ascii="Times New Roman" w:hAnsi="Times New Roman" w:eastAsia="Times New Roman" w:cs="Times New Roman"/>
          <w:color w:val="000000"/>
          <w:sz w:val="24"/>
        </w:rPr>
        <w:t xml:space="preserve">giá bán.</w:t>
      </w:r>
      <w:r/>
    </w:p>
    <w:p w14:paraId="32D00A7E">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5" w:left="0"/>
        <w:rPr/>
      </w:pPr>
      <w:r>
        <w:rPr>
          <w:rFonts w:ascii="Times New Roman" w:hAnsi="Times New Roman" w:eastAsia="Times New Roman" w:cs="Times New Roman"/>
          <w:color w:val="000000"/>
          <w:sz w:val="24"/>
        </w:rPr>
        <w:t xml:space="preserve">Sự gia tăng của các khu công nghiệp, phát triển hạ tầng cũng thu hút nguồn lực lao động, chuyên gia chất lượng cao dịch chuyển về Thái Nguyên làm việc, sinh sống. Nhu cầu về căn hộ, đặc biệt là căn hộ cao cấp là rất lớn.</w:t>
      </w:r>
      <w:r/>
    </w:p>
    <w:p w14:paraId="168607A7">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5" w:left="0"/>
        <w:rPr/>
      </w:pPr>
      <w:r>
        <w:rPr>
          <w:rFonts w:ascii="Times New Roman" w:hAnsi="Times New Roman" w:eastAsia="Times New Roman" w:cs="Times New Roman"/>
          <w:color w:val="000000"/>
          <w:sz w:val="24"/>
        </w:rPr>
        <w:t xml:space="preserve">Một trong những dự án đón đầu làn sóng đầu tư căn hộ cao cấp tại Thái Nguyên là Diamond Hill Thái Nguyên, một dự án do BV Land phát triển. Tòa tháp đôi 38 tầng tọa lạc tại đường Bắc Sơn, phường Hoàng Văn Thụ, trung tâm thành phố, sở hữu nhiều lợi thế kết n</w:t>
      </w:r>
      <w:r>
        <w:rPr>
          <w:rFonts w:ascii="Times New Roman" w:hAnsi="Times New Roman" w:eastAsia="Times New Roman" w:cs="Times New Roman"/>
          <w:color w:val="000000"/>
          <w:sz w:val="24"/>
        </w:rPr>
        <w:t xml:space="preserve">ối. Nằm giữa những dãy phố sôi động, sầm uất, cư dân dễ dàng tiếp cận mạng lưới tiện ích trường học, bệnh viện, trung tâm hành chính công… xung quanh.</w:t>
      </w:r>
      <w:r/>
    </w:p>
    <w:p w14:paraId="0579D242">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5" w:left="0"/>
        <w:rPr/>
      </w:pPr>
      <w:r>
        <w:rPr>
          <w:rFonts w:ascii="Times New Roman" w:hAnsi="Times New Roman" w:eastAsia="Times New Roman" w:cs="Times New Roman"/>
          <w:color w:val="000000"/>
          <w:sz w:val="24"/>
        </w:rPr>
        <w:t xml:space="preserve">Mới ra mắt thị trường gần đây, Diamond Hill Thái Nguyên đang nổi lên như một điểm sáng thu hút nhà đầu tư, nhờ hội tụ hàng loạt ưu thế vượt trội. Dự án sở hữu pháp lý minh bạch, vị trí đắc địa, cùng sự đảm bảo từ chủ đầu tư uy tín. Điểm nhấn còn đến từ thi</w:t>
      </w:r>
      <w:r>
        <w:rPr>
          <w:rFonts w:ascii="Times New Roman" w:hAnsi="Times New Roman" w:eastAsia="Times New Roman" w:cs="Times New Roman"/>
          <w:color w:val="000000"/>
          <w:sz w:val="24"/>
        </w:rPr>
        <w:t xml:space="preserve">ết kế mang tính biểu tượng do đơn vị danh tiếng Aedas thực hiện và hệ thống tiện ích đa tầng “all-in-one” được quản lý vận hành chuyên nghiệp bởi Savills. Đây được đánh giá là lựa chọn hấp dẫn cho nhóm khách hàng và nhà đầu tư có tiềm lực tài chính vững và</w:t>
      </w:r>
      <w:r>
        <w:rPr>
          <w:rFonts w:ascii="Times New Roman" w:hAnsi="Times New Roman" w:eastAsia="Times New Roman" w:cs="Times New Roman"/>
          <w:color w:val="000000"/>
          <w:sz w:val="24"/>
        </w:rPr>
        <w:t xml:space="preserve">ng, yêu thích lối sống hiện đại và đề cao chất lượng không gian sống</w:t>
      </w:r>
      <w:r>
        <w:rPr>
          <w:rFonts w:ascii="Times New Roman" w:hAnsi="Times New Roman" w:eastAsia="Times New Roman" w:cs="Times New Roman"/>
          <w:i/>
          <w:color w:val="000000"/>
          <w:sz w:val="24"/>
          <w:highlight w:val="yellow"/>
        </w:rPr>
        <w:t xml:space="preserve"> </w:t>
      </w:r>
      <w:r/>
    </w:p>
    <w:p w14:paraId="13948C00">
      <w:pPr>
        <w:pBdr/>
        <w:tabs>
          <w:tab w:val="left" w:leader="none" w:pos="426"/>
        </w:tabs>
        <w:spacing w:after="120" w:before="120" w:line="276" w:lineRule="auto"/>
        <w:ind/>
        <w:rPr>
          <w:bCs/>
          <w:i/>
          <w:lang w:val="pt-BR"/>
        </w:rPr>
      </w:pPr>
      <w:r/>
      <w:hyperlink r:id="rId17" w:tooltip="https://baodautu.vn/batdongsan/thai-nguyen----ngoi-sao-sang-tren-buc-tranh-bat-dong-san-vung-thu-do-d302063.html" w:history="1">
        <w:r>
          <w:rPr>
            <w:rStyle w:val="1021"/>
            <w:rFonts w:ascii="Times New Roman" w:hAnsi="Times New Roman" w:eastAsia="Times New Roman" w:cs="Times New Roman"/>
            <w:i/>
            <w:color w:val="000000"/>
            <w:sz w:val="24"/>
            <w:u w:val="single"/>
          </w:rPr>
          <w:t xml:space="preserve">https://baodautu.vn/batdongsan/thai-nguyen----ngoi-sao-sang-tren-buc-tranh-bat-dong-san-vung-thu-do-d302063.html</w:t>
        </w:r>
      </w:hyperlink>
      <w:r>
        <w:rPr>
          <w:bCs/>
          <w:i/>
          <w:lang w:val="pt-BR"/>
        </w:rPr>
      </w:r>
      <w:r>
        <w:rPr>
          <w:bCs/>
          <w:i/>
          <w:lang w:val="pt-BR"/>
        </w:rPr>
      </w:r>
    </w:p>
    <w:p w14:paraId="17922E02">
      <w:pPr>
        <w:pBdr/>
        <w:tabs>
          <w:tab w:val="left" w:leader="none" w:pos="426"/>
        </w:tabs>
        <w:spacing w:after="120" w:before="120" w:line="276" w:lineRule="auto"/>
        <w:ind/>
        <w:rPr>
          <w:bCs/>
          <w:i/>
          <w:lang w:val="pt-BR"/>
        </w:rPr>
      </w:pPr>
      <w:r>
        <w:rPr>
          <w:lang w:val="pt-BR"/>
        </w:rPr>
      </w:r>
      <w:r>
        <w:rPr>
          <w:bCs/>
          <w:i/>
          <w:lang w:val="pt-BR"/>
        </w:rPr>
      </w:r>
      <w:r>
        <w:rPr>
          <w:bCs/>
          <w:i/>
          <w:lang w:val="pt-BR"/>
        </w:rPr>
      </w:r>
    </w:p>
    <w:p w14:paraId="20BF0D54" w14:textId="312C63AB">
      <w:pPr>
        <w:pStyle w:val="1031"/>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highlight w:val="none"/>
          <w:lang w:val="pt-BR"/>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70"/>
        <w:gridCol w:w="2312"/>
        <w:gridCol w:w="2072"/>
        <w:gridCol w:w="1944"/>
        <w:gridCol w:w="2456"/>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4EC6B3E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Tên tài s</w:t>
            </w:r>
            <w:r>
              <w:rPr>
                <w:rFonts w:ascii="Tahoma" w:hAnsi="Tahoma" w:eastAsia="Tahoma" w:cs="Tahoma"/>
                <w:b/>
                <w:color w:val="000000"/>
                <w:sz w:val="24"/>
              </w:rPr>
              <w:t xml:space="preserve">ả</w:t>
            </w:r>
            <w:r>
              <w:rPr>
                <w:rFonts w:ascii="Times New Roman" w:hAnsi="Times New Roman" w:eastAsia="Times New Roman" w:cs="Times New Roman"/>
                <w:b/>
                <w:color w:val="000000"/>
                <w:sz w:val="24"/>
              </w:rPr>
              <w:t xml:space="preserve">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4" w:type="dxa"/>
            <w:vAlign w:val="center"/>
            <w:textDirection w:val="lrTb"/>
            <w:noWrap w:val="false"/>
          </w:tcPr>
          <w:p w14:paraId="7E1F386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 Quyền sử dụng đất tại thửa đất số: 393, tờ bản đồ số: 42, có địa chỉ: Phường Phan Đình Phùng, thành phố Thái Nguyên, tỉnh Thái Nguyên (nay là phường Phan Đình Phùng, Tỉnh Thái Nguyên) theo Giấy chứng nhận quyền sử dụng đất, quyền sở hữu nhà ở và tài sản khác </w:t>
            </w:r>
            <w:r>
              <w:rPr>
                <w:rFonts w:ascii="Times New Roman" w:hAnsi="Times New Roman" w:eastAsia="Times New Roman" w:cs="Times New Roman"/>
                <w:b/>
                <w:color w:val="000000"/>
                <w:sz w:val="24"/>
              </w:rPr>
              <w:t xml:space="preserve">gắn liền với đất  số: CO 795398, Số vào sổ cấp GCN: 00608/MCN do Sở tài nguyên và môi trường tỉnh Thái Nguyên cấp ngày 05/09/2018; chủ sử dụng đất là Bà Phạm Thị Bích Thúy</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0809B1F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4" w:type="dxa"/>
            <w:vAlign w:val="center"/>
            <w:textDirection w:val="lrTb"/>
            <w:noWrap w:val="false"/>
          </w:tcPr>
          <w:p w14:paraId="7B1EDAF6">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100D01D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8784" w:type="dxa"/>
            <w:vAlign w:val="center"/>
            <w:textDirection w:val="lrTb"/>
            <w:noWrap w:val="false"/>
          </w:tcPr>
          <w:p w14:paraId="32A97F36">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6DFE84B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2" w:type="dxa"/>
            <w:vAlign w:val="center"/>
            <w:textDirection w:val="lrTb"/>
            <w:noWrap w:val="false"/>
          </w:tcPr>
          <w:p w14:paraId="32D8A5EF">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2DC9DA9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393</w:t>
            </w:r>
            <w:r/>
          </w:p>
        </w:tc>
        <w:tc>
          <w:tcPr>
            <w:tcBorders>
              <w:bottom w:val="single" w:color="000000" w:sz="8" w:space="0"/>
              <w:right w:val="single" w:color="000000" w:sz="8" w:space="0"/>
            </w:tcBorders>
            <w:tcMar>
              <w:left w:w="108" w:type="dxa"/>
              <w:top w:w="0" w:type="dxa"/>
              <w:right w:w="108" w:type="dxa"/>
              <w:bottom w:w="0" w:type="dxa"/>
            </w:tcMar>
            <w:tcW w:w="1944" w:type="dxa"/>
            <w:vAlign w:val="center"/>
            <w:textDirection w:val="lrTb"/>
            <w:noWrap w:val="false"/>
          </w:tcPr>
          <w:p w14:paraId="270CBBAB">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456" w:type="dxa"/>
            <w:vAlign w:val="center"/>
            <w:textDirection w:val="lrTb"/>
            <w:noWrap w:val="false"/>
          </w:tcPr>
          <w:p w14:paraId="14E738BB">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42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5D8C461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2" w:type="dxa"/>
            <w:vAlign w:val="center"/>
            <w:textDirection w:val="lrTb"/>
            <w:noWrap w:val="false"/>
          </w:tcPr>
          <w:p w14:paraId="6340B531">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472" w:type="dxa"/>
            <w:vAlign w:val="center"/>
            <w:textDirection w:val="lrTb"/>
            <w:noWrap w:val="false"/>
          </w:tcPr>
          <w:p w14:paraId="49D92C8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Phường Phan Đình Phùng, thành phố Thái Nguyên, tỉnh Thái Nguyên (nay là phường Phan Đình Phùng, Tỉnh Thái Nguyên)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06CBB14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2" w:type="dxa"/>
            <w:vAlign w:val="center"/>
            <w:textDirection w:val="lrTb"/>
            <w:noWrap w:val="false"/>
          </w:tcPr>
          <w:p w14:paraId="75D0068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48ECE85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114,11</w:t>
            </w:r>
            <w:r/>
          </w:p>
        </w:tc>
        <w:tc>
          <w:tcPr>
            <w:tcBorders>
              <w:bottom w:val="single" w:color="000000" w:sz="8" w:space="0"/>
              <w:right w:val="single" w:color="000000" w:sz="8" w:space="0"/>
            </w:tcBorders>
            <w:tcMar>
              <w:left w:w="108" w:type="dxa"/>
              <w:top w:w="0" w:type="dxa"/>
              <w:right w:w="108" w:type="dxa"/>
              <w:bottom w:w="0" w:type="dxa"/>
            </w:tcMar>
            <w:tcW w:w="1944" w:type="dxa"/>
            <w:vAlign w:val="center"/>
            <w:textDirection w:val="lrTb"/>
            <w:noWrap w:val="false"/>
          </w:tcPr>
          <w:p w14:paraId="594AD46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456" w:type="dxa"/>
            <w:vAlign w:val="center"/>
            <w:textDirection w:val="lrTb"/>
            <w:noWrap w:val="false"/>
          </w:tcPr>
          <w:p w14:paraId="55E1E916">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774F584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2" w:type="dxa"/>
            <w:vAlign w:val="center"/>
            <w:textDirection w:val="lrTb"/>
            <w:noWrap w:val="false"/>
          </w:tcPr>
          <w:p w14:paraId="09F3E09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280DE35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944" w:type="dxa"/>
            <w:vAlign w:val="center"/>
            <w:textDirection w:val="lrTb"/>
            <w:noWrap w:val="false"/>
          </w:tcPr>
          <w:p w14:paraId="7EAC893D">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456" w:type="dxa"/>
            <w:vAlign w:val="center"/>
            <w:textDirection w:val="lrTb"/>
            <w:noWrap w:val="false"/>
          </w:tcPr>
          <w:p w14:paraId="49989A87">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6C0DB41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2" w:type="dxa"/>
            <w:vAlign w:val="center"/>
            <w:textDirection w:val="lrTb"/>
            <w:noWrap w:val="false"/>
          </w:tcPr>
          <w:p w14:paraId="1DBC3B2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472" w:type="dxa"/>
            <w:vAlign w:val="center"/>
            <w:textDirection w:val="lrTb"/>
            <w:noWrap w:val="false"/>
          </w:tcPr>
          <w:p w14:paraId="32C37B5A">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Nhận chuyển nhượng từ đất có nguồn gốc Nhà nước giao đất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2120417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1.2</w:t>
            </w:r>
            <w:r/>
          </w:p>
        </w:tc>
        <w:tc>
          <w:tcPr>
            <w:gridSpan w:val="4"/>
            <w:tcBorders>
              <w:bottom w:val="single" w:color="000000" w:sz="8" w:space="0"/>
              <w:right w:val="single" w:color="000000" w:sz="8" w:space="0"/>
            </w:tcBorders>
            <w:tcMar>
              <w:left w:w="108" w:type="dxa"/>
              <w:top w:w="0" w:type="dxa"/>
              <w:right w:w="108" w:type="dxa"/>
              <w:bottom w:w="0" w:type="dxa"/>
            </w:tcMar>
            <w:tcW w:w="8784" w:type="dxa"/>
            <w:vAlign w:val="center"/>
            <w:textDirection w:val="lrTb"/>
            <w:noWrap w:val="false"/>
          </w:tcPr>
          <w:p w14:paraId="1EC91DBE">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Ghi chú:</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3D1AF34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4" w:type="dxa"/>
            <w:vAlign w:val="center"/>
            <w:textDirection w:val="lrTb"/>
            <w:noWrap w:val="false"/>
          </w:tcPr>
          <w:p w14:paraId="560997A7">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101A45F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1.3.</w:t>
            </w:r>
            <w:r/>
          </w:p>
        </w:tc>
        <w:tc>
          <w:tcPr>
            <w:gridSpan w:val="4"/>
            <w:tcBorders>
              <w:bottom w:val="single" w:color="000000" w:sz="8" w:space="0"/>
              <w:right w:val="single" w:color="000000" w:sz="8" w:space="0"/>
            </w:tcBorders>
            <w:tcMar>
              <w:left w:w="108" w:type="dxa"/>
              <w:top w:w="0" w:type="dxa"/>
              <w:right w:w="108" w:type="dxa"/>
              <w:bottom w:w="0" w:type="dxa"/>
            </w:tcMar>
            <w:tcW w:w="8784" w:type="dxa"/>
            <w:vAlign w:val="center"/>
            <w:textDirection w:val="lrTb"/>
            <w:noWrap w:val="false"/>
          </w:tcPr>
          <w:p w14:paraId="024C92FF">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Thông tin quy hoạch: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7349DC1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4" w:type="dxa"/>
            <w:vAlign w:val="center"/>
            <w:textDirection w:val="lrTb"/>
            <w:noWrap w:val="false"/>
          </w:tcPr>
          <w:p w14:paraId="71EA5A3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3A441AC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4" w:type="dxa"/>
            <w:vAlign w:val="center"/>
            <w:textDirection w:val="lrTb"/>
            <w:noWrap w:val="false"/>
          </w:tcPr>
          <w:p w14:paraId="6B223DF7">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09F77EB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4" w:type="dxa"/>
            <w:vAlign w:val="center"/>
            <w:textDirection w:val="lrTb"/>
            <w:noWrap w:val="false"/>
          </w:tcPr>
          <w:p w14:paraId="4F6F1AC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21EBFEC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2" w:type="dxa"/>
            <w:vAlign w:val="center"/>
            <w:textDirection w:val="lrTb"/>
            <w:noWrap w:val="false"/>
          </w:tcPr>
          <w:p w14:paraId="168F8DB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472" w:type="dxa"/>
            <w:vAlign w:val="center"/>
            <w:textDirection w:val="lrTb"/>
            <w:noWrap w:val="false"/>
          </w:tcPr>
          <w:p w14:paraId="0F73F3A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Đường số 2, KĐT Xương Rồng, phường Phan Đình Phùng, Tỉnh Thái Nguyên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6BA8E9D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312" w:type="dxa"/>
            <w:vAlign w:val="center"/>
            <w:textDirection w:val="lrTb"/>
            <w:noWrap w:val="false"/>
          </w:tcPr>
          <w:p w14:paraId="0E1DE96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Đường tiếp giáp chính:</w:t>
            </w:r>
            <w:r/>
          </w:p>
        </w:tc>
        <w:tc>
          <w:tcPr>
            <w:tcBorders>
              <w:right w:val="single" w:color="000000" w:sz="8" w:space="0"/>
            </w:tcBorders>
            <w:tcMar>
              <w:left w:w="108" w:type="dxa"/>
              <w:top w:w="0" w:type="dxa"/>
              <w:right w:w="108" w:type="dxa"/>
              <w:bottom w:w="0" w:type="dxa"/>
            </w:tcMar>
            <w:tcW w:w="2072" w:type="dxa"/>
            <w:vAlign w:val="center"/>
            <w:textDirection w:val="lrTb"/>
            <w:noWrap w:val="false"/>
          </w:tcPr>
          <w:p w14:paraId="6CECCC1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Đường nội khu</w:t>
            </w:r>
            <w:r/>
          </w:p>
        </w:tc>
        <w:tc>
          <w:tcPr>
            <w:tcBorders>
              <w:right w:val="single" w:color="000000" w:sz="8" w:space="0"/>
            </w:tcBorders>
            <w:tcMar>
              <w:left w:w="108" w:type="dxa"/>
              <w:top w:w="0" w:type="dxa"/>
              <w:right w:w="108" w:type="dxa"/>
              <w:bottom w:w="0" w:type="dxa"/>
            </w:tcMar>
            <w:tcW w:w="1944" w:type="dxa"/>
            <w:vAlign w:val="center"/>
            <w:textDirection w:val="lrTb"/>
            <w:noWrap w:val="false"/>
          </w:tcPr>
          <w:p w14:paraId="2261ADA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Số mặt tiền:</w:t>
            </w:r>
            <w:r/>
          </w:p>
        </w:tc>
        <w:tc>
          <w:tcPr>
            <w:tcBorders>
              <w:right w:val="single" w:color="000000" w:sz="8" w:space="0"/>
            </w:tcBorders>
            <w:tcMar>
              <w:left w:w="108" w:type="dxa"/>
              <w:top w:w="0" w:type="dxa"/>
              <w:right w:w="108" w:type="dxa"/>
              <w:bottom w:w="0" w:type="dxa"/>
            </w:tcMar>
            <w:tcW w:w="2456" w:type="dxa"/>
            <w:vAlign w:val="center"/>
            <w:textDirection w:val="lrTb"/>
            <w:noWrap w:val="false"/>
          </w:tcPr>
          <w:p w14:paraId="4D09D7A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 mặt tiền</w:t>
            </w:r>
            <w:r/>
          </w:p>
        </w:tc>
      </w:tr>
      <w:tr>
        <w:trPr>
          <w:trHeight w:val="20"/>
        </w:trPr>
        <w:tc>
          <w:tcPr>
            <w:tcBorders>
              <w:left w:val="single" w:color="000000" w:sz="8" w:space="0"/>
              <w:bottom w:val="single" w:color="000000" w:sz="8" w:space="0"/>
            </w:tcBorders>
            <w:tcMar>
              <w:left w:w="108" w:type="dxa"/>
              <w:top w:w="0" w:type="dxa"/>
              <w:right w:w="108" w:type="dxa"/>
              <w:bottom w:w="0" w:type="dxa"/>
            </w:tcMar>
            <w:tcW w:w="570" w:type="dxa"/>
            <w:vAlign w:val="center"/>
            <w:textDirection w:val="lrTb"/>
            <w:noWrap w:val="false"/>
          </w:tcPr>
          <w:p w14:paraId="0F3A995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312" w:type="dxa"/>
            <w:vAlign w:val="center"/>
            <w:textDirection w:val="lrTb"/>
            <w:noWrap w:val="false"/>
          </w:tcPr>
          <w:p w14:paraId="274A958E">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0D6A705B">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12m</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44" w:type="dxa"/>
            <w:vAlign w:val="center"/>
            <w:textDirection w:val="lrTb"/>
            <w:noWrap w:val="false"/>
          </w:tcPr>
          <w:p w14:paraId="26EE0BF4">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456" w:type="dxa"/>
            <w:vAlign w:val="center"/>
            <w:textDirection w:val="lrTb"/>
            <w:noWrap w:val="false"/>
          </w:tcPr>
          <w:p w14:paraId="2A5393CF">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12m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0CD85D4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right w:val="single" w:color="000000" w:sz="8" w:space="0"/>
            </w:tcBorders>
            <w:tcMar>
              <w:left w:w="108" w:type="dxa"/>
              <w:top w:w="0" w:type="dxa"/>
              <w:right w:w="108" w:type="dxa"/>
              <w:bottom w:w="0" w:type="dxa"/>
            </w:tcMar>
            <w:tcW w:w="2312" w:type="dxa"/>
            <w:vAlign w:val="center"/>
            <w:textDirection w:val="lrTb"/>
            <w:noWrap w:val="false"/>
          </w:tcPr>
          <w:p w14:paraId="3D86F3B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472" w:type="dxa"/>
            <w:vAlign w:val="center"/>
            <w:textDirection w:val="lrTb"/>
            <w:noWrap w:val="false"/>
          </w:tcPr>
          <w:p w14:paraId="479DCB9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Tiếp giáp đường số 2, KĐT Xương Rồng, phường Phan Đình Phùng, Tỉnh Thái Nguyên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75D10AD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312" w:type="dxa"/>
            <w:vAlign w:val="center"/>
            <w:textDirection w:val="lrTb"/>
            <w:noWrap w:val="false"/>
          </w:tcPr>
          <w:p w14:paraId="79FC9EA4">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472" w:type="dxa"/>
            <w:vAlign w:val="center"/>
            <w:textDirection w:val="lrTb"/>
            <w:noWrap w:val="false"/>
          </w:tcPr>
          <w:p w14:paraId="30E9404A">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Hướng Đông Nam tiếp giáp với đường nội khu;</w:t>
              <w:br/>
              <w:t xml:space="preserve"> Các hướng còn lại: tiếp giáp với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1A12041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84" w:type="dxa"/>
            <w:vAlign w:val="center"/>
            <w:textDirection w:val="lrTb"/>
            <w:noWrap w:val="false"/>
          </w:tcPr>
          <w:p w14:paraId="2C1CCDC5">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Vị trí trên bản đồ vệ tinh: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17769BE4">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84" w:type="dxa"/>
            <w:vAlign w:val="center"/>
            <w:textDirection w:val="lrTb"/>
            <w:noWrap w:val="false"/>
          </w:tcPr>
          <w:p w14:paraId="7CECB0C5">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 </w:t>
            </w:r>
            <w:r>
              <w:rPr>
                <w:color w:val="000000"/>
              </w:rPr>
              <mc:AlternateContent>
                <mc:Choice Requires="wpg">
                  <w:drawing>
                    <wp:inline xmlns:wp="http://schemas.openxmlformats.org/drawingml/2006/wordprocessingDrawing" distT="0" distB="0" distL="0" distR="0">
                      <wp:extent cx="5418795"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512702892" name="" descr=""/>
                              <pic:cNvPicPr/>
                              <pic:nvPr/>
                            </pic:nvPicPr>
                            <pic:blipFill rotWithShape="1">
                              <a:blip r:embed="rId18"/>
                              <a:stretch/>
                            </pic:blipFill>
                            <pic:spPr bwMode="auto">
                              <a:xfrm rot="0" flipH="0" flipV="0">
                                <a:off x="0" y="0"/>
                                <a:ext cx="5418794"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6.68pt;height:200.00pt;mso-wrap-distance-left:0.00pt;mso-wrap-distance-top:0.00pt;mso-wrap-distance-right:0.00pt;mso-wrap-distance-bottom:0.00pt;rotation:0;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18F468D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84" w:type="dxa"/>
            <w:vAlign w:val="center"/>
            <w:textDirection w:val="lrTb"/>
            <w:noWrap w:val="false"/>
          </w:tcPr>
          <w:p w14:paraId="21E67F33">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459EDBA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2" w:type="dxa"/>
            <w:vAlign w:val="center"/>
            <w:textDirection w:val="lrTb"/>
            <w:noWrap w:val="false"/>
          </w:tcPr>
          <w:p w14:paraId="4BC2E022">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2F90F8A8">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114,11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4" w:type="dxa"/>
            <w:vAlign w:val="center"/>
            <w:textDirection w:val="lrTb"/>
            <w:noWrap w:val="false"/>
          </w:tcPr>
          <w:p w14:paraId="253C7FA1">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56" w:type="dxa"/>
            <w:vAlign w:val="center"/>
            <w:textDirection w:val="lrTb"/>
            <w:noWrap w:val="false"/>
          </w:tcPr>
          <w:p w14:paraId="415ED867">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77BDF9C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2" w:type="dxa"/>
            <w:vAlign w:val="center"/>
            <w:textDirection w:val="lrTb"/>
            <w:noWrap w:val="false"/>
          </w:tcPr>
          <w:p w14:paraId="475C1088">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0AB4B862">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4" w:type="dxa"/>
            <w:vAlign w:val="center"/>
            <w:textDirection w:val="lrTb"/>
            <w:noWrap w:val="false"/>
          </w:tcPr>
          <w:p w14:paraId="77125AB7">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56" w:type="dxa"/>
            <w:vAlign w:val="center"/>
            <w:textDirection w:val="lrTb"/>
            <w:noWrap w:val="false"/>
          </w:tcPr>
          <w:p w14:paraId="00B3A2E9">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12,31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531E69D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12" w:type="dxa"/>
            <w:vAlign w:val="center"/>
            <w:textDirection w:val="lrTb"/>
            <w:noWrap w:val="false"/>
          </w:tcPr>
          <w:p w14:paraId="35FBA891">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75561EEC">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44" w:type="dxa"/>
            <w:vAlign w:val="center"/>
            <w:textDirection w:val="lrTb"/>
            <w:noWrap w:val="false"/>
          </w:tcPr>
          <w:p w14:paraId="01A5F219">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56" w:type="dxa"/>
            <w:vAlign w:val="center"/>
            <w:textDirection w:val="lrTb"/>
            <w:noWrap w:val="false"/>
          </w:tcPr>
          <w:p w14:paraId="4EA99486">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Đông 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664B009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784" w:type="dxa"/>
            <w:vAlign w:val="center"/>
            <w:textDirection w:val="lrTb"/>
            <w:noWrap w:val="false"/>
          </w:tcPr>
          <w:p w14:paraId="005E6160">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29CB7A2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2" w:type="dxa"/>
            <w:vAlign w:val="center"/>
            <w:textDirection w:val="lrTb"/>
            <w:noWrap w:val="false"/>
          </w:tcPr>
          <w:p w14:paraId="1EEE996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374488B2">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1944" w:type="dxa"/>
            <w:vAlign w:val="center"/>
            <w:textDirection w:val="lrTb"/>
            <w:noWrap w:val="false"/>
          </w:tcPr>
          <w:p w14:paraId="38B7B9A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56" w:type="dxa"/>
            <w:vAlign w:val="center"/>
            <w:textDirection w:val="lrTb"/>
            <w:noWrap w:val="false"/>
          </w:tcPr>
          <w:p w14:paraId="7C696193">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2DAC166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2" w:type="dxa"/>
            <w:vAlign w:val="center"/>
            <w:textDirection w:val="lrTb"/>
            <w:noWrap w:val="false"/>
          </w:tcPr>
          <w:p w14:paraId="10950B96">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5FD7972D">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Phù hợp để ở, kinh doanh</w:t>
            </w:r>
            <w:r/>
          </w:p>
        </w:tc>
        <w:tc>
          <w:tcPr>
            <w:tcBorders>
              <w:bottom w:val="single" w:color="000000" w:sz="8" w:space="0"/>
              <w:right w:val="single" w:color="000000" w:sz="8" w:space="0"/>
            </w:tcBorders>
            <w:tcMar>
              <w:left w:w="108" w:type="dxa"/>
              <w:top w:w="0" w:type="dxa"/>
              <w:right w:w="108" w:type="dxa"/>
              <w:bottom w:w="0" w:type="dxa"/>
            </w:tcMar>
            <w:tcW w:w="1944" w:type="dxa"/>
            <w:vAlign w:val="center"/>
            <w:textDirection w:val="lrTb"/>
            <w:noWrap w:val="false"/>
          </w:tcPr>
          <w:p w14:paraId="698CC607">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456" w:type="dxa"/>
            <w:vAlign w:val="center"/>
            <w:textDirection w:val="lrTb"/>
            <w:noWrap w:val="false"/>
          </w:tcPr>
          <w:p w14:paraId="72A5A3C4">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143FFD4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312" w:type="dxa"/>
            <w:vAlign w:val="center"/>
            <w:textDirection w:val="lrTb"/>
            <w:noWrap w:val="false"/>
          </w:tcPr>
          <w:p w14:paraId="071E7A35">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2072" w:type="dxa"/>
            <w:vAlign w:val="center"/>
            <w:textDirection w:val="lrTb"/>
            <w:noWrap w:val="false"/>
          </w:tcPr>
          <w:p w14:paraId="512982B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944" w:type="dxa"/>
            <w:vAlign w:val="center"/>
            <w:textDirection w:val="lrTb"/>
            <w:noWrap w:val="false"/>
          </w:tcPr>
          <w:p w14:paraId="011BC7A8">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2456" w:type="dxa"/>
            <w:vAlign w:val="center"/>
            <w:textDirection w:val="lrTb"/>
            <w:noWrap w:val="false"/>
          </w:tcPr>
          <w:p w14:paraId="777A9266">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0863B85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4" w:type="dxa"/>
            <w:vAlign w:val="center"/>
            <w:textDirection w:val="lrTb"/>
            <w:noWrap w:val="false"/>
          </w:tcPr>
          <w:p w14:paraId="2F455AB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 Tài sản gắn liền với đất: Nhà 03 tầng +1 tum có thang máy</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14:paraId="250815E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4" w:type="dxa"/>
            <w:vAlign w:val="center"/>
            <w:textDirection w:val="lrTb"/>
            <w:noWrap w:val="false"/>
          </w:tcPr>
          <w:p w14:paraId="1136B659">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Tại thời điểm khảo sát, dưới sự hướng dẫn của chủ tài sản, Tổ thẩm định xác định trên đất có Nhà 03 tầng, xây dựng trên 2 thửa đất là 393 + 394 (khác chủ tài sản), diện tích xây dựng khoảng 200,6m2, diện tích sản khoảng 601,8m2. Công trình hiện chưa công n</w:t>
            </w:r>
            <w:r>
              <w:rPr>
                <w:rFonts w:ascii="Times New Roman" w:hAnsi="Times New Roman" w:eastAsia="Times New Roman" w:cs="Times New Roman"/>
                <w:color w:val="000000"/>
                <w:sz w:val="24"/>
              </w:rPr>
              <w:t xml:space="preserve">hận trên GCN QSDĐ số: CO 795398</w:t>
            </w:r>
            <w:r/>
          </w:p>
        </w:tc>
      </w:tr>
    </w:tbl>
    <w:p w14:paraId="4BA57E1E"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5918DEF2">
      <w:pPr>
        <w:pStyle w:val="1031"/>
        <w:numPr>
          <w:ilvl w:val="0"/>
          <w:numId w:val="40"/>
        </w:numPr>
        <w:pBdr>
          <w:top w:val="none" w:color="000000" w:sz="4" w:space="0"/>
          <w:left w:val="none" w:color="000000" w:sz="4" w:space="0"/>
          <w:bottom w:val="none" w:color="000000" w:sz="4" w:space="0"/>
          <w:right w:val="none" w:color="000000" w:sz="4" w:space="0"/>
        </w:pBdr>
        <w:spacing w:after="0"/>
        <w:ind w:right="0" w:hanging="360" w:left="425"/>
        <w:jc w:val="both"/>
        <w:rPr>
          <w:sz w:val="22"/>
        </w:rPr>
      </w:pPr>
      <w:r>
        <w:rPr>
          <w:rFonts w:ascii="Times New Roman" w:hAnsi="Times New Roman" w:eastAsia="Times New Roman" w:cs="Times New Roman"/>
          <w:color w:val="000000"/>
          <w:sz w:val="24"/>
        </w:rPr>
        <w:t xml:space="preserve">Tại thời điểm khảo sát, dưới sự hướng dẫn của chủ tài sản, Tổ thẩm định xác định trên đất có Nhà 03 tầng, xây dựng trên 2 thửa đất là 393 + 394 (khác chủ tài sản), diện tích xây dựng khoảng 200,6m2, diện tích sản khoảng 601,8m2. Công trình hiện chưa công n</w:t>
      </w:r>
      <w:r>
        <w:rPr>
          <w:rFonts w:ascii="Times New Roman" w:hAnsi="Times New Roman" w:eastAsia="Times New Roman" w:cs="Times New Roman"/>
          <w:color w:val="000000"/>
          <w:sz w:val="24"/>
        </w:rPr>
        <w:t xml:space="preserve">hận trên GCN QSDĐ số: CO 795398</w:t>
      </w:r>
      <w:r>
        <w:rPr>
          <w:highlight w:val="none"/>
          <w:lang w:val="pt-BR" w:bidi="pt-BR"/>
        </w:rPr>
        <w:t xml:space="preserve">. Đồng thời, tổ thẩm định cũng không đ</w:t>
      </w:r>
      <w:r>
        <w:rPr>
          <w:highlight w:val="none"/>
          <w:lang w:val="pt-BR" w:bidi="pt-BR"/>
        </w:rPr>
        <w:t xml:space="preserve">ược cung cấp bất cư giấy tờ pháp lý nào liên quan đến công trình xây dựng trên. Do vậy, theo đề nghị của Khách hàng/Ngân hàng, Tổ thẩm định không tính giá trị công trình vào giá trị tài sản nhưng vẫn coi đó là phần không thể tách rời của tài sản thẩm định</w:t>
      </w:r>
      <w:r>
        <w:rPr>
          <w:spacing w:val="-2"/>
          <w:highlight w:val="none"/>
          <w:lang w:val="pt-BR"/>
        </w:rPr>
        <w:t xml:space="preserve">.</w:t>
      </w:r>
      <w:r>
        <w:rPr>
          <w:sz w:val="22"/>
        </w:rPr>
      </w:r>
      <w:r>
        <w:rPr>
          <w:sz w:val="22"/>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1"/>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1"/>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31"/>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31"/>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1"/>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31"/>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7D2FFF">
            <w:pPr>
              <w:pBdr>
                <w:top w:val="none" w:color="000000" w:sz="4" w:space="0"/>
                <w:left w:val="none" w:color="000000" w:sz="4" w:space="0"/>
                <w:bottom w:val="none" w:color="000000" w:sz="4" w:space="0"/>
                <w:right w:val="none" w:color="000000" w:sz="4" w:space="0"/>
              </w:pBdr>
              <w:spacing w:after="0"/>
              <w:ind w:right="0" w:firstLine="0" w:left="0"/>
              <w:jc w:val="center"/>
              <w:rPr>
                <w:rFonts w:ascii="Calibri" w:hAnsi="Calibri" w:eastAsia="Calibri" w:cs="Calibri"/>
                <w:sz w:val="22"/>
              </w:rPr>
            </w:pPr>
            <w:r>
              <w:rPr>
                <w:rFonts w:ascii="Times New Roman" w:hAnsi="Times New Roman" w:eastAsia="Times New Roman" w:cs="Times New Roman"/>
                <w:color w:val="000000"/>
                <w:sz w:val="24"/>
              </w:rPr>
              <w:t xml:space="preserve">Đường số 2, KĐT Xương Rồng, phường Phan Đình Phùng, Tỉnh Thái Nguyên</w:t>
            </w:r>
            <w:r>
              <w:rPr>
                <w:rFonts w:ascii="Calibri" w:hAnsi="Calibri" w:eastAsia="Calibri" w:cs="Calibri"/>
                <w:sz w:val="22"/>
              </w:rPr>
            </w:r>
            <w:r>
              <w:rPr>
                <w:rFonts w:ascii="Calibri" w:hAnsi="Calibri" w:eastAsia="Calibri" w:cs="Calibri"/>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55B9F22">
            <w:pPr>
              <w:pBdr>
                <w:top w:val="none" w:color="000000" w:sz="4" w:space="0"/>
                <w:left w:val="none" w:color="000000" w:sz="4" w:space="0"/>
                <w:bottom w:val="none" w:color="000000" w:sz="4" w:space="0"/>
                <w:right w:val="none" w:color="000000" w:sz="4" w:space="0"/>
              </w:pBdr>
              <w:spacing w:after="0"/>
              <w:ind w:right="0" w:firstLine="0" w:left="0"/>
              <w:jc w:val="center"/>
              <w:rPr>
                <w:rFonts w:ascii="Calibri" w:hAnsi="Calibri" w:eastAsia="Calibri" w:cs="Calibri"/>
                <w:sz w:val="22"/>
              </w:rPr>
            </w:pPr>
            <w:r>
              <w:rPr>
                <w:rFonts w:ascii="Times New Roman" w:hAnsi="Times New Roman" w:eastAsia="Times New Roman" w:cs="Times New Roman"/>
                <w:color w:val="000000"/>
                <w:sz w:val="24"/>
              </w:rPr>
              <w:t xml:space="preserve">Đường số 4, KĐT Xương Rồng, phường Phan Đình Phùng, Tỉnh Thái Nguyên</w:t>
            </w:r>
            <w:r>
              <w:rPr>
                <w:rFonts w:ascii="Calibri" w:hAnsi="Calibri" w:eastAsia="Calibri" w:cs="Calibri"/>
                <w:sz w:val="22"/>
              </w:rPr>
            </w:r>
            <w:r>
              <w:rPr>
                <w:rFonts w:ascii="Calibri" w:hAnsi="Calibri" w:eastAsia="Calibri" w:cs="Calibri"/>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F978147">
            <w:pPr>
              <w:pBdr>
                <w:top w:val="none" w:color="000000" w:sz="4" w:space="0"/>
                <w:left w:val="none" w:color="000000" w:sz="4" w:space="0"/>
                <w:bottom w:val="none" w:color="000000" w:sz="4" w:space="0"/>
                <w:right w:val="none" w:color="000000" w:sz="4" w:space="0"/>
              </w:pBdr>
              <w:spacing w:after="0"/>
              <w:ind w:right="0" w:firstLine="0" w:left="0"/>
              <w:jc w:val="center"/>
              <w:rPr>
                <w:rFonts w:ascii="Calibri" w:hAnsi="Calibri" w:eastAsia="Calibri" w:cs="Calibri"/>
                <w:sz w:val="22"/>
              </w:rPr>
            </w:pPr>
            <w:r>
              <w:rPr>
                <w:rFonts w:ascii="Times New Roman" w:hAnsi="Times New Roman" w:eastAsia="Times New Roman" w:cs="Times New Roman"/>
                <w:color w:val="000000"/>
                <w:sz w:val="24"/>
              </w:rPr>
              <w:t xml:space="preserve">Đường số 3, KĐT Xương Rồng, phường Phan Đình Phùng, Tỉnh Thái Nguyên</w:t>
            </w:r>
            <w:r>
              <w:rPr>
                <w:rFonts w:ascii="Calibri" w:hAnsi="Calibri" w:eastAsia="Calibri" w:cs="Calibri"/>
                <w:sz w:val="22"/>
              </w:rPr>
            </w:r>
            <w:r>
              <w:rPr>
                <w:rFonts w:ascii="Calibri" w:hAnsi="Calibri" w:eastAsia="Calibri" w:cs="Calibri"/>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B1B45F6">
            <w:pPr>
              <w:pBdr>
                <w:top w:val="none" w:color="000000" w:sz="4" w:space="0"/>
                <w:left w:val="none" w:color="000000" w:sz="4" w:space="0"/>
                <w:bottom w:val="none" w:color="000000" w:sz="4" w:space="0"/>
                <w:right w:val="none" w:color="000000" w:sz="4" w:space="0"/>
              </w:pBdr>
              <w:spacing w:after="0"/>
              <w:ind w:right="0" w:firstLine="0" w:left="0"/>
              <w:jc w:val="center"/>
              <w:rPr>
                <w:rFonts w:ascii="Calibri" w:hAnsi="Calibri" w:eastAsia="Calibri" w:cs="Calibri"/>
                <w:sz w:val="22"/>
              </w:rPr>
            </w:pPr>
            <w:r>
              <w:rPr>
                <w:rFonts w:ascii="Times New Roman" w:hAnsi="Times New Roman" w:eastAsia="Times New Roman" w:cs="Times New Roman"/>
                <w:color w:val="000000"/>
                <w:sz w:val="24"/>
              </w:rPr>
              <w:t xml:space="preserve">Đường số 2, KĐT Xương Rồng, phường Phan Đình Phùng, Tỉnh Thái Nguyên</w:t>
            </w:r>
            <w:r>
              <w:rPr>
                <w:rFonts w:ascii="Calibri" w:hAnsi="Calibri" w:eastAsia="Calibri" w:cs="Calibri"/>
                <w:sz w:val="22"/>
              </w:rPr>
            </w:r>
            <w:r>
              <w:rPr>
                <w:rFonts w:ascii="Calibri" w:hAnsi="Calibri" w:eastAsia="Calibri" w:cs="Calibri"/>
                <w:sz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0969481076</w:t>
            </w:r>
            <w:r>
              <w:rPr>
                <w:sz w:val="22"/>
                <w:szCs w:val="22"/>
              </w:rPr>
              <w:t xml:space="preserve"> </w:t>
            </w:r>
            <w:r>
              <w:rPr>
                <w:sz w:val="22"/>
                <w:szCs w:val="22"/>
              </w:rPr>
              <w:br/>
              <w:t xml:space="preserve">(</w:t>
            </w:r>
            <w:r>
              <w:rPr>
                <w:sz w:val="22"/>
                <w:szCs w:val="22"/>
              </w:rPr>
              <w:t xml:space="preserve">Hằng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0969481076</w:t>
            </w:r>
            <w:r>
              <w:rPr>
                <w:sz w:val="22"/>
                <w:szCs w:val="22"/>
              </w:rPr>
              <w:br/>
            </w:r>
            <w:r>
              <w:rPr>
                <w:sz w:val="22"/>
                <w:szCs w:val="22"/>
              </w:rPr>
              <w:t xml:space="preserve">(</w:t>
            </w:r>
            <w:r>
              <w:rPr>
                <w:sz w:val="22"/>
                <w:szCs w:val="22"/>
              </w:rPr>
              <w:t xml:space="preserve">Hằng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0969481076</w:t>
            </w:r>
            <w:r>
              <w:rPr>
                <w:sz w:val="22"/>
                <w:szCs w:val="22"/>
              </w:rPr>
              <w:br/>
            </w:r>
            <w:r>
              <w:rPr>
                <w:sz w:val="22"/>
                <w:szCs w:val="22"/>
              </w:rPr>
              <w:t xml:space="preserve">(</w:t>
            </w:r>
            <w:r>
              <w:rPr>
                <w:sz w:val="22"/>
                <w:szCs w:val="22"/>
              </w:rPr>
              <w:t xml:space="preserve">Hoàng Hà</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BDDD2F">
            <w:pPr>
              <w:pBdr>
                <w:top w:val="none" w:color="000000" w:sz="4" w:space="0"/>
                <w:left w:val="none" w:color="000000" w:sz="4" w:space="0"/>
                <w:bottom w:val="none" w:color="000000" w:sz="4" w:space="0"/>
                <w:right w:val="none" w:color="000000" w:sz="4" w:space="0"/>
              </w:pBdr>
              <w:spacing w:after="0"/>
              <w:ind w:right="0" w:firstLine="0" w:left="0"/>
              <w:jc w:val="center"/>
              <w:rPr>
                <w:rFonts w:ascii="Calibri" w:hAnsi="Calibri" w:eastAsia="Calibri" w:cs="Calibri"/>
                <w:sz w:val="22"/>
              </w:rPr>
            </w:pPr>
            <w:r>
              <w:rPr>
                <w:color w:val="000000" w:themeColor="text1"/>
                <w:sz w:val="22"/>
                <w:szCs w:val="22"/>
              </w:rPr>
              <w:t xml:space="preserve">Tài sản tạ</w:t>
            </w:r>
            <w:r>
              <w:rPr>
                <w:color w:val="000000" w:themeColor="text1"/>
                <w:sz w:val="22"/>
                <w:szCs w:val="22"/>
              </w:rPr>
              <w:t xml:space="preserve">i: </w:t>
            </w:r>
            <w:r>
              <w:rPr>
                <w:rFonts w:ascii="Times New Roman" w:hAnsi="Times New Roman" w:eastAsia="Times New Roman" w:cs="Times New Roman"/>
                <w:color w:val="000000"/>
                <w:sz w:val="24"/>
              </w:rPr>
              <w:t xml:space="preserve">Đường số 2, KĐT Xương Rồng, phường Phan Đình Phùng, Tỉnh Thái Nguyên</w:t>
            </w:r>
            <w:r>
              <w:rPr>
                <w:color w:val="000000" w:themeColor="text1"/>
                <w:sz w:val="22"/>
                <w:szCs w:val="22"/>
              </w:rPr>
              <w:t xml:space="preserve">, khoảng cách ra đường chính Tiếp giáp đường số 2, cách Hồ khoảng 200mm, độ rộng đường trước mặt tài sản 12m, mặt tiền 6.9m, Tiếp giáp đường số 1, cách Hồ khoảng 200m, 21.5822557, 105.839245</w:t>
            </w:r>
            <w:r>
              <w:rPr>
                <w:rFonts w:ascii="Calibri" w:hAnsi="Calibri" w:eastAsia="Calibri" w:cs="Calibri"/>
                <w:sz w:val="22"/>
              </w:rPr>
            </w:r>
            <w:r>
              <w:rPr>
                <w:rFonts w:ascii="Calibri" w:hAnsi="Calibri" w:eastAsia="Calibri" w:cs="Calibri"/>
                <w:sz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C083140">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4, KĐT Xương Rồng, phường Phan Đình Phùng, Tỉnh Thái Nguyên</w:t>
            </w:r>
            <w:r>
              <w:rPr>
                <w:color w:val="000000" w:themeColor="text1"/>
                <w:sz w:val="22"/>
                <w:szCs w:val="22"/>
              </w:rPr>
              <w:t xml:space="preserve">, khoảng cách ra đường chính Tiếp giáp đường số 4, cách Hồ khoảng 100mm, độ rộng đường trước mặt tài sản 12m, mặt tiền 11.1m, Tiếp giáp đường số 4, cách Hồ khoảng 100m, 21.581447589729812, 105.83958295833588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502ADC">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3, KĐT Xương Rồng, phường Phan Đình Phùng, Tỉnh Thái Nguyên</w:t>
            </w:r>
            <w:r>
              <w:rPr>
                <w:color w:val="000000" w:themeColor="text1"/>
                <w:sz w:val="22"/>
                <w:szCs w:val="22"/>
              </w:rPr>
              <w:t xml:space="preserve">,</w:t>
            </w:r>
            <w:r>
              <w:rPr>
                <w:color w:val="000000" w:themeColor="text1"/>
                <w:sz w:val="22"/>
                <w:szCs w:val="22"/>
              </w:rPr>
              <w:t xml:space="preserve">khoảng cách ra đường chính Tiếp giáp Đường số 3, cách Hồ khoảng 100mm, độ rộng đường trước mặt tài sản 12m, mặt tiền 16.3m, Tiếp giáp Đường số 3, cách Hồ khoảng 100m, 21.583033875998968, 105.84193056177617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35AD72">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2, KĐT Xương Rồng, phường Phan Đình Phùng, Tỉnh Thái Nguyên</w:t>
            </w:r>
            <w:r>
              <w:rPr>
                <w:color w:val="000000" w:themeColor="text1"/>
                <w:sz w:val="22"/>
                <w:szCs w:val="22"/>
              </w:rPr>
              <w:t xml:space="preserve">, khoảng cách ra đường chính Tiếp giáp Đường số 1, cách Hồ khoảng 200mm, độ rộng đường trước mặt tài sản 12m, mặt tiền 7.09m, Tiếp giáp Đường số 1, cách Hồ khoảng 200m, 21.583303243639904, 105.8446744615984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99C778">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99C778">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99C778">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C8DB2">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C8DB2">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C8DB2">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114.11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165.17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104.3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16.3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7.09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13.600.000.000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16.500.000.000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7.822.500.000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12.240.000.000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14.850.000.000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7.040.250.000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12.240.000.000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14.850.000.000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7.040.250.000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89.907.368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0AC1E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0AC1E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0AC1E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0AC1E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0AC1E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0AC1E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0AC1E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0AC1E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0AC1E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12.240.000.000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14.850.000.000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7.040.250.000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89.907.368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89.907.368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89.907.368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89.907.368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7CDE6EC">
            <w:pPr>
              <w:pBdr>
                <w:top w:val="none" w:color="000000" w:sz="4" w:space="0"/>
                <w:left w:val="none" w:color="000000" w:sz="4" w:space="0"/>
                <w:bottom w:val="none" w:color="000000" w:sz="4" w:space="0"/>
                <w:right w:val="none" w:color="000000" w:sz="4" w:space="0"/>
              </w:pBdr>
              <w:spacing w:after="0"/>
              <w:ind w:right="0" w:firstLine="0" w:left="0"/>
              <w:jc w:val="center"/>
              <w:rPr>
                <w:rFonts w:ascii="Calibri" w:hAnsi="Calibri" w:eastAsia="Calibri" w:cs="Calibri"/>
                <w:sz w:val="22"/>
              </w:rPr>
            </w:pPr>
            <w:r>
              <w:rPr>
                <w:color w:val="000000" w:themeColor="text1"/>
                <w:sz w:val="22"/>
                <w:szCs w:val="22"/>
              </w:rPr>
              <w:t xml:space="preserve">Tài sản tạ</w:t>
            </w:r>
            <w:r>
              <w:rPr>
                <w:color w:val="000000" w:themeColor="text1"/>
                <w:sz w:val="22"/>
                <w:szCs w:val="22"/>
              </w:rPr>
              <w:t xml:space="preserve">i: </w:t>
            </w:r>
            <w:r>
              <w:rPr>
                <w:rFonts w:ascii="Times New Roman" w:hAnsi="Times New Roman" w:eastAsia="Times New Roman" w:cs="Times New Roman"/>
                <w:color w:val="000000"/>
                <w:sz w:val="24"/>
              </w:rPr>
              <w:t xml:space="preserve">Đường số 2, KĐT Xương Rồng, phường Phan Đình Phùng, Tỉnh Thái Nguyên</w:t>
            </w:r>
            <w:r>
              <w:rPr>
                <w:color w:val="000000" w:themeColor="text1"/>
                <w:sz w:val="22"/>
                <w:szCs w:val="22"/>
              </w:rPr>
              <w:t xml:space="preserve">, khoảng cách ra đường chính Tiếp giáp đường số 2, cách Hồ khoảng 200mm, độ rộng đường trước mặt tài sản 12m, mặt tiền 6.9m, Tiếp giáp đường số 1, cách Hồ khoảng 200m, 21.5822557, 105.839245</w:t>
            </w:r>
            <w:r>
              <w:rPr>
                <w:rFonts w:ascii="Calibri" w:hAnsi="Calibri" w:eastAsia="Calibri" w:cs="Calibri"/>
                <w:sz w:val="22"/>
              </w:rPr>
            </w:r>
            <w:r>
              <w:rPr>
                <w:rFonts w:ascii="Calibri" w:hAnsi="Calibri" w:eastAsia="Calibri" w:cs="Calibri"/>
                <w:sz w:val="22"/>
              </w:rPr>
            </w:r>
          </w:p>
        </w:tc>
        <w:tc>
          <w:tcPr>
            <w:shd w:val="clear" w:color="000000" w:fill="ffffff"/>
            <w:tcBorders/>
            <w:tcW w:w="1522" w:type="dxa"/>
            <w:vAlign w:val="center"/>
            <w:textDirection w:val="lrTb"/>
            <w:noWrap w:val="false"/>
          </w:tcPr>
          <w:p w14:paraId="0EA2E1AC">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4, KĐT Xương Rồng, phường Phan Đình Phùng, Tỉnh Thái Nguyên</w:t>
            </w:r>
            <w:r>
              <w:rPr>
                <w:color w:val="000000" w:themeColor="text1"/>
                <w:sz w:val="22"/>
                <w:szCs w:val="22"/>
              </w:rPr>
              <w:t xml:space="preserve">, khoảng cách ra đường chính Tiếp giáp đường số 4, cách Hồ khoảng 100mm, độ rộng đường trước mặt tài sản 12m, mặt tiền 11.1m, Tiếp giáp đường số 4, cách Hồ khoảng 100m, 21.581447589729812, 105.83958295833588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E6326D3">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3, KĐT Xương Rồng, phường Phan Đình Phùng, Tỉnh Thái Nguyên</w:t>
            </w:r>
            <w:r>
              <w:rPr>
                <w:color w:val="000000" w:themeColor="text1"/>
                <w:sz w:val="22"/>
                <w:szCs w:val="22"/>
              </w:rPr>
              <w:t xml:space="preserve">,</w:t>
            </w:r>
            <w:r>
              <w:rPr>
                <w:color w:val="000000" w:themeColor="text1"/>
                <w:sz w:val="22"/>
                <w:szCs w:val="22"/>
              </w:rPr>
              <w:t xml:space="preserve">khoảng cách ra đường chính Tiếp giáp Đường số 3, cách Hồ khoảng 100mm, độ rộng đường trước mặt tài sản 12m, mặt tiền 16.3m, Tiếp giáp Đường số 3, cách Hồ khoảng 100m, 21.583033875998968, 105.84193056177617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891AF75">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2, KĐT Xương Rồng, phường Phan Đình Phùng, Tỉnh Thái Nguyên</w:t>
            </w:r>
            <w:r>
              <w:rPr>
                <w:color w:val="000000" w:themeColor="text1"/>
                <w:sz w:val="22"/>
                <w:szCs w:val="22"/>
              </w:rPr>
              <w:t xml:space="preserve">, khoảng cách ra đường chính Tiếp giáp Đường số 1, cách Hồ khoảng 200mm, độ rộng đường trước mặt tài sản 12m, mặt tiền 7.09m, Tiếp giáp Đường số 1, cách Hồ khoảng 200m, 21.583303243639904, 105.8446744615984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-11.475.000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-8.990.737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65.025.000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80.916.631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65.025.000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80.916.631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65.025.000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80.916.631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gridAfter w:val="6"/>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BEDBA1D">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BEDBA1D">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BEDBA1D">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65.025.000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80.916.631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439CCA6">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439CCA6">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439CCA6">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65.025.000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80.916.631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114.11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165.17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104.3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7.650.000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8.990.737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72.675.000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89.907.368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67.500.000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16.3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7.09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2.295.000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-4.495.368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6.750.000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74.970.000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85.412.000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74.250.000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8.78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14.41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14.71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74.970.000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85.412.000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74.250.000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-13.486.105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74.970.000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71.925.895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74.250.000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74.970.000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71.925.895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74.250.000</w:t>
            </w:r>
            <w:r>
              <w:rPr>
                <w:color w:val="000000"/>
                <w:sz w:val="22"/>
                <w:szCs w:val="22"/>
              </w:rPr>
            </w:r>
            <w:r>
              <w:rPr>
                <w:color w:val="000000"/>
                <w:sz w:val="22"/>
                <w:szCs w:val="22"/>
              </w:rPr>
            </w:r>
          </w:p>
        </w:tc>
      </w:tr>
      <w:tr>
        <w:trPr>
          <w:gridAfter w:val="6"/>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74.970.000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71.925.895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74.250.000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74.970.000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71.925.895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74.250.000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73.715.298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-2.43%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0.73%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21.420.000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35.962.947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6.750.000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1.530.000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17.981.473</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6.750.000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-2.43</w:t>
      </w:r>
      <w:r>
        <w:t xml:space="preserve">% </w:t>
      </w:r>
      <w:r>
        <w:t xml:space="preserve">đến</w:t>
      </w:r>
      <w:r>
        <w:t xml:space="preserve"> </w:t>
      </w:r>
      <w:r>
        <w:t xml:space="preserve"> </w:t>
      </w:r>
      <w:r>
        <w:t xml:space="preserve">1.7</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74.970.000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24.994.998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71.925.895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23.972.901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74.250.000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24.747.525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73.715.424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73.715.000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73.715.000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31"/>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31"/>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12/2025</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1910"/>
        <w:gridCol w:w="1917"/>
        <w:gridCol w:w="2581"/>
        <w:gridCol w:w="2164"/>
      </w:tblGrid>
      <w:tr>
        <w:trPr>
          <w:trHeight w:val="20"/>
        </w:trPr>
        <w:tc>
          <w:tcPr>
            <w:shd w:val="clear" w:color="000000" w:fill="ffffff"/>
            <w:tcBorders/>
            <w:tcW w:w="952" w:type="dxa"/>
            <w:vAlign w:val="center"/>
            <w:textDirection w:val="lrTb"/>
            <w:noWrap w:val="false"/>
          </w:tcPr>
          <w:p w14:paraId="220624CB">
            <w:pPr>
              <w:pBdr/>
              <w:spacing w:after="40" w:before="40" w:line="288" w:lineRule="auto"/>
              <w:ind/>
              <w:jc w:val="center"/>
              <w:rPr>
                <w:b/>
                <w:bCs/>
              </w:rPr>
            </w:pPr>
            <w:r>
              <w:rPr>
                <w:b/>
                <w:bCs/>
              </w:rPr>
              <w:t xml:space="preserve">TT</w:t>
            </w:r>
            <w:r>
              <w:rPr>
                <w:b/>
                <w:bCs/>
              </w:rPr>
            </w:r>
            <w:r>
              <w:rPr>
                <w:b/>
                <w:bCs/>
              </w:rPr>
            </w:r>
          </w:p>
        </w:tc>
        <w:tc>
          <w:tcPr>
            <w:shd w:val="clear" w:color="000000" w:fill="ffffff"/>
            <w:tcBorders/>
            <w:tcW w:w="1910" w:type="dxa"/>
            <w:vAlign w:val="center"/>
            <w:textDirection w:val="lrTb"/>
            <w:noWrap w:val="false"/>
          </w:tcPr>
          <w:p w14:paraId="10EF0F9A">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917" w:type="dxa"/>
            <w:vAlign w:val="center"/>
            <w:textDirection w:val="lrTb"/>
            <w:noWrap w:val="false"/>
          </w:tcPr>
          <w:p w14:paraId="6A9F2BA3">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14:paraId="058C14BE">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193834CA">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14:paraId="562885B6">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22E38263">
            <w:pPr>
              <w:pBdr/>
              <w:spacing w:after="40" w:before="40" w:line="288" w:lineRule="auto"/>
              <w:ind/>
              <w:jc w:val="both"/>
              <w:rPr>
                <w:b/>
                <w:bCs/>
              </w:rPr>
            </w:pPr>
            <w:r>
              <w:rPr>
                <w:color w:val="000000"/>
              </w:rPr>
            </w:r>
            <w:r>
              <w:rPr>
                <w:b w:val="0"/>
                <w:bCs w:val="0"/>
              </w:rPr>
              <w:t xml:space="preserve">Quyền sử dụng đất tại thửa đất số: 393, tờ bản đồ số: 42, có địa chỉ: Phường Phan Đình Phùng, thành phố Thái Nguyên, tỉnh Thái Nguyên (nay là phường Phan Đình Phùng, Tỉnh Thái Nguyên) theo Giấy chứng nhận quyền sử dụng đất, quyền sở hữu nhà ở và tài sản khác g</w:t>
            </w:r>
            <w:r>
              <w:rPr>
                <w:b w:val="0"/>
                <w:bCs w:val="0"/>
              </w:rPr>
              <w:t xml:space="preserve">ắn liền với đất  số: CO 795398, Số vào sổ cấp GCN: 00608/MCN do Sở tài nguyên và môi trường tỉnh Thái Nguyên cấp ngày 05/09/2018; chủ sử dụng đất là Bà Phạm Thị Bích Thúy</w:t>
            </w:r>
            <w:r>
              <w:rPr>
                <w:b/>
                <w:bCs/>
              </w:rPr>
              <w:t xml:space="preserve">.</w:t>
            </w:r>
            <w:r>
              <w:rPr>
                <w:b/>
                <w:bCs/>
              </w:rPr>
            </w:r>
            <w:r>
              <w:rPr>
                <w:b/>
                <w:bCs/>
              </w:rPr>
            </w:r>
          </w:p>
        </w:tc>
        <w:tc>
          <w:tcPr>
            <w:shd w:val="clear" w:color="000000" w:fill="ffffff"/>
            <w:tcBorders/>
            <w:tcW w:w="2164" w:type="dxa"/>
            <w:vAlign w:val="center"/>
            <w:textDirection w:val="lrTb"/>
            <w:noWrap w:val="false"/>
          </w:tcPr>
          <w:p w14:paraId="46AD61A2">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1D3921A1">
            <w:pPr>
              <w:pBdr/>
              <w:spacing w:after="40" w:before="40" w:line="288" w:lineRule="auto"/>
              <w:ind/>
              <w:jc w:val="center"/>
              <w:rPr/>
            </w:pPr>
            <w:r>
              <w:rPr>
                <w:b/>
                <w:bCs/>
              </w:rPr>
              <w:t xml:space="preserve">1</w:t>
            </w:r>
            <w:r/>
          </w:p>
        </w:tc>
        <w:tc>
          <w:tcPr>
            <w:shd w:val="clear" w:color="000000" w:fill="ffffff"/>
            <w:tcBorders/>
            <w:tcW w:w="1910" w:type="dxa"/>
            <w:vAlign w:val="center"/>
            <w:textDirection w:val="lrTb"/>
            <w:noWrap w:val="false"/>
          </w:tcPr>
          <w:p w14:paraId="370DC4A8">
            <w:pPr>
              <w:pBdr/>
              <w:spacing w:after="40" w:before="40" w:line="288" w:lineRule="auto"/>
              <w:ind/>
              <w:rPr/>
            </w:pPr>
            <w:r>
              <w:rPr>
                <w:b/>
                <w:bCs/>
              </w:rPr>
              <w:t xml:space="preserve">Đất ở tại đô thị</w:t>
            </w:r>
            <w:r/>
          </w:p>
        </w:tc>
        <w:tc>
          <w:tcPr>
            <w:tcBorders/>
            <w:tcW w:w="1917" w:type="dxa"/>
            <w:vAlign w:val="center"/>
            <w:textDirection w:val="lrTb"/>
            <w:noWrap/>
          </w:tcPr>
          <w:p w14:paraId="3EC68181">
            <w:pPr>
              <w:pBdr/>
              <w:spacing w:after="40" w:before="40" w:line="288" w:lineRule="auto"/>
              <w:ind/>
              <w:jc w:val="center"/>
              <w:rPr>
                <w:color w:val="000000"/>
              </w:rPr>
            </w:pPr>
            <w:r>
              <w:rPr>
                <w:color w:val="000000" w:themeColor="text1"/>
              </w:rPr>
              <w:t xml:space="preserve">114.11</w:t>
            </w:r>
            <w:r>
              <w:rPr>
                <w:color w:val="000000"/>
              </w:rPr>
            </w:r>
            <w:r>
              <w:rPr>
                <w:color w:val="000000"/>
              </w:rPr>
            </w:r>
          </w:p>
        </w:tc>
        <w:tc>
          <w:tcPr>
            <w:shd w:val="clear" w:color="000000" w:fill="ffffff"/>
            <w:tcBorders/>
            <w:tcW w:w="2581" w:type="dxa"/>
            <w:vAlign w:val="center"/>
            <w:textDirection w:val="lrTb"/>
            <w:noWrap w:val="false"/>
          </w:tcPr>
          <w:p w14:paraId="3D17D0EE">
            <w:pPr>
              <w:pBdr/>
              <w:spacing w:after="40" w:before="40" w:line="288" w:lineRule="auto"/>
              <w:ind/>
              <w:jc w:val="center"/>
              <w:rPr/>
            </w:pPr>
            <w:r>
              <w:rPr>
                <w:color w:val="000000" w:themeColor="text1"/>
              </w:rPr>
              <w:t xml:space="preserve">73.715.000</w:t>
            </w:r>
            <w:r/>
          </w:p>
        </w:tc>
        <w:tc>
          <w:tcPr>
            <w:shd w:val="clear" w:color="000000" w:fill="ffffff"/>
            <w:tcBorders/>
            <w:tcW w:w="2164" w:type="dxa"/>
            <w:vAlign w:val="center"/>
            <w:textDirection w:val="lrTb"/>
            <w:noWrap w:val="false"/>
          </w:tcPr>
          <w:p w14:paraId="4DB43C87">
            <w:pPr>
              <w:pBdr/>
              <w:spacing w:after="40" w:before="40" w:line="288" w:lineRule="auto"/>
              <w:ind/>
              <w:jc w:val="center"/>
              <w:rPr/>
            </w:pPr>
            <w:r>
              <w:rPr>
                <w:color w:val="000000" w:themeColor="text1"/>
              </w:rPr>
              <w:t xml:space="preserve">8.411.618.650</w:t>
            </w:r>
            <w:r/>
          </w:p>
        </w:tc>
      </w:tr>
      <w:tr>
        <w:trPr>
          <w:trHeight w:val="20"/>
        </w:trPr>
        <w:tc>
          <w:tcPr>
            <w:gridSpan w:val="4"/>
            <w:tcBorders/>
            <w:tcW w:w="7361" w:type="dxa"/>
            <w:vAlign w:val="center"/>
            <w:textDirection w:val="lrTb"/>
            <w:noWrap/>
          </w:tcPr>
          <w:p w14:paraId="1CAF9C1F">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3409A80B">
            <w:pPr>
              <w:pBdr/>
              <w:spacing w:after="40" w:before="40" w:line="288" w:lineRule="auto"/>
              <w:ind/>
              <w:jc w:val="center"/>
              <w:rPr>
                <w:b/>
                <w:bCs/>
                <w:color w:val="000000"/>
              </w:rPr>
            </w:pPr>
            <w:r>
              <w:t xml:space="preserve">8.411.618.650</w:t>
            </w:r>
            <w:r>
              <w:rPr>
                <w:b/>
                <w:bCs/>
                <w:color w:val="000000"/>
              </w:rPr>
            </w:r>
            <w:r>
              <w:rPr>
                <w:b/>
                <w:bCs/>
                <w:color w:val="000000"/>
              </w:rPr>
            </w:r>
          </w:p>
        </w:tc>
      </w:tr>
      <w:tr>
        <w:trPr>
          <w:trHeight w:val="20"/>
        </w:trPr>
        <w:tc>
          <w:tcPr>
            <w:gridSpan w:val="5"/>
            <w:tcBorders/>
            <w:tcW w:w="9525" w:type="dxa"/>
            <w:vAlign w:val="center"/>
            <w:textDirection w:val="lrTb"/>
            <w:noWrap w:val="false"/>
          </w:tcPr>
          <w:p w14:paraId="34E23C92">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tỷ bốn trăm mười một triệu sáu trăm mười tám nghìn sáu trăm năm mươi đồng</w:t>
            </w:r>
            <w:r>
              <w:rPr>
                <w:b/>
                <w:bCs/>
                <w:i/>
                <w:iCs/>
                <w:color w:val="000000"/>
              </w:rPr>
              <w:t xml:space="preserve">./.)</w:t>
            </w:r>
            <w:r>
              <w:rPr>
                <w:b/>
                <w:bCs/>
                <w:i/>
                <w:iCs/>
                <w:color w:val="000000"/>
              </w:rPr>
            </w:r>
            <w:r>
              <w:rPr>
                <w:b/>
                <w:bCs/>
                <w:i/>
                <w:iCs/>
                <w:color w:val="000000"/>
              </w:rPr>
            </w:r>
          </w:p>
        </w:tc>
      </w:tr>
    </w:tbl>
    <w:p w14:paraId="187E2E91" w14:textId="56B58432">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1"/>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1"/>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31"/>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31"/>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31"/>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31"/>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31"/>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31"/>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31"/>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31"/>
        <w:numPr>
          <w:ilvl w:val="0"/>
          <w:numId w:val="5"/>
        </w:numPr>
        <w:pBdr/>
        <w:tabs>
          <w:tab w:val="left" w:leader="none" w:pos="993"/>
        </w:tabs>
        <w:spacing w:after="120" w:before="120" w:line="288" w:lineRule="auto"/>
        <w:ind/>
        <w:jc w:val="both"/>
        <w:rPr>
          <w:bCs/>
          <w:spacing w:val="-2"/>
          <w:lang w:val="pt-BR"/>
        </w:rPr>
      </w:pPr>
      <w:r>
        <w:rPr>
          <w:bCs/>
          <w:spacing w:val="-2"/>
          <w:lang w:val="pt-BR"/>
        </w:rPr>
      </w:r>
      <w:r>
        <w:rPr>
          <w:rFonts w:ascii="Times New Roman" w:hAnsi="Times New Roman" w:eastAsia="Times New Roman" w:cs="Times New Roman"/>
          <w:color w:val="000000"/>
          <w:sz w:val="24"/>
        </w:rPr>
        <w:t xml:space="preserve">Tại thời điểm khảo sát, dưới sự hướng dẫn của chủ tài sản, Tổ thẩm định xác định trên đất có Nhà 03 tầng, xây dựng trên 2 thửa đất là 393 + 394 (khác chủ tài sản), diện tích xây dựng khoảng 200,6m2, diện tích sản khoảng 601,8m2. Công trình hiện chưa công n</w:t>
      </w:r>
      <w:r>
        <w:rPr>
          <w:rFonts w:ascii="Times New Roman" w:hAnsi="Times New Roman" w:eastAsia="Times New Roman" w:cs="Times New Roman"/>
          <w:color w:val="000000"/>
          <w:sz w:val="24"/>
        </w:rPr>
        <w:t xml:space="preserve">hận trên GCN QSDĐ số: CO 795398</w:t>
      </w:r>
      <w:r>
        <w:rPr>
          <w:highlight w:val="none"/>
          <w:lang w:val="pt-BR" w:bidi="pt-BR"/>
        </w:rPr>
        <w:t xml:space="preserve">. Đồng thời, tổ thẩm định cũng không đ</w:t>
      </w:r>
      <w:r>
        <w:rPr>
          <w:highlight w:val="none"/>
          <w:lang w:val="pt-BR" w:bidi="pt-BR"/>
        </w:rPr>
        <w:t xml:space="preserve">ược cung cấp bất cư giấy tờ pháp lý nào liên quan đến công trình xây dựng trên. Do vậy, theo đề nghị của Khách hàng/Ngân hàng, Tổ thẩm định không tính giá trị công trình vào giá trị tài sản nhưng vẫn coi đó là phần không thể tách rời của tài sản thẩm định</w:t>
      </w:r>
      <w:r>
        <w:rPr>
          <w:bCs/>
          <w:spacing w:val="-2"/>
          <w:lang w:val="pt-BR"/>
        </w:rPr>
        <w:t xml:space="preserve">.</w:t>
      </w:r>
      <w:r>
        <w:rPr>
          <w:bCs/>
          <w:spacing w:val="-2"/>
          <w:lang w:val="pt-BR"/>
        </w:rPr>
      </w:r>
      <w:r>
        <w:rPr>
          <w:bCs/>
          <w:spacing w:val="-2"/>
          <w:lang w:val="pt-BR"/>
        </w:rPr>
      </w:r>
    </w:p>
    <w:p w14:paraId="0F9E384F" w14:textId="63102E36">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31"/>
        <w:pBdr/>
        <w:tabs>
          <w:tab w:val="left" w:leader="none" w:pos="993"/>
        </w:tabs>
        <w:spacing w:after="120" w:before="120" w:line="288"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highlight w:val="none"/>
          <w:lang w:val="pt-BR"/>
        </w:rPr>
      </w:r>
      <w:r>
        <w:rPr>
          <w:highlight w:val="none"/>
          <w:lang w:val="pt-BR"/>
        </w:rPr>
      </w:r>
    </w:p>
    <w:p w14:paraId="2F59000D">
      <w:pPr>
        <w:pBdr/>
        <w:shd w:val="nil" w:color="auto"/>
        <w:spacing/>
        <w:ind/>
        <w:rPr>
          <w:lang w:val="pt-BR"/>
        </w:rPr>
      </w:pPr>
      <w:r>
        <w:rPr>
          <w:lang w:val="pt-BR"/>
        </w:rPr>
        <w:br w:type="page" w:clear="all"/>
      </w:r>
      <w:r>
        <w:rPr>
          <w:lang w:val="pt-BR"/>
        </w:rPr>
      </w:r>
      <w:r>
        <w:rPr>
          <w:lang w:val="pt-BR"/>
        </w:rPr>
      </w:r>
    </w:p>
    <w:p w14:paraId="699F9D9D" w14:textId="4418D349">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275/2025/1865/VFI-CT.44.A</w:t>
      </w:r>
      <w:r>
        <w:rPr>
          <w:color w:val="ff0000"/>
          <w:lang w:val="vi-VN"/>
        </w:rPr>
        <w:t xml:space="preserve"> </w:t>
      </w:r>
      <w:r>
        <w:rPr>
          <w:color w:val="000000" w:themeColor="text1"/>
        </w:rPr>
        <w:t xml:space="preserve">ngày 24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275/2025/1865/VFI-BC.44.A</w:t>
      </w:r>
      <w:r>
        <w:rPr>
          <w:i/>
          <w:lang w:val="pt-BR"/>
        </w:rPr>
        <w:t xml:space="preserve"> </w:t>
      </w:r>
      <w:r>
        <w:rPr>
          <w:i/>
          <w:lang w:val="pt-BR"/>
        </w:rPr>
        <w:t xml:space="preserve">ngày 24 tháng 12 năm 2025</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815"/>
        <w:gridCol w:w="5710"/>
      </w:tblGrid>
      <w:tr>
        <w:trPr/>
        <w:tc>
          <w:tcPr>
            <w:tcBorders/>
            <w:tcW w:w="3815" w:type="dxa"/>
            <w:vAlign w:val="center"/>
            <w:textDirection w:val="lrTb"/>
            <w:noWrap w:val="false"/>
          </w:tcPr>
          <w:p w14:paraId="179066BD" w14:textId="6DE757B9">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40369" cy="213027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469791" name=""/>
                              <pic:cNvPicPr>
                                <a:picLocks noChangeAspect="1"/>
                              </pic:cNvPicPr>
                              <pic:nvPr/>
                            </pic:nvPicPr>
                            <pic:blipFill rotWithShape="1">
                              <a:blip r:embed="rId19"/>
                              <a:stretch/>
                            </pic:blipFill>
                            <pic:spPr bwMode="auto">
                              <a:xfrm flipH="0" flipV="0">
                                <a:off x="0" y="0"/>
                                <a:ext cx="2840369" cy="21302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3.65pt;height:167.74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5710" w:type="dxa"/>
            <w:vAlign w:val="center"/>
            <w:textDirection w:val="lrTb"/>
            <w:noWrap w:val="false"/>
          </w:tcPr>
          <w:p w14:paraId="19C21C3B" w14:textId="44A305C8">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69539" cy="215215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64088" name=""/>
                              <pic:cNvPicPr>
                                <a:picLocks noChangeAspect="1"/>
                              </pic:cNvPicPr>
                              <pic:nvPr/>
                            </pic:nvPicPr>
                            <pic:blipFill rotWithShape="1">
                              <a:blip r:embed="rId20"/>
                              <a:stretch/>
                            </pic:blipFill>
                            <pic:spPr bwMode="auto">
                              <a:xfrm flipH="0" flipV="0">
                                <a:off x="0" y="0"/>
                                <a:ext cx="2869538" cy="21521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5.95pt;height:169.46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rHeight w:val="399"/>
        </w:trPr>
        <w:tc>
          <w:tcPr>
            <w:tcBorders/>
            <w:tcW w:w="3815"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0155" cy="215261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647338" name=""/>
                              <pic:cNvPicPr>
                                <a:picLocks noChangeAspect="1"/>
                              </pic:cNvPicPr>
                              <pic:nvPr/>
                            </pic:nvPicPr>
                            <pic:blipFill rotWithShape="1">
                              <a:blip r:embed="rId21"/>
                              <a:stretch/>
                            </pic:blipFill>
                            <pic:spPr bwMode="auto">
                              <a:xfrm flipH="0" flipV="0">
                                <a:off x="0" y="0"/>
                                <a:ext cx="2870154" cy="21526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00pt;height:169.5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5710"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71522" cy="222864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780876" name=""/>
                              <pic:cNvPicPr>
                                <a:picLocks noChangeAspect="1"/>
                              </pic:cNvPicPr>
                              <pic:nvPr/>
                            </pic:nvPicPr>
                            <pic:blipFill rotWithShape="1">
                              <a:blip r:embed="rId22"/>
                              <a:stretch/>
                            </pic:blipFill>
                            <pic:spPr bwMode="auto">
                              <a:xfrm flipH="0" flipV="0">
                                <a:off x="0" y="0"/>
                                <a:ext cx="2971521" cy="22286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3.98pt;height:175.4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3815" w:type="dxa"/>
            <w:vAlign w:val="center"/>
            <w:textDirection w:val="lrTb"/>
            <w:noWrap w:val="false"/>
          </w:tcPr>
          <w:p w14:paraId="5AC0874D" w14:textId="15ABBD8F">
            <w:pPr>
              <w:pBdr/>
              <w:tabs>
                <w:tab w:val="left" w:leader="none" w:pos="3358"/>
              </w:tabs>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321313" cy="309508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516266" name=""/>
                              <pic:cNvPicPr>
                                <a:picLocks noChangeAspect="1"/>
                              </pic:cNvPicPr>
                              <pic:nvPr/>
                            </pic:nvPicPr>
                            <pic:blipFill rotWithShape="1">
                              <a:blip r:embed="rId23"/>
                              <a:stretch/>
                            </pic:blipFill>
                            <pic:spPr bwMode="auto">
                              <a:xfrm flipH="0" flipV="0">
                                <a:off x="0" y="0"/>
                                <a:ext cx="2321313" cy="30950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2.78pt;height:243.7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5710" w:type="dxa"/>
            <w:vAlign w:val="center"/>
            <w:textDirection w:val="lrTb"/>
            <w:noWrap w:val="false"/>
          </w:tcPr>
          <w:p w14:paraId="27138059" w14:textId="68BD911C">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4380780" cy="328558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73515" name=""/>
                              <pic:cNvPicPr>
                                <a:picLocks noChangeAspect="1"/>
                              </pic:cNvPicPr>
                              <pic:nvPr/>
                            </pic:nvPicPr>
                            <pic:blipFill rotWithShape="1">
                              <a:blip r:embed="rId24"/>
                              <a:stretch/>
                            </pic:blipFill>
                            <pic:spPr bwMode="auto">
                              <a:xfrm flipH="0" flipV="0">
                                <a:off x="0" y="0"/>
                                <a:ext cx="4380779" cy="32855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344.94pt;height:258.71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D93BF12">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14:paraId="7BD0DAFD">
      <w:pPr>
        <w:pBdr/>
        <w:spacing/>
        <w:ind/>
        <w:jc w:val="center"/>
        <w:rPr>
          <w:i/>
          <w:lang w:val="pt-BR"/>
        </w:rPr>
      </w:pPr>
      <w:r>
        <w:rPr>
          <w:i/>
          <w:lang w:val="pt-BR"/>
        </w:rPr>
        <w:t xml:space="preserve">(Kèm theo Báo cáo thẩm định số </w:t>
      </w:r>
      <w:r>
        <w:rPr>
          <w:i/>
        </w:rPr>
        <w:t xml:space="preserve">275/2025/1865/VFI-BC.44.A</w:t>
      </w:r>
      <w:r>
        <w:rPr>
          <w:i/>
          <w:lang w:val="pt-BR"/>
        </w:rPr>
        <w:t xml:space="preserve"> </w:t>
      </w:r>
      <w:r>
        <w:rPr>
          <w:i/>
          <w:lang w:val="pt-BR"/>
        </w:rPr>
        <w:t xml:space="preserve">23 tháng 12 năm 2025</w:t>
      </w:r>
      <w:r>
        <w:rPr>
          <w:i/>
          <w:lang w:val="pt-BR"/>
        </w:rPr>
        <w:t xml:space="preserve"> </w:t>
      </w:r>
      <w:r>
        <w:rPr>
          <w:i/>
          <w:lang w:val="pt-BR"/>
        </w:rPr>
        <w:t xml:space="preserve">của </w:t>
      </w:r>
      <w:r>
        <w:rPr>
          <w:i/>
          <w:lang w:val="pt-BR"/>
        </w:rPr>
      </w:r>
      <w:r>
        <w:rPr>
          <w:i/>
          <w:lang w:val="pt-BR"/>
        </w:rPr>
      </w:r>
    </w:p>
    <w:p w14:paraId="1D518356">
      <w:pPr>
        <w:pBdr/>
        <w:spacing w:after="120"/>
        <w:ind/>
        <w:jc w:val="center"/>
        <w:rPr>
          <w:bCs/>
          <w:i/>
          <w:highlight w:val="none"/>
          <w:lang w:val="pt-BR"/>
        </w:rPr>
      </w:pPr>
      <w:r>
        <w:rPr>
          <w:i/>
          <w:lang w:val="pt-BR"/>
        </w:rPr>
        <w:t xml:space="preserve">Công ty Cổ phần Thẩm định và Đầu tư Tài chính Hoa Sen)</w:t>
      </w:r>
      <w:r>
        <w:rPr>
          <w:bCs/>
          <w:i/>
          <w:highlight w:val="none"/>
          <w:lang w:val="pt-BR"/>
        </w:rPr>
      </w:r>
      <w:r>
        <w:rPr>
          <w:bCs/>
          <w:i/>
          <w:highlight w:val="none"/>
          <w:lang w:val="pt-BR"/>
        </w:rPr>
      </w:r>
    </w:p>
    <w:p w14:paraId="7AD01C38">
      <w:pPr>
        <w:pBdr/>
        <w:spacing w:after="120"/>
        <w:ind/>
        <w:jc w:val="center"/>
        <w:rPr>
          <w:b/>
          <w:bCs/>
          <w:iCs/>
          <w:lang w:val="pt-BR"/>
        </w:rPr>
      </w:pPr>
      <w:r>
        <w:rPr>
          <w:b/>
          <w:bCs/>
          <w:iCs/>
          <w:lang w:val="pt-BR"/>
        </w:rPr>
        <w:t xml:space="preserve">TSSS1</w:t>
      </w:r>
      <w:r>
        <w:rPr>
          <w:b/>
          <w:bCs/>
          <w:iCs/>
          <w:lang w:val="pt-BR"/>
        </w:rPr>
      </w:r>
      <w:r>
        <w:rPr>
          <w:b/>
          <w:bCs/>
          <w:iCs/>
          <w:lang w:val="pt-BR"/>
        </w:rPr>
      </w:r>
    </w:p>
    <w:tbl>
      <w:tblPr>
        <w:tblW w:w="9386" w:type="dxa"/>
        <w:tblBorders/>
        <w:tblLayout w:type="fixed"/>
        <w:tblLook w:val="04A0" w:firstRow="1" w:lastRow="0" w:firstColumn="1" w:lastColumn="0" w:noHBand="0" w:noVBand="1"/>
      </w:tblPr>
      <w:tblGrid>
        <w:gridCol w:w="632"/>
        <w:gridCol w:w="3935"/>
        <w:gridCol w:w="4819"/>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0949CB74">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3935" w:type="dxa"/>
            <w:vAlign w:val="center"/>
            <w:textDirection w:val="lrTb"/>
            <w:noWrap w:val="false"/>
          </w:tcPr>
          <w:p w14:paraId="148A457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819" w:type="dxa"/>
            <w:vAlign w:val="center"/>
            <w:textDirection w:val="lrTb"/>
            <w:noWrap w:val="false"/>
          </w:tcPr>
          <w:p w14:paraId="6C3BE092">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1D825B63">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615D7490">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6CCD9F4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6E02409">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52DA35B4">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118ABFF4">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0969481076</w:t>
            </w:r>
            <w:r>
              <w:rPr>
                <w:sz w:val="22"/>
                <w:szCs w:val="22"/>
              </w:rPr>
              <w:t xml:space="preserve"> </w:t>
            </w:r>
            <w:r>
              <w:rPr>
                <w:sz w:val="22"/>
                <w:szCs w:val="22"/>
              </w:rPr>
              <w:br/>
              <w:t xml:space="preserve">(Hằng</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1D3224F">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4E311DF1">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1A5D4BD2">
            <w:pPr>
              <w:pBdr/>
              <w:spacing w:line="276" w:lineRule="auto"/>
              <w:ind/>
              <w:jc w:val="center"/>
              <w:rPr>
                <w:sz w:val="22"/>
                <w:szCs w:val="22"/>
              </w:rPr>
            </w:pPr>
            <w:r>
              <w:rPr>
                <w:color w:val="000000" w:themeColor="text1"/>
                <w:sz w:val="22"/>
                <w:szCs w:val="22"/>
              </w:rPr>
              <w:t xml:space="preserve">13.600.000.000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692066B">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28B0BE61">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5B1CE1DF">
            <w:pPr>
              <w:pBdr/>
              <w:spacing w:line="276" w:lineRule="auto"/>
              <w:ind/>
              <w:jc w:val="center"/>
              <w:rPr>
                <w:sz w:val="22"/>
                <w:szCs w:val="22"/>
              </w:rPr>
            </w:pPr>
            <w:r>
              <w:rPr>
                <w:color w:val="000000" w:themeColor="text1"/>
                <w:sz w:val="22"/>
                <w:szCs w:val="22"/>
              </w:rPr>
              <w:t xml:space="preserve">12.240.000.000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F9F1BF4">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308A2353">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4335E2E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02A4AA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7C0134F5">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2A9C9CDD">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E064D9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66D5CD3D">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1D74154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C382334">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133D0746">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0CEA93CF">
            <w:pPr>
              <w:pBdr/>
              <w:spacing w:line="276" w:lineRule="auto"/>
              <w:ind/>
              <w:jc w:val="center"/>
              <w:rPr>
                <w:sz w:val="22"/>
                <w:szCs w:val="22"/>
              </w:rPr>
            </w:pPr>
            <w:r>
              <w:rPr>
                <w:color w:val="000000" w:themeColor="text1"/>
                <w:sz w:val="22"/>
                <w:szCs w:val="22"/>
              </w:rPr>
              <w:t xml:space="preserve">Đất ở tại đô thị (160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E34F110">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0FD1F029">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3875451C">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E675686">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2E439938">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5BCA6D56">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4, KĐT Xương Rồng, phường Phan Đình Phùng, Tỉnh Thái Nguyên</w:t>
            </w:r>
            <w:r>
              <w:rPr>
                <w:color w:val="000000" w:themeColor="text1"/>
                <w:sz w:val="22"/>
                <w:szCs w:val="22"/>
              </w:rPr>
              <w:t xml:space="preserve">, khoảng cách ra đường chính Tiếp giáp đường số 4, cách Hồ khoảng 100mm, độ rộng đường trước mặt tài sản 12m, mặt tiền 11.1m, Tiếp giáp đường số 4, cách Hồ khoảng 100m, 21.581447589729812, 105.83958295833588</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468D72E">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74F0F902">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5003774C">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EC78FF4">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6AF280F9">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22D5EE9D">
            <w:pPr>
              <w:pBdr/>
              <w:spacing w:line="276" w:lineRule="auto"/>
              <w:ind/>
              <w:jc w:val="center"/>
              <w:rPr>
                <w:sz w:val="22"/>
                <w:szCs w:val="22"/>
              </w:rPr>
            </w:pPr>
            <w:r>
              <w:rPr>
                <w:color w:val="000000" w:themeColor="text1"/>
                <w:sz w:val="22"/>
                <w:szCs w:val="22"/>
              </w:rPr>
              <w:t xml:space="preserve">160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AC1E388">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6E60EE9E">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30F758EF">
            <w:pPr>
              <w:pBdr/>
              <w:spacing w:line="276" w:lineRule="auto"/>
              <w:ind/>
              <w:jc w:val="center"/>
              <w:rPr>
                <w:sz w:val="22"/>
                <w:szCs w:val="22"/>
              </w:rPr>
            </w:pPr>
            <w:r>
              <w:rPr>
                <w:color w:val="000000" w:themeColor="text1"/>
                <w:sz w:val="22"/>
                <w:szCs w:val="22"/>
              </w:rPr>
              <w:t xml:space="preserve">11.1</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7AB1CCD">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2EB25901">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3EB909FC">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8DFB719">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036EECED">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0AB8B14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71382D8">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0507E73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78CC1FB1">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D4E1EAE">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3935" w:type="dxa"/>
            <w:vAlign w:val="center"/>
            <w:textDirection w:val="lrTb"/>
            <w:noWrap w:val="false"/>
          </w:tcPr>
          <w:p w14:paraId="686AD7F3">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819" w:type="dxa"/>
            <w:vAlign w:val="center"/>
            <w:textDirection w:val="lrTb"/>
            <w:noWrap w:val="false"/>
          </w:tcPr>
          <w:p w14:paraId="0C16BD66">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AE3121E">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754" w:type="dxa"/>
            <w:vAlign w:val="center"/>
            <w:textDirection w:val="lrTb"/>
            <w:noWrap w:val="false"/>
          </w:tcPr>
          <w:p w14:paraId="7C7F56C0">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14:paraId="074B845B">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302509" cy="2555335"/>
                      <wp:effectExtent l="0" t="0" r="0" b="0"/>
                      <wp:docPr id="12" name=""/>
                      <wp:cNvGraphicFramePr/>
                      <a:graphic xmlns:a="http://schemas.openxmlformats.org/drawingml/2006/main">
                        <a:graphicData uri="http://schemas.openxmlformats.org/drawingml/2006/picture">
                          <pic:pic xmlns:pic="http://schemas.openxmlformats.org/drawingml/2006/picture">
                            <pic:nvPicPr>
                              <pic:cNvPr id="1668191354" name="" descr=""/>
                              <pic:cNvPicPr/>
                              <pic:nvPr/>
                            </pic:nvPicPr>
                            <pic:blipFill rotWithShape="1">
                              <a:blip r:embed="rId25"/>
                              <a:stretch/>
                            </pic:blipFill>
                            <pic:spPr bwMode="auto">
                              <a:xfrm flipH="0" flipV="0">
                                <a:off x="0" y="0"/>
                                <a:ext cx="3302507" cy="25553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60.04pt;height:201.21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684389E">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p>
        </w:tc>
      </w:tr>
    </w:tbl>
    <w:p w14:paraId="4C6D31F3">
      <w:pPr>
        <w:pBdr/>
        <w:spacing w:after="200" w:line="276" w:lineRule="auto"/>
        <w:ind/>
        <w:rPr>
          <w:b/>
          <w:bCs/>
          <w:lang w:val="pt-BR"/>
        </w:rPr>
      </w:pPr>
      <w:r>
        <w:rPr>
          <w:b/>
          <w:bCs/>
          <w:iCs/>
          <w:highlight w:val="none"/>
          <w:lang w:val="pt-BR"/>
        </w:rPr>
      </w:r>
      <w:r>
        <w:rPr>
          <w:b/>
          <w:bCs/>
          <w:lang w:val="pt-BR"/>
        </w:rPr>
      </w:r>
      <w:r>
        <w:rPr>
          <w:b/>
          <w:bCs/>
          <w:lang w:val="pt-BR"/>
        </w:rPr>
      </w:r>
    </w:p>
    <w:p w14:paraId="7BD393C2">
      <w:pPr>
        <w:pBdr/>
        <w:spacing w:after="200" w:line="276" w:lineRule="auto"/>
        <w:ind/>
        <w:jc w:val="center"/>
        <w:rPr>
          <w:b/>
          <w:bCs/>
          <w:iCs/>
          <w:highlight w:val="none"/>
          <w:lang w:val="pt-BR"/>
        </w:rPr>
      </w:pPr>
      <w:r>
        <w:rPr>
          <w:b/>
          <w:bCs/>
          <w:iCs/>
          <w:lang w:val="pt-BR"/>
        </w:rPr>
      </w:r>
      <w:r>
        <w:rPr>
          <w:b/>
          <w:bCs/>
          <w:iCs/>
          <w:lang w:val="pt-BR"/>
        </w:rPr>
        <w:t xml:space="preserve">TSSS2</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6394ACFC">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0B6919DA">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1A89412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13C589BE">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5682964">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9127536">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127036F">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850D43D">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42B52FD">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0969481076</w:t>
            </w:r>
            <w:r>
              <w:rPr>
                <w:sz w:val="22"/>
                <w:szCs w:val="22"/>
              </w:rPr>
              <w:t xml:space="preserve"> </w:t>
            </w:r>
            <w:r>
              <w:rPr>
                <w:sz w:val="22"/>
                <w:szCs w:val="22"/>
              </w:rPr>
              <w:br/>
              <w:t xml:space="preserve">(Hằng</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9B55DC6">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B9843BA">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FE201E2">
            <w:pPr>
              <w:pBdr/>
              <w:spacing w:line="276" w:lineRule="auto"/>
              <w:ind/>
              <w:jc w:val="center"/>
              <w:rPr>
                <w:sz w:val="22"/>
                <w:szCs w:val="22"/>
              </w:rPr>
            </w:pPr>
            <w:r>
              <w:rPr>
                <w:color w:val="000000" w:themeColor="text1"/>
                <w:sz w:val="22"/>
                <w:szCs w:val="22"/>
              </w:rPr>
              <w:t xml:space="preserve">16.500.000.000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FA21A5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ACBA1D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DB53A6E">
            <w:pPr>
              <w:pBdr/>
              <w:spacing w:line="276" w:lineRule="auto"/>
              <w:ind/>
              <w:jc w:val="center"/>
              <w:rPr>
                <w:sz w:val="22"/>
                <w:szCs w:val="22"/>
              </w:rPr>
            </w:pPr>
            <w:r>
              <w:rPr>
                <w:color w:val="000000" w:themeColor="text1"/>
                <w:sz w:val="22"/>
                <w:szCs w:val="22"/>
              </w:rPr>
              <w:t xml:space="preserve">14.850.000.000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43A64D4">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CA1AA18">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8F91653">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C7D593A">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E043CDF">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394BF18">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494DDDD">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596C5C9">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F0FEE43">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40ED5F1">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5CF1BFE">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3E91B68">
            <w:pPr>
              <w:pBdr/>
              <w:spacing w:line="276" w:lineRule="auto"/>
              <w:ind/>
              <w:jc w:val="center"/>
              <w:rPr>
                <w:sz w:val="22"/>
                <w:szCs w:val="22"/>
              </w:rPr>
            </w:pPr>
            <w:r>
              <w:rPr>
                <w:color w:val="000000" w:themeColor="text1"/>
                <w:sz w:val="22"/>
                <w:szCs w:val="22"/>
              </w:rPr>
              <w:t xml:space="preserve">Đất ở tại đô thị (165.17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1B3E5D1">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46D4E1D">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A5BFC50">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301145A">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19D5FF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C96D7D0">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3, KĐT Xương Rồng, phường Phan Đình Phùng, Tỉnh Thái Nguyên</w:t>
            </w:r>
            <w:r>
              <w:rPr>
                <w:color w:val="000000" w:themeColor="text1"/>
                <w:sz w:val="22"/>
                <w:szCs w:val="22"/>
              </w:rPr>
              <w:t xml:space="preserve">,</w:t>
            </w:r>
            <w:r>
              <w:rPr>
                <w:color w:val="000000" w:themeColor="text1"/>
                <w:sz w:val="22"/>
                <w:szCs w:val="22"/>
              </w:rPr>
              <w:t xml:space="preserve">khoảng cách ra đường chính Tiếp giáp Đường số 3, cách Hồ khoảng 100mm, độ rộng đường trước mặt tài sản 12m, mặt tiền 16.3m, Tiếp giáp Đường số 3, cách Hồ khoảng 100m, 21.583033875998968, 105.84193056177617</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32A8A79">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C0D4B86">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FA97279">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8F12AE0">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B43F240">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1F38997">
            <w:pPr>
              <w:pBdr/>
              <w:spacing w:line="276" w:lineRule="auto"/>
              <w:ind/>
              <w:jc w:val="center"/>
              <w:rPr>
                <w:sz w:val="22"/>
                <w:szCs w:val="22"/>
              </w:rPr>
            </w:pPr>
            <w:r>
              <w:rPr>
                <w:color w:val="000000" w:themeColor="text1"/>
                <w:sz w:val="22"/>
                <w:szCs w:val="22"/>
              </w:rPr>
              <w:t xml:space="preserve">165.17</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68A7151">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B5FD4EA">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4FFF20A">
            <w:pPr>
              <w:pBdr/>
              <w:spacing w:line="276" w:lineRule="auto"/>
              <w:ind/>
              <w:jc w:val="center"/>
              <w:rPr>
                <w:sz w:val="22"/>
                <w:szCs w:val="22"/>
              </w:rPr>
            </w:pPr>
            <w:r>
              <w:rPr>
                <w:color w:val="000000" w:themeColor="text1"/>
                <w:sz w:val="22"/>
                <w:szCs w:val="22"/>
              </w:rPr>
              <w:t xml:space="preserve">16.3</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3CFB7DE">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4C9D9A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26B1DF3">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A29D02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DFE43A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2D927DF">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C976CF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7D35D2A">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6DF576D">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DAFAE08">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658A266">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D2071E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3924FFA">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DA3C6D5">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E1378A1">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A06016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B206F4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F7F13F8">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2BF9F8A">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D4DD135">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DD7E9F3">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1224D44">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3B77105">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6E832AF">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C9162A9">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159DC9C1">
            <w:pPr>
              <w:pBdr/>
              <w:spacing w:line="276" w:lineRule="auto"/>
              <w:ind/>
              <w:rPr>
                <w:color w:val="000000"/>
                <w:sz w:val="22"/>
                <w:szCs w:val="22"/>
              </w:rPr>
            </w:pPr>
            <w:r>
              <w:rPr>
                <w:b/>
                <w:bCs/>
                <w:color w:val="000000"/>
                <w:sz w:val="22"/>
                <w:szCs w:val="22"/>
              </w:rPr>
            </w:r>
            <w:r>
              <mc:AlternateContent>
                <mc:Choice Requires="wpg">
                  <w:drawing>
                    <wp:inline xmlns:wp="http://schemas.openxmlformats.org/drawingml/2006/wordprocessingDrawing" distT="0" distB="0" distL="0" distR="0">
                      <wp:extent cx="2766856" cy="253628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991894" name=""/>
                              <pic:cNvPicPr>
                                <a:picLocks noChangeAspect="1"/>
                              </pic:cNvPicPr>
                              <pic:nvPr/>
                            </pic:nvPicPr>
                            <pic:blipFill rotWithShape="1">
                              <a:blip r:embed="rId26"/>
                              <a:stretch/>
                            </pic:blipFill>
                            <pic:spPr bwMode="auto">
                              <a:xfrm flipH="0" flipV="0">
                                <a:off x="0" y="0"/>
                                <a:ext cx="2766854" cy="25362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7.86pt;height:199.71pt;mso-wrap-distance-left:0.00pt;mso-wrap-distance-top:0.00pt;mso-wrap-distance-right:0.00pt;mso-wrap-distance-bottom:0.00pt;z-index:1;" stroked="false">
                      <v:imagedata r:id="rId26" o:title=""/>
                      <o:lock v:ext="edit" rotation="t"/>
                    </v:shape>
                  </w:pict>
                </mc:Fallback>
              </mc:AlternateContent>
            </w:r>
            <w:r>
              <mc:AlternateContent>
                <mc:Choice Requires="wpg">
                  <w:drawing>
                    <wp:inline xmlns:wp="http://schemas.openxmlformats.org/drawingml/2006/wordprocessingDrawing" distT="0" distB="0" distL="0" distR="0">
                      <wp:extent cx="2135483" cy="281251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816171" name=""/>
                              <pic:cNvPicPr>
                                <a:picLocks noChangeAspect="1"/>
                              </pic:cNvPicPr>
                              <pic:nvPr/>
                            </pic:nvPicPr>
                            <pic:blipFill rotWithShape="1">
                              <a:blip r:embed="rId27"/>
                              <a:stretch/>
                            </pic:blipFill>
                            <pic:spPr bwMode="auto">
                              <a:xfrm flipH="0" flipV="0">
                                <a:off x="0" y="0"/>
                                <a:ext cx="2135481" cy="28125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68.15pt;height:221.46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tc>
      </w:tr>
    </w:tbl>
    <w:p w14:paraId="2B39C79B">
      <w:pPr>
        <w:pBdr/>
        <w:spacing w:after="200" w:line="276" w:lineRule="auto"/>
        <w:ind/>
        <w:rPr>
          <w:lang w:val="pt-BR"/>
        </w:rPr>
      </w:pPr>
      <w:r>
        <w:rPr>
          <w:b/>
          <w:bCs/>
          <w:iCs/>
          <w:highlight w:val="none"/>
          <w:lang w:val="pt-BR"/>
        </w:rPr>
      </w:r>
      <w:r>
        <w:rPr>
          <w:lang w:val="pt-BR"/>
        </w:rPr>
      </w:r>
      <w:r>
        <w:rPr>
          <w:lang w:val="pt-BR"/>
        </w:rPr>
      </w:r>
    </w:p>
    <w:p w14:paraId="4AF59536">
      <w:pPr>
        <w:pBdr/>
        <w:spacing w:after="200" w:line="276" w:lineRule="auto"/>
        <w:ind/>
        <w:jc w:val="center"/>
        <w:rPr>
          <w:b/>
          <w:bCs/>
          <w:iCs/>
          <w:highlight w:val="none"/>
          <w:lang w:val="pt-BR"/>
        </w:rPr>
      </w:pPr>
      <w:r>
        <w:rPr>
          <w:iCs/>
          <w:lang w:val="pt-BR"/>
        </w:rPr>
      </w:r>
      <w:r>
        <w:rPr>
          <w:b/>
          <w:bCs/>
          <w:iCs/>
          <w:lang w:val="pt-BR"/>
        </w:rPr>
        <w:t xml:space="preserve">TSSS 3</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2C69447B">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04B05513">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10B61F1B">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5D717EB2">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73700E0">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8A282C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2F69346">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30047B0">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9F6F096">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0978487899</w:t>
            </w:r>
            <w:r>
              <w:rPr>
                <w:sz w:val="22"/>
                <w:szCs w:val="22"/>
              </w:rPr>
              <w:t xml:space="preserve"> </w:t>
            </w:r>
            <w:r>
              <w:rPr>
                <w:sz w:val="22"/>
                <w:szCs w:val="22"/>
              </w:rPr>
              <w:br/>
              <w:t xml:space="preserve">(Hoàng Hà</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3EEB50C">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0E3C1F6">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3D191F9">
            <w:pPr>
              <w:pBdr/>
              <w:spacing w:line="276" w:lineRule="auto"/>
              <w:ind/>
              <w:jc w:val="center"/>
              <w:rPr>
                <w:sz w:val="22"/>
                <w:szCs w:val="22"/>
              </w:rPr>
            </w:pPr>
            <w:r>
              <w:rPr>
                <w:color w:val="000000" w:themeColor="text1"/>
                <w:sz w:val="22"/>
                <w:szCs w:val="22"/>
              </w:rPr>
              <w:t xml:space="preserve">7.822.500.000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3CEE03F">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2864DC4">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2BB48D9">
            <w:pPr>
              <w:pBdr/>
              <w:spacing w:line="276" w:lineRule="auto"/>
              <w:ind/>
              <w:jc w:val="center"/>
              <w:rPr>
                <w:sz w:val="22"/>
                <w:szCs w:val="22"/>
              </w:rPr>
            </w:pPr>
            <w:r>
              <w:rPr>
                <w:color w:val="000000" w:themeColor="text1"/>
                <w:sz w:val="22"/>
                <w:szCs w:val="22"/>
              </w:rPr>
              <w:t xml:space="preserve">7.040.250.000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90B6BFF">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A279521">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11DD5ED">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8533D9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1212C9A">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CDAE98E">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584480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B9A9A83">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AD18840">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00DC259">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183F666">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9CDB4A9">
            <w:pPr>
              <w:pBdr/>
              <w:spacing w:line="276" w:lineRule="auto"/>
              <w:ind/>
              <w:jc w:val="center"/>
              <w:rPr>
                <w:sz w:val="22"/>
                <w:szCs w:val="22"/>
              </w:rPr>
            </w:pPr>
            <w:r>
              <w:rPr>
                <w:color w:val="000000" w:themeColor="text1"/>
                <w:sz w:val="22"/>
                <w:szCs w:val="22"/>
              </w:rPr>
              <w:t xml:space="preserve">Đất ở tại đô thị (104.3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9B900B5">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1A66B62">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11E014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AD5EF4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CC5B149">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341BE3A">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4"/>
              </w:rPr>
              <w:t xml:space="preserve">Đường số 2, KĐT Xương Rồng, phường Phan Đình Phùng, Tỉnh Thái Nguyên</w:t>
            </w:r>
            <w:r>
              <w:rPr>
                <w:color w:val="000000" w:themeColor="text1"/>
                <w:sz w:val="22"/>
                <w:szCs w:val="22"/>
              </w:rPr>
              <w:t xml:space="preserve">, khoảng cách ra đường chính Tiếp giáp Đường số 1, cách Hồ khoảng 200mm, độ rộng đường trước mặt tài sản 12m, mặt tiền 7.09m, Tiếp giáp Đường số 1, cách Hồ khoảng 200m, 21.583303243639904, 105.8446744615984</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E85CCA4">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6DCE392">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3F39F8D">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6A28EB3">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DC3643C">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FA3FF03">
            <w:pPr>
              <w:pBdr/>
              <w:spacing w:line="276" w:lineRule="auto"/>
              <w:ind/>
              <w:jc w:val="center"/>
              <w:rPr>
                <w:sz w:val="22"/>
                <w:szCs w:val="22"/>
              </w:rPr>
            </w:pPr>
            <w:r>
              <w:rPr>
                <w:color w:val="000000" w:themeColor="text1"/>
                <w:sz w:val="22"/>
                <w:szCs w:val="22"/>
              </w:rPr>
              <w:t xml:space="preserve">104.3</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5C3721B">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2A6107D">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BFA2575">
            <w:pPr>
              <w:pBdr/>
              <w:spacing w:line="276" w:lineRule="auto"/>
              <w:ind/>
              <w:jc w:val="center"/>
              <w:rPr>
                <w:sz w:val="22"/>
                <w:szCs w:val="22"/>
              </w:rPr>
            </w:pPr>
            <w:r>
              <w:rPr>
                <w:color w:val="000000" w:themeColor="text1"/>
                <w:sz w:val="22"/>
                <w:szCs w:val="22"/>
              </w:rPr>
              <w:t xml:space="preserve">7.09</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82AC708">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41698AA">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2AAAEC2">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DE2DD18">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B19455B">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F9F26CE">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8DE78E8">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EEEA5D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5C0DCF6">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80709C1">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22B3CC1">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8B04EF1">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0BA9B96">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03C8B52A">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602F12EB">
            <w:pPr>
              <w:pBdr/>
              <w:spacing w:line="276" w:lineRule="auto"/>
              <w:ind/>
              <w:jc w:val="center"/>
              <w:rPr>
                <w:b/>
                <w:bCs/>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3491473" cy="3094484"/>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684947" name=""/>
                              <pic:cNvPicPr>
                                <a:picLocks noChangeAspect="1"/>
                              </pic:cNvPicPr>
                              <pic:nvPr/>
                            </pic:nvPicPr>
                            <pic:blipFill rotWithShape="1">
                              <a:blip r:embed="rId28"/>
                              <a:stretch/>
                            </pic:blipFill>
                            <pic:spPr bwMode="auto">
                              <a:xfrm flipH="0" flipV="0">
                                <a:off x="0" y="0"/>
                                <a:ext cx="3491472" cy="30944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74.92pt;height:243.66pt;mso-wrap-distance-left:0.00pt;mso-wrap-distance-top:0.00pt;mso-wrap-distance-right:0.00pt;mso-wrap-distance-bottom:0.00pt;z-index:1;" stroked="false">
                      <v:imagedata r:id="rId28" o:title=""/>
                      <o:lock v:ext="edit" rotation="t"/>
                    </v:shape>
                  </w:pict>
                </mc:Fallback>
              </mc:AlternateContent>
            </w:r>
            <w:r>
              <mc:AlternateContent>
                <mc:Choice Requires="wpg">
                  <w:drawing>
                    <wp:inline xmlns:wp="http://schemas.openxmlformats.org/drawingml/2006/wordprocessingDrawing" distT="0" distB="0" distL="0" distR="0">
                      <wp:extent cx="5422560" cy="723008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548269" name=""/>
                              <pic:cNvPicPr>
                                <a:picLocks noChangeAspect="1"/>
                              </pic:cNvPicPr>
                              <pic:nvPr/>
                            </pic:nvPicPr>
                            <pic:blipFill rotWithShape="1">
                              <a:blip r:embed="rId29"/>
                              <a:stretch/>
                            </pic:blipFill>
                            <pic:spPr bwMode="auto">
                              <a:xfrm flipH="0" flipV="0">
                                <a:off x="0" y="0"/>
                                <a:ext cx="5422558" cy="72300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26.97pt;height:569.30pt;mso-wrap-distance-left:0.00pt;mso-wrap-distance-top:0.00pt;mso-wrap-distance-right:0.00pt;mso-wrap-distance-bottom:0.00pt;z-index:1;" stroked="false">
                      <v:imagedata r:id="rId29" o:title=""/>
                      <o:lock v:ext="edit" rotation="t"/>
                    </v:shape>
                  </w:pict>
                </mc:Fallback>
              </mc:AlternateContent>
            </w:r>
            <w:r>
              <w:rPr>
                <w:b/>
                <w:bCs/>
                <w:sz w:val="22"/>
                <w:szCs w:val="22"/>
              </w:rPr>
            </w:r>
            <w:r>
              <w:rPr>
                <w:b/>
                <w:bCs/>
                <w:sz w:val="22"/>
                <w:szCs w:val="22"/>
              </w:rPr>
            </w:r>
          </w:p>
        </w:tc>
      </w:tr>
    </w:tbl>
    <w:p w14:paraId="0C28CED5">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115BB99B">
            <w:pPr>
              <w:pBdr/>
              <w:spacing/>
              <w:ind/>
              <w:jc w:val="center"/>
              <w:rPr>
                <w:b/>
                <w:bCs/>
              </w:rPr>
            </w:pPr>
            <w:r>
              <w:rPr>
                <w:b/>
                <w:bCs/>
              </w:rPr>
            </w:r>
            <w:r>
              <w:rPr>
                <w:b/>
                <w:bCs/>
              </w:rPr>
            </w:r>
            <w:r>
              <w:rPr>
                <w:b/>
                <w:bCs/>
              </w:rPr>
            </w:r>
          </w:p>
        </w:tc>
        <w:tc>
          <w:tcPr>
            <w:tcBorders/>
            <w:tcW w:w="4776" w:type="dxa"/>
            <w:vAlign w:val="center"/>
            <w:textDirection w:val="lrTb"/>
            <w:noWrap/>
          </w:tcPr>
          <w:p w14:paraId="3741AD03">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1662486F">
            <w:pPr>
              <w:pBdr/>
              <w:spacing/>
              <w:ind/>
              <w:jc w:val="center"/>
              <w:rPr>
                <w:b/>
                <w:bCs/>
              </w:rPr>
            </w:pPr>
            <w:r>
              <w:rPr>
                <w:b/>
                <w:bCs/>
              </w:rPr>
            </w:r>
            <w:r>
              <w:rPr>
                <w:b/>
                <w:bCs/>
              </w:rPr>
            </w:r>
            <w:r>
              <w:rPr>
                <w:b/>
                <w:bCs/>
              </w:rPr>
            </w:r>
          </w:p>
        </w:tc>
        <w:tc>
          <w:tcPr>
            <w:tcBorders/>
            <w:tcW w:w="4776" w:type="dxa"/>
            <w:vAlign w:val="center"/>
            <w:textDirection w:val="lrTb"/>
            <w:noWrap/>
          </w:tcPr>
          <w:p w14:paraId="1AFEAF94">
            <w:pPr>
              <w:pBdr/>
              <w:spacing/>
              <w:ind/>
              <w:jc w:val="center"/>
              <w:rPr/>
            </w:pPr>
            <w:r>
              <w:t xml:space="preserve">Lê Đình Duy</w:t>
            </w:r>
            <w:r/>
          </w:p>
          <w:p w14:paraId="0F1F04A6">
            <w:pPr>
              <w:pBdr/>
              <w:spacing/>
              <w:ind/>
              <w:jc w:val="center"/>
              <w:rPr/>
            </w:pPr>
            <w:r/>
            <w:r/>
          </w:p>
          <w:p w14:paraId="4EC5F3B6">
            <w:pPr>
              <w:pBdr/>
              <w:spacing/>
              <w:ind/>
              <w:rPr/>
            </w:pPr>
            <w:r/>
            <w:r/>
          </w:p>
          <w:p w14:paraId="2BA34FD4">
            <w:pPr>
              <w:pBdr/>
              <w:spacing/>
              <w:ind/>
              <w:jc w:val="center"/>
              <w:rPr/>
            </w:pPr>
            <w:r/>
            <w:r/>
          </w:p>
          <w:p w14:paraId="21F9DB89">
            <w:pPr>
              <w:pBdr/>
              <w:spacing/>
              <w:ind/>
              <w:jc w:val="center"/>
              <w:rPr/>
            </w:pPr>
            <w:r/>
            <w:r/>
          </w:p>
          <w:p w14:paraId="31D47177">
            <w:pPr>
              <w:pBdr/>
              <w:spacing/>
              <w:ind/>
              <w:jc w:val="center"/>
              <w:rPr/>
            </w:pPr>
            <w:r/>
            <w:r/>
          </w:p>
        </w:tc>
      </w:tr>
      <w:tr>
        <w:trPr>
          <w:trHeight w:val="312"/>
        </w:trPr>
        <w:tc>
          <w:tcPr>
            <w:tcBorders/>
            <w:tcW w:w="4427" w:type="dxa"/>
            <w:vAlign w:val="bottom"/>
            <w:textDirection w:val="lrTb"/>
            <w:noWrap w:val="false"/>
          </w:tcPr>
          <w:p w14:paraId="1117C4FF">
            <w:pPr>
              <w:pBdr/>
              <w:spacing/>
              <w:ind/>
              <w:jc w:val="center"/>
              <w:rPr>
                <w:b/>
                <w:bCs/>
              </w:rPr>
            </w:pPr>
            <w:r>
              <w:rPr>
                <w:b/>
                <w:bCs/>
              </w:rPr>
            </w:r>
            <w:r>
              <w:rPr>
                <w:b/>
                <w:bCs/>
              </w:rPr>
            </w:r>
            <w:r>
              <w:rPr>
                <w:b/>
                <w:bCs/>
              </w:rPr>
            </w:r>
          </w:p>
        </w:tc>
        <w:tc>
          <w:tcPr>
            <w:tcBorders/>
            <w:tcW w:w="4776" w:type="dxa"/>
            <w:vAlign w:val="center"/>
            <w:textDirection w:val="lrTb"/>
            <w:noWrap/>
          </w:tcPr>
          <w:p w14:paraId="0633BCE4">
            <w:pPr>
              <w:pBdr/>
              <w:spacing/>
              <w:ind/>
              <w:jc w:val="center"/>
              <w:rPr>
                <w:b/>
                <w:bCs/>
              </w:rPr>
            </w:pPr>
            <w:r>
              <w:rPr>
                <w:b/>
                <w:bCs/>
              </w:rPr>
            </w:r>
            <w:r>
              <w:rPr>
                <w:b/>
                <w:bCs/>
              </w:rPr>
            </w:r>
            <w:r>
              <w:rPr>
                <w:b/>
                <w:bCs/>
              </w:rPr>
            </w:r>
          </w:p>
        </w:tc>
      </w:tr>
    </w:tbl>
    <w:p w14:paraId="2ACBFC93">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4343400" cy="559117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271708" name=""/>
                        <pic:cNvPicPr>
                          <a:picLocks noChangeAspect="1"/>
                        </pic:cNvPicPr>
                        <pic:nvPr/>
                      </pic:nvPicPr>
                      <pic:blipFill rotWithShape="1">
                        <a:blip r:embed="rId30"/>
                        <a:stretch/>
                      </pic:blipFill>
                      <pic:spPr bwMode="auto">
                        <a:xfrm>
                          <a:off x="0" y="0"/>
                          <a:ext cx="4343400" cy="55911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42.00pt;height:440.25pt;mso-wrap-distance-left:0.00pt;mso-wrap-distance-top:0.00pt;mso-wrap-distance-right:0.00pt;mso-wrap-distance-bottom:0.00pt;z-index:1;" stroked="false">
                <v:imagedata r:id="rId30" o:title=""/>
                <o:lock v:ext="edit" rotation="t"/>
              </v:shape>
            </w:pict>
          </mc:Fallback>
        </mc:AlternateContent>
      </w:r>
      <w:r>
        <w:rPr>
          <w:iCs/>
          <w:lang w:val="pt-BR"/>
        </w:rPr>
      </w:r>
      <w:r>
        <w:rPr>
          <w:iCs/>
          <w:lang w:val="pt-BR"/>
        </w:rPr>
      </w:r>
    </w:p>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A3CAD2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30BB055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30BB055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baodautu.vn/batdongsan/thai-nguyen----ngoi-sao-sang-tren-buc-tranh-bat-dong-san-vung-thu-do-d302063.html"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272</cp:revision>
  <dcterms:created xsi:type="dcterms:W3CDTF">2025-09-15T09:58:00Z</dcterms:created>
  <dcterms:modified xsi:type="dcterms:W3CDTF">2025-12-31T06:40:54Z</dcterms:modified>
</cp:coreProperties>
</file>