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9826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98267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275/2025/1799/VFI-CT.48.A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 hàng yêu cầu: </w:t>
                            </w:r>
                            <w:r>
                              <w:rPr>
                                <w:rFonts w:ascii="Times New Roman Bold" w:hAnsi="Times New Roman Bold"/>
                                <w:b/>
                                <w:bCs/>
                                <w:color w:val="000000" w:themeColor="text1"/>
                                <w:lang w:val="pt-BR"/>
                              </w:rPr>
                            </w:r>
                            <w:r>
                              <w:rPr>
                                <w:rFonts w:ascii="Times New Roman Bold" w:hAnsi="Times New Roman Bold"/>
                                <w:b/>
                                <w:bCs/>
                                <w:color w:val="000000" w:themeColor="text1"/>
                                <w:lang w:val="pt-BR"/>
                              </w:rPr>
                            </w:r>
                          </w:p>
                          <w:p w14:paraId="3B574FFE">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CÔNG TY CỔ PHẦN TRÍ VIỆT INVESTCONS</w:t>
                            </w:r>
                            <w:r>
                              <w:rPr>
                                <w:rFonts w:ascii="Times New Roman Bold" w:hAnsi="Times New Roman Bold"/>
                                <w:b/>
                                <w:bCs/>
                                <w:lang w:val="pt-BR"/>
                              </w:rPr>
                            </w:r>
                            <w:r>
                              <w:rPr>
                                <w:rFonts w:ascii="Times New Roman Bold" w:hAnsi="Times New Roman Bold"/>
                                <w:b/>
                                <w:bCs/>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229, tờ bản đồ số: 01 có địa chỉ: TT Viện điều tra QHR, xã Vĩnh Quỳnh, huyện Thanh Trì, thành phố Hà Nội (nay là số nhà 214 TT Viện điều tra QHR, xã Thanh Trì, thành phố Hà Nội</w:t>
                            </w:r>
                            <w:r>
                              <w:rPr>
                                <w:color w:val="000000"/>
                              </w:rPr>
                              <w:t xml:space="preserve">) theo Giấy chứng nhận quyền sử dụng đất quyền sở hữu nhà ở và tài sản khác gắn liền với đất số: CU 411510, số vào sổ cấp GCN: CS-TTR22192/CH00971 do Sở Tài nguyên và Môi trường Thành phố Hà Nội cấp ngày 17/01/2020; Chủ sử dụng đất là Bà Vương Thị Xuân</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13.6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275/2025/1799/VFI-CT.48.A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 hàng yêu cầu: </w:t>
                      </w:r>
                      <w:r>
                        <w:rPr>
                          <w:rFonts w:ascii="Times New Roman Bold" w:hAnsi="Times New Roman Bold"/>
                          <w:b/>
                          <w:bCs/>
                          <w:color w:val="000000" w:themeColor="text1"/>
                          <w:lang w:val="pt-BR"/>
                        </w:rPr>
                      </w:r>
                      <w:r>
                        <w:rPr>
                          <w:rFonts w:ascii="Times New Roman Bold" w:hAnsi="Times New Roman Bold"/>
                          <w:b/>
                          <w:bCs/>
                          <w:color w:val="000000" w:themeColor="text1"/>
                          <w:lang w:val="pt-BR"/>
                        </w:rPr>
                      </w:r>
                    </w:p>
                    <w:p w14:paraId="3B574FFE">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CÔNG TY CỔ PHẦN TRÍ VIỆT INVESTCONS</w:t>
                      </w:r>
                      <w:r>
                        <w:rPr>
                          <w:rFonts w:ascii="Times New Roman Bold" w:hAnsi="Times New Roman Bold"/>
                          <w:b/>
                          <w:bCs/>
                          <w:lang w:val="pt-BR"/>
                        </w:rPr>
                      </w:r>
                      <w:r>
                        <w:rPr>
                          <w:rFonts w:ascii="Times New Roman Bold" w:hAnsi="Times New Roman Bold"/>
                          <w:b/>
                          <w:bCs/>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229, tờ bản đồ số: 01 có địa chỉ: TT Viện điều tra QHR, xã Vĩnh Quỳnh, huyện Thanh Trì, thành phố Hà Nội (nay là số nhà 214 TT Viện điều tra QHR, xã Thanh Trì, thành phố Hà Nội</w:t>
                      </w:r>
                      <w:r>
                        <w:rPr>
                          <w:color w:val="000000"/>
                        </w:rPr>
                        <w:t xml:space="preserve">) theo Giấy chứng nhận quyền sử dụng đất quyền sở hữu nhà ở và tài sản khác gắn liền với đất số: CU 411510, số vào sổ cấp GCN: CS-TTR22192/CH00971 do Sở Tài nguyên và Môi trường Thành phố Hà Nội cấp ngày 17/01/2020; Chủ sử dụng đất là Bà Vương Thị Xuân</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6"/>
              <w:pBdr/>
              <w:spacing w:after="60" w:before="200"/>
              <w:ind/>
              <w:rPr>
                <w:rStyle w:val="1025"/>
                <w:rFonts w:ascii="Times New Roman" w:hAnsi="Times New Roman"/>
                <w:color w:val="auto"/>
                <w:lang w:val="pt-BR"/>
              </w:rPr>
            </w:pPr>
            <w:r>
              <w:rPr>
                <w:rFonts w:ascii="Times New Roman" w:hAnsi="Times New Roman"/>
                <w:color w:val="auto"/>
                <w:lang w:val="pt-BR"/>
              </w:rPr>
            </w:r>
            <w:r>
              <w:rPr>
                <w:rStyle w:val="1025"/>
                <w:rFonts w:ascii="Times New Roman" w:hAnsi="Times New Roman"/>
                <w:color w:val="auto"/>
                <w:lang w:val="pt-BR"/>
              </w:rPr>
            </w:r>
            <w:r>
              <w:rPr>
                <w:rStyle w:val="1025"/>
                <w:rFonts w:ascii="Times New Roman" w:hAnsi="Times New Roman"/>
                <w:color w:val="auto"/>
                <w:lang w:val="pt-BR"/>
              </w:rPr>
            </w:r>
          </w:p>
          <w:p w14:paraId="189019A0" w14:textId="50D2DFCA">
            <w:pPr>
              <w:pStyle w:val="1026"/>
              <w:pBdr/>
              <w:spacing w:after="60" w:before="200"/>
              <w:ind/>
              <w:rPr>
                <w:sz w:val="24"/>
                <w:szCs w:val="24"/>
              </w:rPr>
            </w:pPr>
            <w:r>
              <w:rPr>
                <w:rStyle w:val="1025"/>
                <w:rFonts w:ascii="Times New Roman" w:hAnsi="Times New Roman"/>
                <w:color w:val="auto"/>
                <w:lang w:val="pt-BR"/>
              </w:rPr>
              <w:t xml:space="preserve">Số:</w:t>
            </w:r>
            <w:r>
              <w:rPr>
                <w:rStyle w:val="1025"/>
                <w:rFonts w:ascii="Times New Roman" w:hAnsi="Times New Roman"/>
                <w:color w:val="auto"/>
                <w:lang w:val="pt-BR"/>
              </w:rPr>
              <w:t xml:space="preserve"> </w:t>
            </w:r>
            <w:r>
              <w:rPr>
                <w:rStyle w:val="1025"/>
                <w:rFonts w:ascii="Times New Roman" w:hAnsi="Times New Roman"/>
                <w:color w:val="000000" w:themeColor="text1"/>
                <w:lang w:val="pt-BR"/>
              </w:rPr>
              <w:t xml:space="preserve">275/2025/1799/VFI-CT.48.A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6"/>
              <w:pBdr/>
              <w:spacing w:after="60" w:before="20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p w14:paraId="6B33CD77" w14:textId="29BAA06D">
            <w:pPr>
              <w:pStyle w:val="1026"/>
              <w:pBdr/>
              <w:spacing w:after="60" w:before="200"/>
              <w:ind w:right="-56"/>
              <w:jc w:val="right"/>
              <w:rPr>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13 tháng 12 năm 2025</w:t>
            </w:r>
            <w:r>
              <w:rPr>
                <w:rStyle w:val="1025"/>
                <w:rFonts w:ascii="Times New Roman" w:hAnsi="Times New Roman"/>
                <w:i/>
                <w:color w:val="auto"/>
                <w:lang w:val="vi-VN"/>
              </w:rPr>
              <w:t xml:space="preserve">   </w:t>
            </w:r>
            <w:r>
              <w:rPr>
                <w:rStyle w:val="1025"/>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6"/>
        <w:pBdr/>
        <w:spacing w:after="120" w:before="200" w:line="288" w:lineRule="auto"/>
        <w:ind/>
        <w:jc w:val="center"/>
        <w:rPr>
          <w:rStyle w:val="1025"/>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TRÍ VIỆT INVESTCONS</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275/2025/1799/VFI-HĐTĐ.48.A</w:t>
      </w:r>
      <w:r>
        <w:rPr>
          <w:spacing w:val="-4"/>
          <w:lang w:val="vi-VN"/>
        </w:rPr>
        <w:t xml:space="preserve"> ký ngày </w:t>
      </w:r>
      <w:r>
        <w:rPr>
          <w:color w:val="000000" w:themeColor="text1"/>
          <w:spacing w:val="-4"/>
        </w:rPr>
        <w:t xml:space="preserve">12 tháng 12 năm 2025</w:t>
      </w:r>
      <w:r>
        <w:rPr>
          <w:spacing w:val="-4"/>
          <w:lang w:val="vi-VN"/>
        </w:rPr>
        <w:t xml:space="preserve"> </w:t>
      </w:r>
      <w:r>
        <w:rPr>
          <w:spacing w:val="-4"/>
          <w:lang w:val="vi-VN"/>
        </w:rPr>
        <w:t xml:space="preserve">giữa </w:t>
      </w:r>
      <w:r>
        <w:rPr>
          <w:bCs/>
        </w:rPr>
        <w:t xml:space="preserve">Công ty Cổ phần Trí Việt Investcons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275/2025/1799/VFI-BC.48.A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13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181A505F">
            <w:pPr>
              <w:pBdr>
                <w:top w:val="none" w:color="000000" w:sz="4" w:space="0"/>
                <w:left w:val="none" w:color="000000" w:sz="4" w:space="0"/>
                <w:bottom w:val="none" w:color="000000" w:sz="4" w:space="0"/>
                <w:right w:val="none" w:color="000000" w:sz="4" w:space="0"/>
              </w:pBdr>
              <w:spacing w:before="60" w:line="288" w:lineRule="auto"/>
              <w:ind w:right="0" w:firstLine="0" w:left="0"/>
              <w:jc w:val="both"/>
              <w:rPr/>
            </w:pPr>
            <w:r>
              <w:rPr>
                <w:rFonts w:ascii="Times New Roman" w:hAnsi="Times New Roman" w:eastAsia="Times New Roman" w:cs="Times New Roman"/>
                <w:b/>
                <w:color w:val="000000"/>
                <w:sz w:val="24"/>
              </w:rPr>
              <w:t xml:space="preserve">CÔNG TY CỔ PHẦN TRÍ VIỆT INVESTCONS</w:t>
            </w:r>
            <w:r/>
          </w:p>
        </w:tc>
      </w:tr>
      <w:tr>
        <w:trPr>
          <w:trHeight w:val="20"/>
        </w:trPr>
        <w:tc>
          <w:tcPr>
            <w:shd w:val="clear" w:color="auto" w:fill="auto"/>
            <w:tcBorders/>
            <w:tcW w:w="1109" w:type="pct"/>
            <w:vAlign w:val="center"/>
            <w:textDirection w:val="lrTb"/>
            <w:noWrap w:val="false"/>
          </w:tcPr>
          <w:p w14:paraId="4BB46F17">
            <w:pPr>
              <w:pBdr>
                <w:top w:val="none" w:color="000000" w:sz="4" w:space="0"/>
                <w:left w:val="none" w:color="000000" w:sz="4" w:space="0"/>
                <w:bottom w:val="none" w:color="000000" w:sz="4" w:space="0"/>
                <w:right w:val="none" w:color="000000" w:sz="4" w:space="0"/>
              </w:pBdr>
              <w:spacing w:before="60" w:line="288"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124EBB41">
            <w:pPr>
              <w:pBdr>
                <w:top w:val="none" w:color="000000" w:sz="4" w:space="0"/>
                <w:left w:val="none" w:color="000000" w:sz="4" w:space="0"/>
                <w:bottom w:val="none" w:color="000000" w:sz="4" w:space="0"/>
                <w:right w:val="none" w:color="000000" w:sz="4" w:space="0"/>
              </w:pBdr>
              <w:spacing w:before="60" w:line="288" w:lineRule="auto"/>
              <w:ind w:right="0" w:firstLine="0" w:left="0"/>
              <w:jc w:val="both"/>
              <w:rPr/>
            </w:pPr>
            <w:r>
              <w:rPr>
                <w:rFonts w:ascii="Times New Roman" w:hAnsi="Times New Roman" w:eastAsia="Times New Roman" w:cs="Times New Roman"/>
                <w:color w:val="000000"/>
                <w:sz w:val="24"/>
              </w:rPr>
              <w:t xml:space="preserve">Phòng 202, tầng 2, lô 04 – TT5B Khu đô thị Tây Nam Linh Đàm, phường Hoàng Liệt, quận Hoàng Mai, Thành phố Hà Nội</w:t>
            </w:r>
            <w:r/>
          </w:p>
        </w:tc>
      </w:tr>
      <w:tr>
        <w:trPr>
          <w:trHeight w:val="20"/>
        </w:trPr>
        <w:tc>
          <w:tcPr>
            <w:shd w:val="clear" w:color="auto" w:fill="auto"/>
            <w:tcBorders/>
            <w:tcW w:w="1109" w:type="pct"/>
            <w:vAlign w:val="center"/>
            <w:textDirection w:val="lrTb"/>
            <w:noWrap w:val="false"/>
          </w:tcPr>
          <w:p w14:paraId="0DE1079E">
            <w:pPr>
              <w:pBdr>
                <w:top w:val="none" w:color="000000" w:sz="4" w:space="0"/>
                <w:left w:val="none" w:color="000000" w:sz="4" w:space="0"/>
                <w:bottom w:val="none" w:color="000000" w:sz="4" w:space="0"/>
                <w:right w:val="none" w:color="000000" w:sz="4" w:space="0"/>
              </w:pBdr>
              <w:spacing w:before="60" w:line="288"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405E5CA2">
            <w:pPr>
              <w:pBdr>
                <w:top w:val="none" w:color="000000" w:sz="4" w:space="0"/>
                <w:left w:val="none" w:color="000000" w:sz="4" w:space="0"/>
                <w:bottom w:val="none" w:color="000000" w:sz="4" w:space="0"/>
                <w:right w:val="none" w:color="000000" w:sz="4" w:space="0"/>
              </w:pBdr>
              <w:spacing w:before="60" w:line="288" w:lineRule="auto"/>
              <w:ind w:right="0" w:firstLine="0" w:left="0"/>
              <w:jc w:val="both"/>
              <w:rPr/>
            </w:pPr>
            <w:r>
              <w:rPr>
                <w:rFonts w:ascii="Times New Roman" w:hAnsi="Times New Roman" w:eastAsia="Times New Roman" w:cs="Times New Roman"/>
                <w:color w:val="000000"/>
                <w:sz w:val="24"/>
              </w:rPr>
              <w:t xml:space="preserve">0108413468</w:t>
            </w:r>
            <w:r/>
          </w:p>
        </w:tc>
      </w:tr>
      <w:tr>
        <w:trPr>
          <w:trHeight w:val="20"/>
        </w:trPr>
        <w:tc>
          <w:tcPr>
            <w:shd w:val="clear" w:color="ffffff" w:fill="ffffff"/>
            <w:tcBorders/>
            <w:tcW w:w="1109" w:type="pct"/>
            <w:vAlign w:val="center"/>
            <w:vMerge w:val="restart"/>
            <w:textDirection w:val="lrTb"/>
            <w:noWrap w:val="false"/>
          </w:tcPr>
          <w:p w14:paraId="2ACB4FB9">
            <w:pPr>
              <w:pBdr>
                <w:top w:val="none" w:color="000000" w:sz="4" w:space="0"/>
                <w:left w:val="none" w:color="000000" w:sz="4" w:space="0"/>
                <w:bottom w:val="none" w:color="000000" w:sz="4" w:space="0"/>
                <w:right w:val="none" w:color="000000" w:sz="4" w:space="0"/>
              </w:pBdr>
              <w:spacing w:before="60" w:line="288"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ffffff" w:fill="ffffff"/>
            <w:tcBorders/>
            <w:tcW w:w="248" w:type="pct"/>
            <w:vAlign w:val="center"/>
            <w:vMerge w:val="restart"/>
            <w:textDirection w:val="lrTb"/>
            <w:noWrap w:val="false"/>
          </w:tcPr>
          <w:p w14:paraId="21FFED35">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3643" w:type="pct"/>
            <w:vAlign w:val="center"/>
            <w:vMerge w:val="restart"/>
            <w:textDirection w:val="lrTb"/>
            <w:noWrap w:val="false"/>
          </w:tcPr>
          <w:p w14:paraId="30C1FB79">
            <w:pPr>
              <w:pBdr>
                <w:top w:val="none" w:color="000000" w:sz="4" w:space="0"/>
                <w:left w:val="none" w:color="000000" w:sz="4" w:space="0"/>
                <w:bottom w:val="none" w:color="000000" w:sz="4" w:space="0"/>
                <w:right w:val="none" w:color="000000" w:sz="4" w:space="0"/>
              </w:pBdr>
              <w:spacing w:before="60" w:line="288" w:lineRule="auto"/>
              <w:ind w:right="0" w:firstLine="0" w:left="0"/>
              <w:jc w:val="both"/>
              <w:rPr/>
            </w:pPr>
            <w:r>
              <w:rPr>
                <w:rFonts w:ascii="Times New Roman" w:hAnsi="Times New Roman" w:eastAsia="Times New Roman" w:cs="Times New Roman"/>
                <w:b/>
                <w:color w:val="000000"/>
                <w:sz w:val="24"/>
              </w:rPr>
              <w:t xml:space="preserve">Ông Lý Quang Hưng</w:t>
            </w:r>
            <w:r/>
          </w:p>
        </w:tc>
      </w:tr>
      <w:tr>
        <w:trPr>
          <w:trHeight w:val="20"/>
        </w:trPr>
        <w:tc>
          <w:tcPr>
            <w:shd w:val="clear" w:color="auto" w:fill="auto"/>
            <w:tcBorders/>
            <w:tcW w:w="1109" w:type="pct"/>
            <w:vAlign w:val="center"/>
            <w:textDirection w:val="lrTb"/>
            <w:noWrap w:val="false"/>
          </w:tcPr>
          <w:p w14:paraId="0178ABB3">
            <w:pPr>
              <w:pBdr>
                <w:top w:val="none" w:color="000000" w:sz="4" w:space="0"/>
                <w:left w:val="none" w:color="000000" w:sz="4" w:space="0"/>
                <w:bottom w:val="none" w:color="000000" w:sz="4" w:space="0"/>
                <w:right w:val="none" w:color="000000" w:sz="4" w:space="0"/>
              </w:pBdr>
              <w:spacing w:before="60" w:line="288" w:lineRule="auto"/>
              <w:ind w:right="0" w:firstLine="0" w:left="0"/>
              <w:jc w:val="both"/>
              <w:rPr/>
            </w:pPr>
            <w:r>
              <w:rPr>
                <w:rFonts w:ascii="Times New Roman" w:hAnsi="Times New Roman" w:eastAsia="Times New Roman" w:cs="Times New Roman"/>
                <w:color w:val="000000"/>
                <w:sz w:val="24"/>
              </w:rPr>
              <w:t xml:space="preserve">Chức vụ</w:t>
            </w: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14FD0FBC">
            <w:pPr>
              <w:pBdr>
                <w:top w:val="none" w:color="000000" w:sz="4" w:space="0"/>
                <w:left w:val="none" w:color="000000" w:sz="4" w:space="0"/>
                <w:bottom w:val="none" w:color="000000" w:sz="4" w:space="0"/>
                <w:right w:val="none" w:color="000000" w:sz="4" w:space="0"/>
              </w:pBdr>
              <w:spacing w:before="60" w:line="288" w:lineRule="auto"/>
              <w:ind w:right="0" w:firstLine="0" w:left="0"/>
              <w:jc w:val="both"/>
              <w:rPr/>
            </w:pPr>
            <w:r>
              <w:rPr>
                <w:rFonts w:ascii="Times New Roman" w:hAnsi="Times New Roman" w:eastAsia="Times New Roman" w:cs="Times New Roman"/>
                <w:b/>
                <w:color w:val="000000"/>
                <w:sz w:val="24"/>
              </w:rPr>
              <w:t xml:space="preserve">Chủ tịch HĐQT</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229, tờ bản đồ số: 01 có địa chỉ: TT Viện điều tra QHR, xã Vĩnh Quỳnh, huyện Thanh Trì, thành phố Hà Nội (nay là số nhà 214 TT Viện điều tra QHR, xã Thanh Trì, thành phố Hà Nội</w:t>
      </w:r>
      <w:r>
        <w:rPr>
          <w:color w:val="000000" w:themeColor="text1"/>
        </w:rPr>
        <w:t xml:space="preserve">) theo Giấy chứng nhận quyền sử dụng đất quyền sở hữu nhà ở và tài sản khác gắn liền với đất số: CU 411510, số vào sổ cấp GCN: CS-TTR22192/CH00971 do Sở Tài nguyên và Môi trường Thành phố Hà Nội cấp ngày 17/01/2020; Chủ sử dụng đất là Bà Vương Thị Xuân</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t xml:space="preserve">Quyền sử dụng đất tại thửa đất số: 229, tờ bản đồ số: 01 có địa chỉ: TT Viện điều tra QHR, xã Vĩnh Quỳnh, huyện Thanh Trì, thành phố Hà Nội (nay là số nhà 214 TT Viện điều tra QHR, xã Thanh Trì, thành phố Hà Nội</w:t>
            </w:r>
            <w:r>
              <w:rPr>
                <w:color w:val="000000"/>
              </w:rPr>
              <w:t xml:space="preserve">) theo Giấy chứng nhận quyền sử dụng đất quyền sở hữu nhà ở và tài sản khác gắn liền với đất số: CU 411510, số vào sổ cấp GCN: CS-TTR22192/CH00971 do Sở Tài nguyên và Môi trường Thành phố Hà Nội cấp ngày 17/01/2020; Chủ sử dụng đất là Bà Vương Thị Xuân</w:t>
            </w:r>
            <w:r>
              <w:rPr>
                <w:b/>
                <w:bCs/>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tại nông thôn</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64,7</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140.000.000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9.058.000.000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9.058.000.000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9.058.000.000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tỷ năm mươi tám triệu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highlight w:val="yellow"/>
              </w:rPr>
            </w:pPr>
            <w:r>
              <w:rPr>
                <w:rFonts w:eastAsia="Calibri"/>
                <w:bCs/>
                <w:lang w:val="vi-VN"/>
              </w:rPr>
              <w:t xml:space="preserve">Số thẻ thẩm định </w:t>
            </w:r>
            <w:r>
              <w:rPr>
                <w:rFonts w:eastAsia="Calibri"/>
                <w:bCs/>
                <w:highlight w:val="white"/>
                <w:lang w:val="vi-VN"/>
              </w:rPr>
              <w:t xml:space="preserve">viên</w:t>
            </w:r>
            <w:r>
              <w:rPr>
                <w:rFonts w:eastAsia="Calibri"/>
                <w:bCs/>
                <w:highlight w:val="white"/>
                <w:lang w:val="vi-VN"/>
              </w:rPr>
              <w:t xml:space="preserve"> về giá: </w:t>
            </w:r>
            <w:r>
              <w:rPr>
                <w:rFonts w:ascii="Times New Roman" w:hAnsi="Times New Roman" w:eastAsia="Times New Roman" w:cs="Times New Roman"/>
                <w:color w:val="000000"/>
                <w:sz w:val="24"/>
                <w:highlight w:val="white"/>
              </w:rPr>
              <w:t xml:space="preserve">XVI25</w:t>
            </w:r>
            <w:r>
              <w:rPr>
                <w:rFonts w:ascii="Times New Roman" w:hAnsi="Times New Roman" w:eastAsia="Times New Roman" w:cs="Times New Roman"/>
                <w:color w:val="000000"/>
                <w:sz w:val="24"/>
              </w:rPr>
              <w:t xml:space="preserve">TS.2576</w:t>
            </w:r>
            <w:r>
              <w:rPr>
                <w:rFonts w:eastAsia="Calibri"/>
                <w:bCs/>
                <w:highlight w:val="yellow"/>
              </w:rPr>
            </w:r>
            <w:r>
              <w:rPr>
                <w:rFonts w:eastAsia="Calibri"/>
                <w:bCs/>
                <w:highlight w:val="yellow"/>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6"/>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6"/>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275/2025/1799/VFI-BC.48.A</w:t>
            </w:r>
            <w:r>
              <w:rPr>
                <w:sz w:val="24"/>
                <w:szCs w:val="24"/>
              </w:rPr>
            </w:r>
            <w:r>
              <w:rPr>
                <w:sz w:val="24"/>
                <w:szCs w:val="24"/>
              </w:rPr>
            </w:r>
          </w:p>
        </w:tc>
        <w:tc>
          <w:tcPr>
            <w:tcBorders/>
            <w:tcW w:w="4781" w:type="dxa"/>
            <w:textDirection w:val="lrTb"/>
            <w:noWrap w:val="false"/>
          </w:tcPr>
          <w:p w14:paraId="4E249833" w14:textId="77777777">
            <w:pPr>
              <w:pStyle w:val="1026"/>
              <w:pBdr/>
              <w:tabs>
                <w:tab w:val="left" w:leader="none" w:pos="5103"/>
              </w:tabs>
              <w:spacing w:before="100" w:line="360" w:lineRule="auto"/>
              <w:ind/>
              <w:jc w:val="right"/>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p w14:paraId="1C1E2870" w14:textId="207F25D6">
            <w:pPr>
              <w:pStyle w:val="1026"/>
              <w:pBdr/>
              <w:tabs>
                <w:tab w:val="left" w:leader="none" w:pos="5103"/>
              </w:tabs>
              <w:spacing w:before="100" w:line="360" w:lineRule="auto"/>
              <w:ind/>
              <w:jc w:val="right"/>
              <w:rPr>
                <w:i/>
                <w:iCs/>
                <w:sz w:val="24"/>
                <w:szCs w:val="24"/>
              </w:rPr>
            </w:pPr>
            <w:r>
              <w:rPr>
                <w:rStyle w:val="1025"/>
                <w:rFonts w:ascii="Times New Roman" w:hAnsi="Times New Roman"/>
                <w:i/>
                <w:color w:val="auto"/>
              </w:rPr>
              <w:t xml:space="preserve">TP</w:t>
            </w:r>
            <w:r>
              <w:rPr>
                <w:rStyle w:val="1025"/>
                <w:rFonts w:ascii="Times New Roman" w:hAnsi="Times New Roman"/>
                <w:color w:val="auto"/>
              </w:rPr>
              <w:t xml:space="preserve">. </w:t>
            </w:r>
            <w:r>
              <w:rPr>
                <w:rStyle w:val="1025"/>
                <w:rFonts w:ascii="Times New Roman" w:hAnsi="Times New Roman"/>
                <w:i/>
                <w:color w:val="auto"/>
              </w:rPr>
              <w:t xml:space="preserve">Hà Nội</w:t>
            </w:r>
            <w:r>
              <w:rPr>
                <w:rStyle w:val="1025"/>
                <w:rFonts w:ascii="Times New Roman" w:hAnsi="Times New Roman"/>
                <w:i/>
                <w:color w:val="auto"/>
                <w:lang w:val="vi-VN"/>
              </w:rPr>
              <w:t xml:space="preserve">, </w:t>
            </w:r>
            <w:r>
              <w:rPr>
                <w:i/>
                <w:iCs/>
                <w:color w:val="000000" w:themeColor="text1"/>
                <w:sz w:val="24"/>
                <w:szCs w:val="24"/>
                <w:lang w:val="pt-BR"/>
              </w:rPr>
              <w:t xml:space="preserve">ngày 13 tháng 12 năm 2025</w:t>
            </w:r>
            <w:r>
              <w:rPr>
                <w:rStyle w:val="1025"/>
                <w:rFonts w:ascii="Times New Roman" w:hAnsi="Times New Roman"/>
                <w:i/>
                <w:color w:val="auto"/>
                <w:lang w:val="vi-VN"/>
              </w:rPr>
              <w:t xml:space="preserve">   </w:t>
            </w:r>
            <w:r>
              <w:rPr>
                <w:rStyle w:val="1025"/>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6"/>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275/2025/1799/VFI-CT.48.A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13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587F8E9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14:paraId="1C52989B">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40BB4EF4">
            <w:pPr>
              <w:pBdr>
                <w:top w:val="none" w:color="000000" w:sz="4" w:space="0"/>
                <w:left w:val="none" w:color="000000" w:sz="4" w:space="0"/>
                <w:bottom w:val="none" w:color="000000" w:sz="4" w:space="0"/>
                <w:right w:val="none" w:color="000000" w:sz="4" w:space="0"/>
              </w:pBdr>
              <w:spacing w:before="6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CÔNG TY CỔ PHẦN TRÍ VIỆT INVESTCONS</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383E9535">
            <w:pPr>
              <w:pBdr>
                <w:top w:val="none" w:color="000000" w:sz="4" w:space="0"/>
                <w:left w:val="none" w:color="000000" w:sz="4" w:space="0"/>
                <w:bottom w:val="none" w:color="000000" w:sz="4" w:space="0"/>
                <w:right w:val="none" w:color="000000" w:sz="4" w:space="0"/>
              </w:pBdr>
              <w:spacing w:before="6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04F6FDAF">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44EB51E0">
            <w:pPr>
              <w:pBdr>
                <w:top w:val="none" w:color="000000" w:sz="4" w:space="0"/>
                <w:left w:val="none" w:color="000000" w:sz="4" w:space="0"/>
                <w:bottom w:val="none" w:color="000000" w:sz="4" w:space="0"/>
                <w:right w:val="none" w:color="000000" w:sz="4" w:space="0"/>
              </w:pBdr>
              <w:spacing w:before="6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Phòng 202, tầng 2, lô 04 – TT5B Khu đô thị Tây Nam Linh Đàm, phường Hoàng Liệt, quận Hoàng Mai,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142EFB8C">
            <w:pPr>
              <w:pBdr>
                <w:top w:val="none" w:color="000000" w:sz="4" w:space="0"/>
                <w:left w:val="none" w:color="000000" w:sz="4" w:space="0"/>
                <w:bottom w:val="none" w:color="000000" w:sz="4" w:space="0"/>
                <w:right w:val="none" w:color="000000" w:sz="4" w:space="0"/>
              </w:pBdr>
              <w:spacing w:before="6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Mã số thuế</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00147C3A">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vMerge w:val="restart"/>
            <w:textDirection w:val="lrTb"/>
            <w:noWrap w:val="false"/>
          </w:tcPr>
          <w:p w14:paraId="7B180E2F">
            <w:pPr>
              <w:pBdr>
                <w:top w:val="none" w:color="000000" w:sz="4" w:space="0"/>
                <w:left w:val="none" w:color="000000" w:sz="4" w:space="0"/>
                <w:bottom w:val="none" w:color="000000" w:sz="4" w:space="0"/>
                <w:right w:val="none" w:color="000000" w:sz="4" w:space="0"/>
              </w:pBdr>
              <w:spacing w:before="6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0108413468</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6281FB3B">
            <w:pPr>
              <w:pBdr>
                <w:top w:val="none" w:color="000000" w:sz="4" w:space="0"/>
                <w:left w:val="none" w:color="000000" w:sz="4" w:space="0"/>
                <w:bottom w:val="none" w:color="000000" w:sz="4" w:space="0"/>
                <w:right w:val="none" w:color="000000" w:sz="4" w:space="0"/>
              </w:pBdr>
              <w:spacing w:before="6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6512091E">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6945" w:type="dxa"/>
            <w:vAlign w:val="center"/>
            <w:textDirection w:val="lrTb"/>
            <w:noWrap w:val="false"/>
          </w:tcPr>
          <w:p w14:paraId="4065B182">
            <w:pPr>
              <w:pBdr>
                <w:top w:val="none" w:color="000000" w:sz="4" w:space="0"/>
                <w:left w:val="none" w:color="000000" w:sz="4" w:space="0"/>
                <w:bottom w:val="none" w:color="000000" w:sz="4" w:space="0"/>
                <w:right w:val="none" w:color="000000" w:sz="4" w:space="0"/>
              </w:pBdr>
              <w:spacing w:before="6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Lý Quang Hưng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004B2194">
            <w:pPr>
              <w:pBdr>
                <w:top w:val="none" w:color="000000" w:sz="4" w:space="0"/>
                <w:left w:val="none" w:color="000000" w:sz="4" w:space="0"/>
                <w:bottom w:val="none" w:color="000000" w:sz="4" w:space="0"/>
                <w:right w:val="none" w:color="000000" w:sz="4" w:space="0"/>
              </w:pBdr>
              <w:spacing w:before="6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Chức vụ</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0991BAF0">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4FFADBE3">
            <w:pPr>
              <w:pBdr>
                <w:top w:val="none" w:color="000000" w:sz="4" w:space="0"/>
                <w:left w:val="none" w:color="000000" w:sz="4" w:space="0"/>
                <w:bottom w:val="none" w:color="000000" w:sz="4" w:space="0"/>
                <w:right w:val="none" w:color="000000" w:sz="4" w:space="0"/>
              </w:pBdr>
              <w:spacing w:before="6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Chủ tịch HĐQT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sử dụng đất tại thửa đất số: 229, tờ bản đồ số: 01 có địa chỉ: TT Viện điều tra QHR, xã Vĩnh Quỳnh, huyện Thanh Trì, thành phố Hà Nội (nay là số nhà 214 TT Viện điều tra QHR, xã Thanh Trì, thành phố Hà Nội</w:t>
            </w:r>
            <w:r>
              <w:rPr>
                <w:bCs/>
                <w:color w:val="000000" w:themeColor="text1"/>
                <w:lang w:val="pt-BR"/>
              </w:rPr>
              <w:t xml:space="preserve">) theo Giấy chứng nhận quyền sử dụng đất quyền sở hữu nhà ở và tài sản khác gắn liền với đất số: CU 411510, số vào sổ cấp GCN: CS-TTR22192/CH00971 do Sở Tài nguyên và Môi trường Thành phố Hà Nội cấp ngày 17/01/2020; Chủ sử dụng đất là Bà Vương Thị Xuân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 Xã Vĩnh Quỳnh,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20.930611111111, 105.84522222222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27"/>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7494B17B" w14:textId="41F9AB61">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Giấy chứng nhận quyền sử dụng đất quyền sở hữu nhà ở và tài sản khác gắn liền với đất số: CU 411510, số vào sổ cấp GCN: CS-TTR22192/CH00971 do Sở Tài nguyên và Môi trường Thành phố Hà Nội cấp ngày 17/01/2020; Chủ sử dụng đất là Bà Vương Thị Xuân</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r>
      <w:r>
        <w:rPr>
          <w:rFonts w:ascii="Times New Roman" w:hAnsi="Times New Roman" w:eastAsia="Times New Roman" w:cs="Times New Roman"/>
          <w:color w:val="000000"/>
          <w:sz w:val="24"/>
        </w:rPr>
        <w:t xml:space="preserve">Hợp đồng số </w:t>
      </w:r>
      <w:r>
        <w:rPr>
          <w:color w:val="000000" w:themeColor="text1"/>
          <w:spacing w:val="-4"/>
          <w:lang w:val="vi-VN"/>
        </w:rPr>
        <w:t xml:space="preserve">275/2025/1799/VFI-HĐTĐ.48.A</w:t>
      </w:r>
      <w:r>
        <w:rPr>
          <w:spacing w:val="-4"/>
          <w:lang w:val="vi-VN"/>
        </w:rPr>
        <w:t xml:space="preserve"> ký ngày </w:t>
      </w:r>
      <w:r>
        <w:rPr>
          <w:color w:val="000000" w:themeColor="text1"/>
          <w:spacing w:val="-4"/>
        </w:rPr>
        <w:t xml:space="preserve">12 tháng 12 năm 2025</w:t>
      </w:r>
      <w:r>
        <w:rPr>
          <w:spacing w:val="-4"/>
          <w:lang w:val="vi-VN"/>
        </w:rPr>
        <w:t xml:space="preserve"> </w:t>
      </w:r>
      <w:r>
        <w:rPr>
          <w:spacing w:val="-4"/>
          <w:lang w:val="vi-VN"/>
        </w:rPr>
        <w:t xml:space="preserve">giữa </w:t>
      </w:r>
      <w:r>
        <w:rPr>
          <w:bCs/>
        </w:rPr>
        <w:t xml:space="preserve">Công ty Cổ phần Trí Việt Investcons</w:t>
      </w:r>
      <w:r>
        <w:rPr>
          <w:rFonts w:ascii="Times New Roman" w:hAnsi="Times New Roman" w:eastAsia="Times New Roman" w:cs="Times New Roman"/>
          <w:color w:val="000000"/>
          <w:sz w:val="24"/>
        </w:rPr>
        <w:t xml:space="preserve"> với Công ty cổ phần Thẩm định và Đầu tư tài chính Hoa Sen</w:t>
      </w:r>
      <w:r>
        <w:rPr>
          <w:b/>
          <w:lang w:val="pt-BR"/>
        </w:rPr>
      </w:r>
      <w:r>
        <w:rPr>
          <w:b/>
          <w:lang w:val="pt-BR"/>
        </w:rPr>
      </w:r>
    </w:p>
    <w:p w14:paraId="7BDC3A25" w14:textId="77D2CF95">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CFDDED2">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lang w:val="pt-BR"/>
        </w:rPr>
        <w:tab/>
      </w:r>
      <w:r>
        <w:rPr>
          <w:rFonts w:ascii="Times New Roman" w:hAnsi="Times New Roman" w:eastAsia="Times New Roman" w:cs="Times New Roman"/>
          <w:color w:val="000000"/>
          <w:sz w:val="24"/>
        </w:rPr>
        <w:t xml:space="preserve">Trên nền tảng hạ tầng giao thông đồng bộ, Thanh Trì đang dần trở thành điểm đến hấp dẫn đối với các doanh nghiệp, tập đoàn lớn. Điều này không chỉ thúc đẩy phát triển kinh tế - xã hội mà còn kéo theo nhu cầu an cư ngày càng tăng tại khu vực này.</w:t>
      </w:r>
      <w:r/>
    </w:p>
    <w:p w14:paraId="406A5F7C">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b/>
          <w:color w:val="000000"/>
          <w:sz w:val="24"/>
        </w:rPr>
        <w:t xml:space="preserve">Thanh Trì - từ vùng ven đô đến đô thị hiện đại</w:t>
      </w:r>
      <w:r/>
    </w:p>
    <w:p w14:paraId="40B913D8">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Lộ trình </w:t>
      </w:r>
      <w:hyperlink r:id="rId15" w:tooltip="https://vietnamnet.vn/ha-noi-dat-muc-tieu-dua-4-huyen-len-quan-vao-nam-2025-2310997.html" w:history="1">
        <w:r>
          <w:rPr>
            <w:rStyle w:val="1017"/>
            <w:rFonts w:ascii="Times New Roman" w:hAnsi="Times New Roman" w:eastAsia="Times New Roman" w:cs="Times New Roman"/>
            <w:color w:val="000000"/>
            <w:sz w:val="24"/>
            <w:u w:val="single"/>
          </w:rPr>
          <w:t xml:space="preserve">Thanh Trì lên quận</w:t>
        </w:r>
      </w:hyperlink>
      <w:r>
        <w:rPr>
          <w:rFonts w:ascii="Times New Roman" w:hAnsi="Times New Roman" w:eastAsia="Times New Roman" w:cs="Times New Roman"/>
          <w:color w:val="000000"/>
          <w:sz w:val="24"/>
        </w:rPr>
        <w:t xml:space="preserve"> theo dự kiến vào cuối năm 2025 không chỉ mở ra cơ hội tăng trưởng về kinh tế mà còn tạo động lực cho sự phát triển hạ tầng khu vực. Hiện Thanh Trì đang hưởng lợi từ hàng loạt dự án giao thông trọng điểm, giúp cải thiện khả năng kết nối và nâng tầm vị thế </w:t>
      </w:r>
      <w:r>
        <w:rPr>
          <w:rFonts w:ascii="Times New Roman" w:hAnsi="Times New Roman" w:eastAsia="Times New Roman" w:cs="Times New Roman"/>
          <w:color w:val="000000"/>
          <w:sz w:val="24"/>
        </w:rPr>
        <w:t xml:space="preserve">của khu vực. Trong đó, tuyến đường Pháp Vân - Cầu Giẽ, Vành đai 3, QL1A đóng vai trò quan trọng trong việc rút ngắn thời gian di chuyển giữa Hà Nội và các tỉnh phía Nam. Bên cạnh đó, dự án đường Vành đai 3.5 kết nối với cầu Ngọc Hồi đang được đẩy nhanh tiế</w:t>
      </w:r>
      <w:r>
        <w:rPr>
          <w:rFonts w:ascii="Times New Roman" w:hAnsi="Times New Roman" w:eastAsia="Times New Roman" w:cs="Times New Roman"/>
          <w:color w:val="000000"/>
          <w:sz w:val="24"/>
        </w:rPr>
        <w:t xml:space="preserve">n độ, góp phần mở rộng mạng lưới giao thông liên vùng.</w:t>
      </w:r>
      <w:r/>
    </w:p>
    <w:p w14:paraId="04F16E08">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Ngoài ra, việc nâng cấp các tuyến đường nhánh và hệ thống hạ tầng nội khu không chỉ giúp giảm áp lực giao thông mà còn thúc đẩy phát triển kinh tế - xã hội, tạo điều kiện thuận lợi cho các doanh nghiệp và nhà đầu tư tiếp cận </w:t>
      </w:r>
      <w:hyperlink r:id="rId16" w:tooltip="https://vietnamnet.vn/bat-dong-san" w:history="1">
        <w:r>
          <w:rPr>
            <w:rStyle w:val="1017"/>
            <w:rFonts w:ascii="Times New Roman" w:hAnsi="Times New Roman" w:eastAsia="Times New Roman" w:cs="Times New Roman"/>
            <w:color w:val="000000"/>
            <w:sz w:val="24"/>
            <w:u w:val="single"/>
          </w:rPr>
          <w:t xml:space="preserve">thị trường bất động sản</w:t>
        </w:r>
      </w:hyperlink>
      <w:r>
        <w:rPr>
          <w:rFonts w:ascii="Times New Roman" w:hAnsi="Times New Roman" w:eastAsia="Times New Roman" w:cs="Times New Roman"/>
          <w:color w:val="000000"/>
          <w:sz w:val="24"/>
        </w:rPr>
        <w:t xml:space="preserve"> đầy tiềm năng tại Thanh Trì.</w:t>
      </w:r>
      <w:r/>
    </w:p>
    <w:p w14:paraId="0344A98E">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Thanh Trì đang có sự chuyển mình mạnh mẽ, từ một huyện ngoại thành với các làng nghề truyền thống trở thành một khu đô thị mới, hiện đại. Sự xuất hiện của các dự án quy mô lớn như: Khu đô thị Đại Thanh, Khu đô thị Tứ Hiệp, Khu đô thị Hồng Hà Eco City, Khu </w:t>
      </w:r>
      <w:r>
        <w:rPr>
          <w:rFonts w:ascii="Times New Roman" w:hAnsi="Times New Roman" w:eastAsia="Times New Roman" w:cs="Times New Roman"/>
          <w:color w:val="000000"/>
          <w:sz w:val="24"/>
        </w:rPr>
        <w:t xml:space="preserve">đô thị Tây Nam Kim Giang... không chỉ bổ sung nguồn cung nhà ở đa dạng mà còn góp phần hoàn thiện hạ tầng xã hội, phát triển hệ thống tiện ích, nâng cao chất lượng sống cho cư dân.</w:t>
      </w:r>
      <w:r/>
    </w:p>
    <w:p w14:paraId="7F9F9AF0">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Với quỹ đất quy hoạch dành cho các công trình kinh tế - văn hóa ngày càng mở rộng, Thanh Trì đang từng bước thoát khỏi hình ảnh "làng trong phố", hướng đến mục tiêu trở thành một trung tâm đô thị sầm uất của Thủ đô.</w:t>
      </w:r>
      <w:r/>
    </w:p>
    <w:p w14:paraId="3BD89D8E">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b/>
          <w:color w:val="000000"/>
          <w:sz w:val="24"/>
        </w:rPr>
        <w:t xml:space="preserve">Tiềm năng của thị trường căn hộ Thanh Trì </w:t>
      </w:r>
      <w:r/>
    </w:p>
    <w:p w14:paraId="54D46421">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Sự phát triển không ngừng của hạ tầng giao thông và hạ tầng xã hội đã tạo động lực thúc đẩy thị trường bất động sản Thanh Trì bứt phá. Từ một khu vực ít được chú ý, Thanh Trì đang trở thành điểm đến hấp dẫn của các nhà đầu tư, góp phần định hình bức tranh </w:t>
      </w:r>
      <w:r>
        <w:rPr>
          <w:rFonts w:ascii="Times New Roman" w:hAnsi="Times New Roman" w:eastAsia="Times New Roman" w:cs="Times New Roman"/>
          <w:color w:val="000000"/>
          <w:sz w:val="24"/>
        </w:rPr>
        <w:t xml:space="preserve">bất động sản phía Tây Nam Hà Nội.</w:t>
      </w:r>
      <w:r/>
    </w:p>
    <w:p w14:paraId="415EDC5C">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Nhiều "ông lớn" trong ngành địa ốc như Bitexco, Vinaconex, Tecco... đã góp mặt tại khu vực này với hàng loạt dự án, thúc đẩy giá trị bất động sản gia tăng đáng kể. Tuy nhiên, khảo sát cho thấy, nguồn cung căn hộ mới tại Thanh Trì vẫn khan hiếm, khi trong h</w:t>
      </w:r>
      <w:r>
        <w:rPr>
          <w:rFonts w:ascii="Times New Roman" w:hAnsi="Times New Roman" w:eastAsia="Times New Roman" w:cs="Times New Roman"/>
          <w:color w:val="000000"/>
          <w:sz w:val="24"/>
        </w:rPr>
        <w:t xml:space="preserve">ai năm 2023 - 2024 hầu như không có dự án mới ra mắt. </w:t>
      </w:r>
      <w:r/>
    </w:p>
    <w:p w14:paraId="18FF581A">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Trong bối cảnh đó, các căn hộ đã bàn giao trong 5-7 năm qua đang chứng kiến mức tăng giá đáng kể. Giá căn hộ thứ cấp trung bình tại Thanh Trì hiện dao động từ 45 - 55 triệu đồng/m², vẫn thấp hơn đáng kể so với mặt bằng chung của Hà Nội (khoảng 70 triệu đồn</w:t>
      </w:r>
      <w:r>
        <w:rPr>
          <w:rFonts w:ascii="Times New Roman" w:hAnsi="Times New Roman" w:eastAsia="Times New Roman" w:cs="Times New Roman"/>
          <w:color w:val="000000"/>
          <w:sz w:val="24"/>
        </w:rPr>
        <w:t xml:space="preserve">g/m²). Điều này được coi là cơ hội đầu tư hấp dẫn, khi khu vực này tiếp tục hưởng lợi từ sự phát triển hạ tầng và tiềm năng đô thị hóa mạnh mẽ trong tương lai.</w:t>
      </w:r>
      <w:r/>
    </w:p>
    <w:p w14:paraId="6D8A9768">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Công ty TNHH Nam Đại Phong, với 25 năm kinh nghiệm trong lĩnh vực: sản xuất vật liệu xây dựng, đúc đồng, xây dựng các công trình văn hoá, lắp đặt, tích hợp hệ thống, chuyển giao công nghệ, đầu tư và phát triển dự án đã gia nhập thị trường bất động sản với </w:t>
      </w:r>
      <w:r>
        <w:rPr>
          <w:rFonts w:ascii="Times New Roman" w:hAnsi="Times New Roman" w:eastAsia="Times New Roman" w:cs="Times New Roman"/>
          <w:color w:val="000000"/>
          <w:sz w:val="24"/>
        </w:rPr>
        <w:t xml:space="preserve">dự án BlueGem Tower. Đây là dự án chung cư cao cấp gồm 29 tầng, 504 căn hộ, khối đế thương mại hiện đại cùng hệ thống tiện ích đồng bộ, đáp ứng nhu cầu an cư và đầu tư tại khu vực phía Nam Hà Nội.</w:t>
      </w:r>
      <w:r/>
    </w:p>
    <w:p w14:paraId="3B960E9D">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Tọa lạc tại giao lộ hai trục đường lớn tại xã Tứ Hiệp, huyện Thanh Trì, dự án BlueGem Tower sở hữu vị trí đắc địa, thuận tiện kết nối với trung tâm Thủ đô và các khu vực lân cận. Dự án không chỉ góp phần nâng cao diện mạo đô thị mà còn có thể đáp ứng nhu c</w:t>
      </w:r>
      <w:r>
        <w:rPr>
          <w:rFonts w:ascii="Times New Roman" w:hAnsi="Times New Roman" w:eastAsia="Times New Roman" w:cs="Times New Roman"/>
          <w:color w:val="000000"/>
          <w:sz w:val="24"/>
        </w:rPr>
        <w:t xml:space="preserve">ầu nhà ở cho gần 2.000 cư dân, tạo động lực phát triển kinh tế và hạ tầng khu vực.</w:t>
      </w:r>
      <w:r/>
    </w:p>
    <w:p w14:paraId="78971AF9">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w:t>
      </w:r>
      <w:hyperlink r:id="rId17" w:tooltip="https://vietnamnet.vn/dong-luc-tang-truong-cua-thi-truong-bat-dong-san-thanh-tri-nam-2025-2377728.html%20" w:history="1">
        <w:r>
          <w:rPr>
            <w:rStyle w:val="1017"/>
            <w:rFonts w:ascii="Times New Roman" w:hAnsi="Times New Roman" w:eastAsia="Times New Roman" w:cs="Times New Roman"/>
            <w:i/>
            <w:color w:val="000000"/>
            <w:sz w:val="24"/>
            <w:u w:val="none"/>
          </w:rPr>
          <w:t xml:space="preserve">https://vietnamnet.vn/dong-luc-tang-truong-cua-thi-truong-bat-dong-san-thanh-tri-nam-2025-2377728.html</w:t>
        </w:r>
      </w:hyperlink>
      <w:r>
        <w:rPr>
          <w:rFonts w:ascii="Times New Roman" w:hAnsi="Times New Roman" w:eastAsia="Times New Roman" w:cs="Times New Roman"/>
          <w:i/>
          <w:color w:val="000000"/>
          <w:sz w:val="24"/>
        </w:rPr>
        <w:t xml:space="preserve">)</w:t>
      </w:r>
      <w:r>
        <w:rPr>
          <w:bCs/>
          <w:i/>
          <w:lang w:val="pt-BR"/>
        </w:rPr>
      </w:r>
      <w:r>
        <w:rPr>
          <w:bCs/>
          <w:i/>
          <w:lang w:val="pt-BR"/>
        </w:rPr>
      </w:r>
    </w:p>
    <w:p w14:paraId="20BF0D54" w14:textId="312C63AB">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Quyền sử dụng đất tại thửa đất số: 229, tờ bản đồ số: 01 có địa chỉ: TT Viện điều tra QHR, xã Vĩnh Quỳnh, huyện Thanh Trì, thành phố Hà Nội (nay là số nhà 214 TT Viện điều tra QHR, xã Thanh Trì, thành phố Hà Nội</w:t>
            </w:r>
            <w:r>
              <w:rPr>
                <w:b/>
                <w:bCs/>
                <w:color w:val="000000"/>
              </w:rPr>
              <w:t xml:space="preserve">) theo Giấy chứng nhận quyền sử dụng đất quyền sở hữu nhà ở và tài sản khác gắn liền với đất số: CU 411510, số vào sổ cấp GCN: CS-TTR22192/CH00971 do Sở Tài nguyên và Môi trường Thành phố Hà Nội cấp ngày 17/01/2020; Chủ sử dụng đất là Bà Vương Thị Xuân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229</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01</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TT Viện điều tra QHR, Xã Vĩnh Quỳnh, Huyện Thanh Trì, Thành phố Hà Nội (nay là số nhà 214 TT Viện điều tra QHR, xã Thanh Trì, thành phố Hà Nội)</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64,7</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Nhận chuyển nhượng đất được 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5,46</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5,46</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Cách QL1A khoảng 300m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79DA7935">
            <w:pPr>
              <w:pBdr>
                <w:top w:val="none" w:color="000000" w:sz="4" w:space="0"/>
                <w:left w:val="none" w:color="000000" w:sz="4" w:space="0"/>
                <w:bottom w:val="none" w:color="000000" w:sz="4" w:space="0"/>
                <w:right w:val="none" w:color="000000" w:sz="4" w:space="0"/>
              </w:pBdr>
              <w:spacing w:line="298" w:lineRule="atLeast"/>
              <w:ind w:right="0" w:firstLine="0" w:left="0"/>
              <w:rPr/>
            </w:pPr>
            <w:r>
              <w:rPr>
                <w:rFonts w:ascii="Times New Roman" w:hAnsi="Times New Roman" w:eastAsia="Times New Roman" w:cs="Times New Roman"/>
                <w:color w:val="000000"/>
                <w:sz w:val="26"/>
              </w:rPr>
              <w:t xml:space="preserve">- Hướng Đông Nam: tiếp giáp đường giao thông </w:t>
            </w:r>
            <w:r/>
          </w:p>
          <w:p w14:paraId="3D4FCA9C" w14:textId="0B548AE7">
            <w:pPr>
              <w:pBdr/>
              <w:spacing/>
              <w:ind/>
              <w:rPr>
                <w:color w:val="000000" w:themeColor="text1"/>
              </w:rPr>
            </w:pPr>
            <w:r>
              <w:rPr>
                <w:rFonts w:ascii="Times New Roman" w:hAnsi="Times New Roman" w:eastAsia="Times New Roman" w:cs="Times New Roman"/>
                <w:color w:val="000000"/>
                <w:sz w:val="26"/>
              </w:rPr>
              <w:t xml:space="preserve">- Các hướng khác: tiếp giáp các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20.930611111111</w:t>
            </w:r>
            <w:r>
              <w:rPr>
                <w:color w:val="000000"/>
              </w:rPr>
              <w:t xml:space="preserve">, </w:t>
            </w:r>
            <w:r>
              <w:rPr>
                <w:color w:val="000000"/>
              </w:rPr>
              <w:t xml:space="preserve">105.84522222222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5047643"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5047643"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7.45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64,7</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3,38</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19,15</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 Nhà 3 tầng</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r>
            <w:r>
              <w:rPr>
                <w:rFonts w:ascii="Times New Roman" w:hAnsi="Times New Roman" w:eastAsia="Times New Roman" w:cs="Times New Roman"/>
                <w:color w:val="000000"/>
                <w:sz w:val="26"/>
              </w:rPr>
              <w:t xml:space="preserve">Tại</w:t>
            </w:r>
            <w:r>
              <w:rPr>
                <w:rFonts w:ascii="Times New Roman" w:hAnsi="Times New Roman" w:eastAsia="Times New Roman" w:cs="Times New Roman"/>
                <w:color w:val="000000"/>
                <w:sz w:val="26"/>
              </w:rPr>
              <w:t xml:space="preserve"> thời điểm khảo sát, tổ thẩm định nhận thấy trên đất có 01 nhà 3 tầng, kết cấu BTCT, tường gạch chịu lực, sàn lát gạch men, ngoại quan còn khá. Diện tích xây dựng 80m/sàn. Công trình được xây dựng năm 2019.  Hiện công trình chưa được chứng nhận trên GCN số</w:t>
            </w:r>
            <w:r>
              <w:rPr>
                <w:rFonts w:ascii="Times New Roman" w:hAnsi="Times New Roman" w:eastAsia="Times New Roman" w:cs="Times New Roman"/>
                <w:color w:val="000000"/>
                <w:spacing w:val="3"/>
                <w:sz w:val="26"/>
                <w:highlight w:val="white"/>
              </w:rPr>
              <w:t xml:space="preserve"> AA 03656556</w:t>
            </w:r>
            <w:r>
              <w:rPr>
                <w:rFonts w:ascii="Times New Roman" w:hAnsi="Times New Roman" w:eastAsia="Times New Roman" w:cs="Times New Roman"/>
                <w:color w:val="000000"/>
                <w:sz w:val="26"/>
              </w:rPr>
              <w:t xml:space="preserve">.</w:t>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4D2AC1E5" w14:textId="77777777">
      <w:pPr>
        <w:pBdr/>
        <w:spacing w:line="235" w:lineRule="auto"/>
        <w:ind w:left="0"/>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1C9D239E">
      <w:pPr>
        <w:pStyle w:val="1027"/>
        <w:numPr>
          <w:ilvl w:val="0"/>
          <w:numId w:val="3"/>
        </w:numPr>
        <w:pBdr/>
        <w:tabs>
          <w:tab w:val="left" w:leader="none" w:pos="993"/>
        </w:tabs>
        <w:spacing w:after="120" w:before="120" w:line="264" w:lineRule="auto"/>
        <w:ind/>
        <w:jc w:val="both"/>
        <w:rPr>
          <w:rFonts w:ascii="Times New Roman" w:hAnsi="Times New Roman" w:eastAsia="Times New Roman" w:cs="Times New Roman"/>
          <w:color w:val="000000"/>
          <w:sz w:val="24"/>
          <w:szCs w:val="24"/>
        </w:rPr>
      </w:pPr>
      <w:r>
        <w:rPr>
          <w:highlight w:val="none"/>
          <w:lang w:val="pt-BR" w:bidi="pt-BR"/>
        </w:rPr>
      </w:r>
      <w:r>
        <w:rPr>
          <w:rFonts w:ascii="Times New Roman" w:hAnsi="Times New Roman" w:eastAsia="Times New Roman" w:cs="Times New Roman"/>
          <w:color w:val="000000"/>
          <w:sz w:val="24"/>
          <w:szCs w:val="24"/>
        </w:rPr>
        <w:t xml:space="preserve">Tại</w:t>
      </w:r>
      <w:r>
        <w:rPr>
          <w:rFonts w:ascii="Times New Roman" w:hAnsi="Times New Roman" w:eastAsia="Times New Roman" w:cs="Times New Roman"/>
          <w:color w:val="000000"/>
          <w:sz w:val="24"/>
          <w:szCs w:val="24"/>
        </w:rPr>
        <w:t xml:space="preserve"> thời điểm khảo sát, tổ thẩm định nhận thấy trên đất có 01 nhà 3 tầng, kết cấu BTCT, tường gạch chịu lực, sàn lát gạch men, ngoại quan còn khá. Diện tích xây dựng 80m/sàn. Công trình được xây dựng năm 2019.  Hiện công trình chưa được chứng nhận trên GCN số</w:t>
      </w:r>
      <w:r>
        <w:rPr>
          <w:rFonts w:ascii="Times New Roman" w:hAnsi="Times New Roman" w:eastAsia="Times New Roman" w:cs="Times New Roman"/>
          <w:color w:val="000000"/>
          <w:spacing w:val="3"/>
          <w:sz w:val="24"/>
          <w:szCs w:val="24"/>
          <w:highlight w:val="white"/>
        </w:rPr>
        <w:t xml:space="preserve"> AA 03656556</w:t>
      </w:r>
      <w:r>
        <w:rPr>
          <w:rFonts w:ascii="Times New Roman" w:hAnsi="Times New Roman" w:eastAsia="Times New Roman" w:cs="Times New Roman"/>
          <w:color w:val="000000"/>
          <w:sz w:val="24"/>
          <w:szCs w:val="24"/>
        </w:rPr>
        <w:t xml:space="preserve">.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dựng hiện có</w:t>
      </w:r>
      <w:r>
        <w:rPr>
          <w:rFonts w:ascii="Times New Roman" w:hAnsi="Times New Roman" w:eastAsia="Times New Roman" w:cs="Times New Roman"/>
          <w:color w:val="000000"/>
          <w:sz w:val="24"/>
          <w:szCs w:val="24"/>
        </w:rPr>
        <w:t xml:space="preserve"> vào tổng giá trị nhưng vẫn coi công trình xây dựng là phần không thể tách rời của tài sản thẩm định. Kính đề nghị đơn vị sử dụng kết quả lưu ý</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3F680588">
      <w:pPr>
        <w:pStyle w:val="1027"/>
        <w:numPr>
          <w:ilvl w:val="0"/>
          <w:numId w:val="3"/>
        </w:numPr>
        <w:pBdr/>
        <w:tabs>
          <w:tab w:val="left" w:leader="none" w:pos="993"/>
        </w:tabs>
        <w:spacing w:after="120" w:before="120" w:line="264" w:lineRule="auto"/>
        <w:ind/>
        <w:jc w:val="both"/>
        <w:rPr>
          <w:spacing w:val="-2"/>
          <w:sz w:val="24"/>
          <w:szCs w:val="24"/>
        </w:rPr>
      </w:pPr>
      <w:r>
        <w:rPr>
          <w:rFonts w:ascii="Times New Roman" w:hAnsi="Times New Roman" w:eastAsia="Times New Roman" w:cs="Times New Roman"/>
          <w:color w:val="000000"/>
          <w:sz w:val="24"/>
          <w:szCs w:val="24"/>
        </w:rPr>
      </w:r>
      <w:r>
        <w:rPr>
          <w:sz w:val="24"/>
          <w:szCs w:val="24"/>
          <w:highlight w:val="none"/>
          <w:lang w:val="pt-BR" w:bidi="pt-BR"/>
        </w:rPr>
        <w:t xml:space="preserve">Tại thời điểm thẩm định giá, tổ thẩm định đã yêu cầu các bên liên quan thực hiện hướng dẫn khảo sát. Tuy nhiên, việc này đã không được đáp ứng mà chúng tôi chỉ được cung cấp địa chỉ thực tế của tài sản là: </w:t>
      </w:r>
      <w:r>
        <w:rPr>
          <w:color w:val="000000"/>
        </w:rPr>
        <w:t xml:space="preserve">TT Viện điều tra QHR, Xã Vĩnh Quỳnh, Huyện Thanh Trì, Thành phố Hà Nội (nay là số nhà 214 TT Viện điều tra QHR, xã Thanh Trì, thành phố Hà Nội)</w:t>
      </w:r>
      <w:r>
        <w:rPr>
          <w:sz w:val="24"/>
          <w:szCs w:val="24"/>
          <w:highlight w:val="none"/>
          <w:lang w:val="pt-BR" w:bidi="pt-BR"/>
        </w:rPr>
        <w:t xml:space="preserve"> và được yêu cầu t</w:t>
      </w:r>
      <w:r>
        <w:rPr>
          <w:sz w:val="24"/>
          <w:szCs w:val="24"/>
          <w:highlight w:val="none"/>
          <w:lang w:val="pt-BR" w:bidi="pt-BR"/>
        </w:rPr>
        <w:t xml:space="preserve">ự</w:t>
      </w:r>
      <w:r>
        <w:rPr>
          <w:sz w:val="24"/>
          <w:szCs w:val="24"/>
          <w:highlight w:val="none"/>
          <w:lang w:val="pt-BR" w:bidi="pt-BR"/>
        </w:rPr>
        <w:t xml:space="preserve"> thực hiện khảo sát theo địa chỉ này mà không được phép tiếp cận bên trong tài sản thẩm định giá. Do vậy, chúng tôi không có điều kiện để tiến hành khảo sát các đặc điểm kinh tế - kỹ thuật của tài sản thẩm định. Trong điều kiện khảo sát hạn chế nêu trên, C</w:t>
      </w:r>
      <w:r>
        <w:rPr>
          <w:sz w:val="24"/>
          <w:szCs w:val="24"/>
          <w:highlight w:val="none"/>
          <w:lang w:val="pt-BR" w:bidi="pt-BR"/>
        </w:rPr>
        <w:t xml:space="preserve">húng tôi buộc phải đưa ra các giả định cần thiết như sau:</w:t>
      </w:r>
      <w:r>
        <w:rPr>
          <w:spacing w:val="-2"/>
          <w:sz w:val="24"/>
          <w:szCs w:val="24"/>
        </w:rPr>
      </w:r>
      <w:r>
        <w:rPr>
          <w:spacing w:val="-2"/>
          <w:sz w:val="24"/>
          <w:szCs w:val="24"/>
        </w:rPr>
      </w:r>
    </w:p>
    <w:p w14:paraId="40527D88">
      <w:pPr>
        <w:pStyle w:val="1027"/>
        <w:pBdr/>
        <w:tabs>
          <w:tab w:val="left" w:leader="none" w:pos="993"/>
        </w:tabs>
        <w:spacing w:after="120" w:before="120" w:line="264" w:lineRule="auto"/>
        <w:ind/>
        <w:jc w:val="both"/>
        <w:rPr/>
      </w:pPr>
      <w:r>
        <w:rPr>
          <w:sz w:val="24"/>
          <w:szCs w:val="24"/>
          <w:highlight w:val="none"/>
          <w:lang w:val="pt-BR" w:bidi="pt-BR"/>
        </w:rPr>
        <w:t xml:space="preserve">• Địa chỉ tài sản khảo sát được cung cấp là chính xác, phù hợp với vị trí thửa đất trên GCN.</w:t>
      </w:r>
      <w:r/>
    </w:p>
    <w:p w14:paraId="758E898D">
      <w:pPr>
        <w:pStyle w:val="1027"/>
        <w:pBdr/>
        <w:tabs>
          <w:tab w:val="left" w:leader="none" w:pos="993"/>
        </w:tabs>
        <w:spacing w:after="120" w:before="120" w:line="264" w:lineRule="auto"/>
        <w:ind/>
        <w:jc w:val="both"/>
        <w:rPr/>
      </w:pPr>
      <w:r>
        <w:rPr>
          <w:sz w:val="24"/>
          <w:szCs w:val="24"/>
          <w:highlight w:val="none"/>
          <w:lang w:val="pt-BR" w:bidi="pt-BR"/>
        </w:rPr>
        <w:t xml:space="preserve">• Hình dạng, kích thước và diện tích thửa đất thẩm định giá trên hiện trạng là hoàn toàn trùng khớp với hồ sơ pháp lý được cung cấp (làm cơ sở/số liệu tính toán để Tổ thẩm định xác định giá trị quyền sử dụng đất được công nhận);</w:t>
      </w:r>
      <w:r/>
    </w:p>
    <w:p w14:paraId="37070F05">
      <w:pPr>
        <w:pStyle w:val="1027"/>
        <w:pBdr/>
        <w:tabs>
          <w:tab w:val="left" w:leader="none" w:pos="993"/>
        </w:tabs>
        <w:spacing w:after="120" w:before="120" w:line="264" w:lineRule="auto"/>
        <w:ind/>
        <w:jc w:val="both"/>
        <w:rPr/>
      </w:pPr>
      <w:r>
        <w:rPr>
          <w:sz w:val="24"/>
          <w:szCs w:val="24"/>
          <w:highlight w:val="none"/>
          <w:lang w:val="pt-BR" w:bidi="pt-BR"/>
        </w:rPr>
        <w:t xml:space="preserve">• Không có yếu tố nào bên trong khuôn viên tài sản mà chúng tôi chưa có điều kiện tiếp cận làm ảnh hưởng tới giá trị tài sản. </w:t>
      </w:r>
      <w:r>
        <w:rPr>
          <w:sz w:val="24"/>
          <w:szCs w:val="24"/>
          <w:highlight w:val="none"/>
          <w:lang w:val="pt-BR" w:bidi="pt-BR"/>
        </w:rPr>
      </w: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27"/>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27"/>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TT Viện điều tra QHR, Xã Vĩnh Quỳnh, Huyện Thanh Trì,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r>
            <w:r>
              <w:rPr>
                <w:color w:val="000000" w:themeColor="text1"/>
                <w:sz w:val="22"/>
                <w:szCs w:val="22"/>
              </w:rPr>
              <w:t xml:space="preserve">TT Viện điều tra QHR, Xã Vĩnh Quỳnh, Huyện Thanh Trì,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TT Viện điều tra QHR, Xã Vĩnh Quỳnh, Huyện Thanh Trì,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r>
            <w:r>
              <w:rPr>
                <w:color w:val="000000" w:themeColor="text1"/>
                <w:sz w:val="22"/>
                <w:szCs w:val="22"/>
              </w:rPr>
              <w:t xml:space="preserve">TT Viện điều tra QHR, Xã Vĩnh Quỳnh, Huyện Thanh Trì,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https://www.facebook.com/photo?fbid=122191634546552916&amp;set=gm.1484555692644903&amp;idorvanity=379828106451006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Bán nhà Viện Quy hoạch Rừng, Vĩnh Quỳnh, Thanh Trì 72m2 nở hậu, MT 4.8m, giá 11+ tỷ - Bất động sản Xanh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https://www.facebook.com/share/p/16oa4R685Y/</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0395767286</w:t>
            </w:r>
            <w:r>
              <w:rPr>
                <w:sz w:val="22"/>
                <w:szCs w:val="22"/>
              </w:rPr>
              <w:t xml:space="preserve"> </w:t>
            </w:r>
            <w:r>
              <w:rPr>
                <w:sz w:val="22"/>
                <w:szCs w:val="22"/>
              </w:rPr>
              <w:br/>
              <w:t xml:space="preserve">(</w:t>
            </w:r>
            <w:r>
              <w:rPr>
                <w:sz w:val="22"/>
                <w:szCs w:val="22"/>
              </w:rPr>
              <w:t xml:space="preserve">Phạm Tình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0962801899</w:t>
            </w:r>
            <w:r>
              <w:rPr>
                <w:sz w:val="22"/>
                <w:szCs w:val="22"/>
              </w:rPr>
              <w:br/>
            </w:r>
            <w:r>
              <w:rPr>
                <w:sz w:val="22"/>
                <w:szCs w:val="22"/>
              </w:rPr>
              <w:t xml:space="preserve">(</w:t>
            </w:r>
            <w:r>
              <w:rPr>
                <w:sz w:val="22"/>
                <w:szCs w:val="22"/>
              </w:rPr>
              <w:t xml:space="preserve">Luật Nguyễn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0976219786</w:t>
            </w:r>
            <w:r>
              <w:rPr>
                <w:sz w:val="22"/>
                <w:szCs w:val="22"/>
              </w:rPr>
              <w:br/>
            </w:r>
            <w:r>
              <w:rPr>
                <w:sz w:val="22"/>
                <w:szCs w:val="22"/>
              </w:rPr>
              <w:t xml:space="preserve">(</w:t>
            </w:r>
            <w:r>
              <w:rPr>
                <w:sz w:val="22"/>
                <w:szCs w:val="22"/>
              </w:rPr>
              <w:t xml:space="preserve">Tuấn Sơn</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themeColor="text1"/>
                <w:sz w:val="22"/>
                <w:szCs w:val="22"/>
              </w:rPr>
              <w:t xml:space="preserve">Đất ở tại nông thôn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 Cách QL1A khoảng 300m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cách QL1A khoảng 300m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cách QL1A khoảng 200m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cách QL1A khoảng 300m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64,7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48,0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3,52</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Nhà 3 tầng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rPr>
            </w:pPr>
            <w:r>
              <w:rPr>
                <w:color w:val="000000" w:themeColor="text1"/>
                <w:sz w:val="22"/>
                <w:szCs w:val="22"/>
              </w:rPr>
              <w:t xml:space="preserve">144</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7.800.000.000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11.700.000.000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9.300.000.000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7.020.000.000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10.530.000.000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8.370.000.000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t xml:space="preserve">902.039.040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72C533ED">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4B0FD45E">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color w:val="000000" w:themeColor="text1"/>
                <w:sz w:val="22"/>
                <w:szCs w:val="22"/>
                <w:highlight w:val="white"/>
              </w:rPr>
              <w:t xml:space="preserve">Đơn giá xây dựng theo Quyết định số 409/QĐ-BXD ngày 11/4/2025 của Bộ Xây Dựng (đồng/m²</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782699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D071DE3">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8AAA584">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023AF0B">
            <w:pPr>
              <w:pBdr/>
              <w:spacing/>
              <w:ind/>
              <w:jc w:val="center"/>
              <w:rPr>
                <w:color w:val="000000" w:themeColor="text1"/>
                <w:sz w:val="22"/>
                <w:szCs w:val="22"/>
              </w:rPr>
            </w:pPr>
            <w:r>
              <w:rPr>
                <w:color w:val="000000" w:themeColor="text1"/>
                <w:sz w:val="22"/>
                <w:szCs w:val="22"/>
              </w:rPr>
              <w:t xml:space="preserve">8.225.000</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22585DEB">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7E380381">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color w:val="000000" w:themeColor="text1"/>
                <w:sz w:val="22"/>
                <w:szCs w:val="22"/>
                <w:highlight w:val="none"/>
              </w:rPr>
              <w:t xml:space="preserve">Tỷ lệ % CLCL</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7E0F2B7">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0F0FD92">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B9E91D9">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BE00461">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80%</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7.020.000.000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10.530.000.000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8.370.000.000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149.361.702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146.250.000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155.582.520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7.020.000.000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10.530.000.000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7.467.960.960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149.361.702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146.250.000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155.582.520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149.361.702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146.250.000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155.582.520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149.361.702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146.250.000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155.582.520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color w:val="000000" w:themeColor="text1"/>
                <w:sz w:val="22"/>
                <w:szCs w:val="22"/>
              </w:rPr>
              <w:t xml:space="preserve">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149.361.702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146.250.000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155.582.520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Cách QL1A khoảng 300m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cách QL1A khoảng 300m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cách QL1A khoảng 200m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cách QL1A khoảng 300m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149.361.702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146.250.000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155.582.520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149.361.702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146.250.000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155.582.520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5,46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4.387.500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149.361.702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150.637.500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155.582.520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149.361.702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150.637.500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155.582.520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149.361.702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150.637.500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155.582.520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64,7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72,0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48,0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-7.468.085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-7.779.126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141.893.617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150.637.500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147.803.394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3,38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3,52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-4.387.500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141.893.617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146.250.000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147.803.394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-15.558.252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141.893.617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146.250.000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132.245.142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141.893.617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146.250.000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132.245.142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141.893.617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146.250.000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132.245.142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141.893.617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146.250.000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132.245.142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141.893.617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146.250.000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132.245.142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141.893.617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146.250.000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132.245.142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141.893.617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146.250.000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132.245.142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141.893.617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146.250.000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132.245.142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141.893.617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146.250.000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132.245.142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140.129.586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1.26%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4.37%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-5.63%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7.468.085</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8.775.000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23.337.378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- 3%%</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7.468.085</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23.337.378</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-5,63</w:t>
      </w:r>
      <w:r>
        <w:t xml:space="preserve">% đến</w:t>
      </w:r>
      <w:r>
        <w:t xml:space="preserve"> </w:t>
      </w:r>
      <w:r>
        <w:t xml:space="preserve"> </w:t>
      </w:r>
      <w:r>
        <w:t xml:space="preserve">4,37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D0D503C">
      <w:pPr>
        <w:pBdr/>
        <w:spacing/>
        <w:ind/>
        <w:jc w:val="right"/>
        <w:rPr>
          <w:bCs/>
          <w:i/>
        </w:rPr>
      </w:pPr>
      <w:r>
        <w:rPr>
          <w:i/>
          <w:iCs/>
          <w:highlight w:val="none"/>
        </w:rPr>
      </w:r>
      <w:r>
        <w:rPr>
          <w:bCs/>
          <w:i/>
        </w:rPr>
      </w:r>
      <w:r>
        <w:rPr>
          <w:bCs/>
          <w:i/>
        </w:rPr>
      </w:r>
    </w:p>
    <w:p w14:paraId="087D96A7">
      <w:pPr>
        <w:pBdr/>
        <w:spacing/>
        <w:ind/>
        <w:jc w:val="right"/>
        <w:rPr>
          <w:bCs/>
          <w:i/>
          <w:highlight w:val="none"/>
        </w:rPr>
      </w:pPr>
      <w:r>
        <w:rPr>
          <w:i/>
          <w:iCs/>
          <w:highlight w:val="none"/>
        </w:rPr>
      </w:r>
      <w:r>
        <w:rPr>
          <w:bCs/>
          <w:i/>
          <w:highlight w:val="none"/>
        </w:rPr>
      </w:r>
      <w:r>
        <w:rPr>
          <w:bCs/>
          <w:i/>
          <w:highlight w:val="none"/>
        </w:rPr>
      </w:r>
    </w:p>
    <w:p w14:paraId="623D8DBC" w14:textId="3708BDEE">
      <w:pPr>
        <w:pBdr/>
        <w:spacing/>
        <w:ind/>
        <w:jc w:val="right"/>
        <w:rPr>
          <w:i/>
          <w:iCs/>
          <w:highlight w:val="none"/>
        </w:rPr>
      </w:pPr>
      <w:r>
        <w:rPr>
          <w:i/>
          <w:iCs/>
        </w:rPr>
        <w:t xml:space="preserve">Đơn vị tính: Đồng/m²</w:t>
      </w:r>
      <w:r>
        <w:rPr>
          <w:i/>
          <w:iCs/>
          <w:highlight w:val="none"/>
        </w:rPr>
      </w:r>
      <w:r>
        <w:rPr>
          <w:i/>
          <w:iCs/>
          <w:highlight w:val="non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141.893.617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47.307.332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146.250.000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48.745.125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132.245.142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44.077.306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140.129.763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140.000.000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140.000.000</w:t>
      </w:r>
      <w:r>
        <w:rPr>
          <w:b/>
          <w:bCs/>
          <w:color w:val="000000" w:themeColor="text1"/>
        </w:rPr>
        <w:t xml:space="preserve"> </w:t>
      </w:r>
      <w:r>
        <w:rPr>
          <w:b/>
          <w:bCs/>
        </w:rPr>
        <w:t xml:space="preserve">đồng/m².</w:t>
      </w:r>
      <w:r>
        <w:rPr>
          <w:b/>
          <w:bCs/>
        </w:rPr>
      </w:r>
      <w:r>
        <w:rPr>
          <w:b/>
          <w:bCs/>
        </w:rPr>
      </w:r>
    </w:p>
    <w:p w14:paraId="4B506B03" w14:textId="49B8E0F8">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t xml:space="preserve">Quyền sử dụng đất tại thửa đất số: 229, tờ bản đồ số: 01 có địa chỉ: TT Viện điều tra QHR, xã Vĩnh Quỳnh, huyện Thanh Trì, thành phố Hà Nội (nay là số nhà 214 TT Viện điều tra QHR, xã Thanh Trì, thành phố Hà Nội</w:t>
            </w:r>
            <w:r>
              <w:rPr>
                <w:color w:val="000000"/>
              </w:rPr>
              <w:t xml:space="preserve">) theo Giấy chứng nhận quyền sử dụng đất quyền sở hữu nhà ở và tài sản khác gắn liền với đất số: CU 411510, số vào sổ cấp GCN: CS-TTR22192/CH00971 do Sở Tài nguyên và Môi trường Thành phố Hà Nội cấp ngày 17/01/2020; Chủ sử dụng đất là Bà Vương Thị Xuân</w:t>
            </w:r>
            <w:r>
              <w:rPr>
                <w:b/>
                <w:bCs/>
              </w:rPr>
              <w:t xml:space="preserve">.</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14:paraId="5AC2C24C" w14:textId="152DBF60">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64,7</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140.000.000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9.058.000.000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9.058.000.000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9.058.000.000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tỷ năm mươi tám triệu đồng</w:t>
            </w:r>
            <w:r>
              <w:rPr>
                <w:b/>
                <w:bCs/>
                <w:i/>
                <w:iCs/>
                <w:color w:val="000000"/>
              </w:rPr>
              <w:t xml:space="preserve">./.)</w:t>
            </w:r>
            <w:r>
              <w:rPr>
                <w:b/>
                <w:bCs/>
                <w:i/>
                <w:iCs/>
                <w:color w:val="000000"/>
              </w:rPr>
            </w:r>
            <w:r>
              <w:rPr>
                <w:b/>
                <w:bCs/>
                <w:i/>
                <w:iCs/>
                <w:color w:val="000000"/>
              </w:rPr>
            </w:r>
          </w:p>
        </w:tc>
      </w:tr>
    </w:tbl>
    <w:p w14:paraId="187E2E91" w14:textId="56B58432">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w:t>
      </w:r>
      <w:r>
        <w:rPr>
          <w:lang w:val="pt-BR"/>
        </w:rPr>
        <w:t xml:space="preserve"> cầu thẩm định giá </w:t>
      </w:r>
      <w:r>
        <w:rPr>
          <w:lang w:val="pt-BR"/>
        </w:rPr>
        <w:t xml:space="preserve">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w:t>
      </w:r>
      <w:r>
        <w:rPr>
          <w:lang w:val="pt-BR"/>
        </w:rPr>
        <w:t xml:space="preserve">á.</w:t>
      </w:r>
      <w:r>
        <w:rPr>
          <w:b/>
          <w:lang w:val="pt-BR"/>
        </w:rPr>
      </w:r>
      <w:r>
        <w:rPr>
          <w:b/>
          <w:lang w:val="pt-BR"/>
        </w:rPr>
      </w:r>
    </w:p>
    <w:p w14:paraId="6FBCE7CC" w14:textId="77777777">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5144D5C3">
      <w:pPr>
        <w:pStyle w:val="1027"/>
        <w:numPr>
          <w:ilvl w:val="0"/>
          <w:numId w:val="39"/>
        </w:numPr>
        <w:pBdr/>
        <w:tabs>
          <w:tab w:val="left" w:leader="none" w:pos="993"/>
        </w:tabs>
        <w:spacing w:after="120" w:before="120" w:line="264" w:lineRule="auto"/>
        <w:ind/>
        <w:jc w:val="both"/>
        <w:rPr>
          <w:spacing w:val="-2"/>
          <w:sz w:val="24"/>
          <w:szCs w:val="24"/>
        </w:rPr>
      </w:pPr>
      <w:r>
        <w:rPr>
          <w:rFonts w:ascii="Times New Roman" w:hAnsi="Times New Roman" w:eastAsia="Times New Roman" w:cs="Times New Roman"/>
          <w:color w:val="000000"/>
          <w:sz w:val="24"/>
          <w:szCs w:val="24"/>
        </w:rPr>
      </w:r>
      <w:r>
        <w:rPr>
          <w:sz w:val="24"/>
          <w:szCs w:val="24"/>
          <w:highlight w:val="none"/>
          <w:lang w:val="pt-BR" w:bidi="pt-BR"/>
        </w:rPr>
        <w:t xml:space="preserve">Tại thời điểm thẩm định giá, tổ thẩm định đã yêu cầu các bên liên quan thực hiện hướng dẫn khảo sát. Tuy nhiên, việc này đã không được đáp ứng mà chúng tôi chỉ được cung cấp địa chỉ thực tế của tài sản là: </w:t>
      </w:r>
      <w:r>
        <w:rPr>
          <w:color w:val="000000"/>
        </w:rPr>
        <w:t xml:space="preserve">TT Viện điều tra QHR, Xã Vĩnh Quỳnh, Huyện Thanh Trì, Thành phố Hà Nội (nay là số nhà 214 TT Viện điều tra QHR, xã Thanh Trì, thành phố Hà Nội)</w:t>
      </w:r>
      <w:r>
        <w:rPr>
          <w:sz w:val="24"/>
          <w:szCs w:val="24"/>
          <w:highlight w:val="none"/>
          <w:lang w:val="pt-BR" w:bidi="pt-BR"/>
        </w:rPr>
        <w:t xml:space="preserve"> và được yêu cầu t</w:t>
      </w:r>
      <w:r>
        <w:rPr>
          <w:sz w:val="24"/>
          <w:szCs w:val="24"/>
          <w:highlight w:val="none"/>
          <w:lang w:val="pt-BR" w:bidi="pt-BR"/>
        </w:rPr>
        <w:t xml:space="preserve">ự</w:t>
      </w:r>
      <w:r>
        <w:rPr>
          <w:sz w:val="24"/>
          <w:szCs w:val="24"/>
          <w:highlight w:val="none"/>
          <w:lang w:val="pt-BR" w:bidi="pt-BR"/>
        </w:rPr>
        <w:t xml:space="preserve"> thực hiện khảo sát theo địa chỉ này mà không được phép tiếp cận bên trong tài sản thẩm định giá. Do vậy, chúng tôi không có điều kiện để tiến hành khảo sát các đặc điểm kinh tế - kỹ thuật của tài sản thẩm định. Trong điều kiện khảo sát hạn chế nêu trên, C</w:t>
      </w:r>
      <w:r>
        <w:rPr>
          <w:sz w:val="24"/>
          <w:szCs w:val="24"/>
          <w:highlight w:val="none"/>
          <w:lang w:val="pt-BR" w:bidi="pt-BR"/>
        </w:rPr>
        <w:t xml:space="preserve">húng tôi buộc phải đưa ra các giả định cần thiết như sau:</w:t>
      </w:r>
      <w:r>
        <w:rPr>
          <w:spacing w:val="-2"/>
          <w:sz w:val="24"/>
          <w:szCs w:val="24"/>
        </w:rPr>
      </w:r>
      <w:r>
        <w:rPr>
          <w:spacing w:val="-2"/>
          <w:sz w:val="24"/>
          <w:szCs w:val="24"/>
        </w:rPr>
      </w:r>
    </w:p>
    <w:p w14:paraId="6390586C">
      <w:pPr>
        <w:pStyle w:val="1027"/>
        <w:pBdr/>
        <w:tabs>
          <w:tab w:val="left" w:leader="none" w:pos="993"/>
        </w:tabs>
        <w:spacing w:after="120" w:before="120" w:line="264" w:lineRule="auto"/>
        <w:ind/>
        <w:jc w:val="both"/>
        <w:rPr/>
      </w:pPr>
      <w:r>
        <w:rPr>
          <w:sz w:val="24"/>
          <w:szCs w:val="24"/>
          <w:highlight w:val="none"/>
          <w:lang w:val="pt-BR" w:bidi="pt-BR"/>
        </w:rPr>
        <w:t xml:space="preserve">• Địa chỉ tài sản khảo sát được cung cấp là chính xác, phù hợp với vị trí thửa đất trên GCN.</w:t>
      </w:r>
      <w:r/>
    </w:p>
    <w:p w14:paraId="76B0A188">
      <w:pPr>
        <w:pStyle w:val="1027"/>
        <w:pBdr/>
        <w:tabs>
          <w:tab w:val="left" w:leader="none" w:pos="993"/>
        </w:tabs>
        <w:spacing w:after="120" w:before="120" w:line="264" w:lineRule="auto"/>
        <w:ind/>
        <w:jc w:val="both"/>
        <w:rPr/>
      </w:pPr>
      <w:r>
        <w:rPr>
          <w:sz w:val="24"/>
          <w:szCs w:val="24"/>
          <w:highlight w:val="none"/>
          <w:lang w:val="pt-BR" w:bidi="pt-BR"/>
        </w:rPr>
        <w:t xml:space="preserve">• Hình dạng, kích thước và diện tích thửa đất thẩm định giá trên hiện trạng là hoàn toàn trùng khớp với hồ sơ pháp lý được cung cấp (làm cơ sở/số liệu tính toán để Tổ thẩm định xác định giá trị quyền sử dụng đất được công nhận);</w:t>
      </w:r>
      <w:r/>
    </w:p>
    <w:p w14:paraId="6B8BEE20" w14:textId="7336718B">
      <w:pPr>
        <w:pBdr/>
        <w:spacing w:after="120" w:before="120" w:line="288" w:lineRule="auto"/>
        <w:ind w:firstLine="0" w:left="360"/>
        <w:jc w:val="both"/>
        <w:rPr>
          <w:shd w:val="clear" w:color="auto" w:fill="ffffff"/>
          <w:lang w:val="pt-BR"/>
        </w:rPr>
      </w:pPr>
      <w:r>
        <w:rPr>
          <w:sz w:val="24"/>
          <w:szCs w:val="24"/>
          <w:highlight w:val="none"/>
          <w:lang w:val="pt-BR" w:bidi="pt-BR"/>
        </w:rPr>
        <w:tab/>
        <w:t xml:space="preserve">• Không có yếu tố nào bên trong khuôn viên tài sản mà chúng tôi chưa có điều kiện tiếp cận làm ảnh hưởng tới giá trị tài sản.</w:t>
      </w: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71D047CC">
      <w:pPr>
        <w:pBdr/>
        <w:shd w:val="nil" w:color="auto"/>
        <w:spacing/>
        <w:ind/>
        <w:rPr>
          <w:lang w:val="vi-VN"/>
        </w:rPr>
      </w:pPr>
      <w:r>
        <w:rPr>
          <w:highlight w:val="none"/>
          <w:lang w:val="vi-VN"/>
        </w:rPr>
        <w:br w:type="page" w:clear="all"/>
      </w:r>
      <w:r>
        <w:rPr>
          <w:highlight w:val="none"/>
          <w:lang w:val="vi-VN"/>
        </w:rPr>
      </w:r>
      <w:r>
        <w:rPr>
          <w:lang w:val="vi-VN"/>
        </w:rPr>
      </w:r>
    </w:p>
    <w:p w14:paraId="699F9D9D" w14:textId="4418D349">
      <w:pPr>
        <w:pStyle w:val="1027"/>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275/2025/1799/VFI-CT.48.A</w:t>
      </w:r>
      <w:r>
        <w:rPr>
          <w:color w:val="ff0000"/>
          <w:lang w:val="vi-VN"/>
        </w:rPr>
        <w:t xml:space="preserve"> </w:t>
      </w:r>
      <w:r>
        <w:rPr>
          <w:color w:val="000000" w:themeColor="text1"/>
        </w:rPr>
        <w:t xml:space="preserve">ngày 13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w:t>
            </w:r>
            <w:r>
              <w:rPr>
                <w:rFonts w:eastAsia="Calibri"/>
                <w:bCs/>
                <w:highlight w:val="white"/>
                <w:lang w:val="vi-VN"/>
              </w:rPr>
              <w:t xml:space="preserve">viên </w:t>
            </w:r>
            <w:r>
              <w:rPr>
                <w:rFonts w:eastAsia="Calibri"/>
                <w:bCs/>
                <w:highlight w:val="white"/>
                <w:lang w:val="vi-VN"/>
              </w:rPr>
              <w:t xml:space="preserve">về giá: </w:t>
            </w:r>
            <w:r>
              <w:rPr>
                <w:rFonts w:ascii="Times New Roman" w:hAnsi="Times New Roman" w:eastAsia="Times New Roman" w:cs="Times New Roman"/>
                <w:color w:val="000000"/>
                <w:sz w:val="24"/>
                <w:highlight w:val="white"/>
              </w:rPr>
              <w:t xml:space="preserve">X</w:t>
            </w:r>
            <w:r>
              <w:rPr>
                <w:rFonts w:ascii="Times New Roman" w:hAnsi="Times New Roman" w:eastAsia="Times New Roman" w:cs="Times New Roman"/>
                <w:color w:val="000000"/>
                <w:sz w:val="24"/>
                <w:highlight w:val="white"/>
              </w:rPr>
              <w:t xml:space="preserve">VI25</w:t>
            </w:r>
            <w:r>
              <w:rPr>
                <w:rFonts w:ascii="Times New Roman" w:hAnsi="Times New Roman" w:eastAsia="Times New Roman" w:cs="Times New Roman"/>
                <w:color w:val="000000"/>
                <w:sz w:val="24"/>
              </w:rPr>
              <w:t xml:space="preserve">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275/2025/1799/VFI-BC.48.A</w:t>
      </w:r>
      <w:r>
        <w:rPr>
          <w:i/>
          <w:lang w:val="pt-BR"/>
        </w:rPr>
        <w:t xml:space="preserve"> </w:t>
      </w:r>
      <w:r>
        <w:rPr>
          <w:i/>
          <w:lang w:val="pt-BR"/>
        </w:rPr>
        <w:t xml:space="preserve">13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34353"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34353"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94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34353"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434353"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94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9.22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34353"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1434353"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2.94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807720" cy="241029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373033" name=""/>
                              <pic:cNvPicPr>
                                <a:picLocks noChangeAspect="1"/>
                              </pic:cNvPicPr>
                              <pic:nvPr/>
                            </pic:nvPicPr>
                            <pic:blipFill rotWithShape="1">
                              <a:blip r:embed="rId23"/>
                              <a:stretch/>
                            </pic:blipFill>
                            <pic:spPr bwMode="auto">
                              <a:xfrm flipH="0" flipV="0">
                                <a:off x="0" y="0"/>
                                <a:ext cx="1807720" cy="24102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42.34pt;height:189.79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823139" cy="243085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052718" name=""/>
                              <pic:cNvPicPr>
                                <a:picLocks noChangeAspect="1"/>
                              </pic:cNvPicPr>
                              <pic:nvPr/>
                            </pic:nvPicPr>
                            <pic:blipFill rotWithShape="1">
                              <a:blip r:embed="rId24"/>
                              <a:stretch/>
                            </pic:blipFill>
                            <pic:spPr bwMode="auto">
                              <a:xfrm flipH="0" flipV="0">
                                <a:off x="0" y="0"/>
                                <a:ext cx="1823139" cy="24308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43.55pt;height:191.41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275/2025/1799/VFI-BC.48.A</w:t>
      </w:r>
      <w:r>
        <w:rPr>
          <w:i/>
          <w:lang w:val="pt-BR"/>
        </w:rPr>
        <w:t xml:space="preserve"> </w:t>
      </w:r>
      <w:r>
        <w:rPr>
          <w:i/>
          <w:lang w:val="pt-BR"/>
        </w:rPr>
        <w:t xml:space="preserve">13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https://www.facebook.com/photo?fbid=122191634546552916&amp;set=gm.1484555692644903&amp;idorvanity=379828106451006</w:t>
            </w:r>
            <w:r>
              <w:rPr>
                <w:color w:val="000000" w:themeColor="text1"/>
                <w:sz w:val="22"/>
                <w:szCs w:val="22"/>
              </w:rPr>
              <w:br/>
              <w:t xml:space="preserve">0395767286</w:t>
            </w:r>
            <w:r>
              <w:rPr>
                <w:sz w:val="22"/>
                <w:szCs w:val="22"/>
              </w:rPr>
              <w:t xml:space="preserve"> </w:t>
            </w:r>
            <w:r>
              <w:rPr>
                <w:sz w:val="22"/>
                <w:szCs w:val="22"/>
              </w:rPr>
              <w:br/>
              <w:t xml:space="preserve">(Phạm Tình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7.800.000.000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7.020.000.000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nông thôn (47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cách QL1A khoảng 300m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47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6C4A7FDF" w14:textId="77777777">
            <w:pPr>
              <w:pBdr/>
              <w:spacing w:line="276" w:lineRule="auto"/>
              <w:ind/>
              <w:rPr>
                <w:color w:val="000000"/>
                <w:sz w:val="22"/>
                <w:szCs w:val="22"/>
              </w:rPr>
            </w:pPr>
            <w:r>
              <w:rPr>
                <w:color w:val="000000"/>
                <w:sz w:val="22"/>
                <w:szCs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671040" behindDoc="0" locked="0" layoutInCell="1" allowOverlap="1">
                      <wp:simplePos x="0" y="0"/>
                      <wp:positionH relativeFrom="column">
                        <wp:posOffset>4297531</wp:posOffset>
                      </wp:positionH>
                      <wp:positionV relativeFrom="paragraph">
                        <wp:posOffset>28874</wp:posOffset>
                      </wp:positionV>
                      <wp:extent cx="957749" cy="2187719"/>
                      <wp:effectExtent l="0" t="0" r="0" b="0"/>
                      <wp:wrapThrough wrapText="bothSides">
                        <wp:wrapPolygon edited="1">
                          <wp:start x="0" y="0"/>
                          <wp:lineTo x="21600" y="0"/>
                          <wp:lineTo x="21600" y="21600"/>
                          <wp:lineTo x="0" y="21600"/>
                        </wp:wrapPolygon>
                      </wp:wrapThrough>
                      <wp:docPr id="12" name=""/>
                      <wp:cNvGraphicFramePr/>
                      <a:graphic xmlns:a="http://schemas.openxmlformats.org/drawingml/2006/main">
                        <a:graphicData uri="http://schemas.openxmlformats.org/drawingml/2006/picture">
                          <pic:pic xmlns:pic="http://schemas.openxmlformats.org/drawingml/2006/picture">
                            <pic:nvPicPr>
                              <pic:cNvPr id="114173018" name="" descr=""/>
                              <pic:cNvPicPr/>
                              <pic:nvPr/>
                            </pic:nvPicPr>
                            <pic:blipFill rotWithShape="1">
                              <a:blip r:embed="rId25"/>
                              <a:stretch/>
                            </pic:blipFill>
                            <pic:spPr bwMode="auto">
                              <a:xfrm flipH="0" flipV="0">
                                <a:off x="0" y="0"/>
                                <a:ext cx="957749" cy="2187718"/>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position:absolute;z-index:251671040;o:allowoverlap:true;o:allowincell:true;mso-position-horizontal-relative:text;margin-left:338.39pt;mso-position-horizontal:absolute;mso-position-vertical-relative:text;margin-top:2.27pt;mso-position-vertical:absolute;width:75.41pt;height:172.26pt;mso-wrap-distance-left:9.07pt;mso-wrap-distance-top:0.00pt;mso-wrap-distance-right:9.07pt;mso-wrap-distance-bottom:0.00pt;z-index:1;" wrapcoords="0 0 100000 0 100000 100000 0 100000" stroked="false">
                      <w10:wrap type="through"/>
                      <v:imagedata r:id="rId25"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5200" distR="115200" simplePos="0" relativeHeight="251668992" behindDoc="0" locked="0" layoutInCell="1" allowOverlap="1">
                      <wp:simplePos x="0" y="0"/>
                      <wp:positionH relativeFrom="column">
                        <wp:posOffset>3159697</wp:posOffset>
                      </wp:positionH>
                      <wp:positionV relativeFrom="paragraph">
                        <wp:posOffset>28874</wp:posOffset>
                      </wp:positionV>
                      <wp:extent cx="1021486" cy="2187719"/>
                      <wp:effectExtent l="0" t="0" r="0" b="0"/>
                      <wp:wrapThrough wrapText="bothSides">
                        <wp:wrapPolygon edited="1">
                          <wp:start x="0" y="0"/>
                          <wp:lineTo x="21600" y="0"/>
                          <wp:lineTo x="21600" y="21600"/>
                          <wp:lineTo x="0" y="21600"/>
                        </wp:wrapPolygon>
                      </wp:wrapThrough>
                      <wp:docPr id="13" name=""/>
                      <wp:cNvGraphicFramePr/>
                      <a:graphic xmlns:a="http://schemas.openxmlformats.org/drawingml/2006/main">
                        <a:graphicData uri="http://schemas.openxmlformats.org/drawingml/2006/picture">
                          <pic:pic xmlns:pic="http://schemas.openxmlformats.org/drawingml/2006/picture">
                            <pic:nvPicPr>
                              <pic:cNvPr id="389068017" name="" descr=""/>
                              <pic:cNvPicPr/>
                              <pic:nvPr/>
                            </pic:nvPicPr>
                            <pic:blipFill rotWithShape="1">
                              <a:blip r:embed="rId26"/>
                              <a:stretch/>
                            </pic:blipFill>
                            <pic:spPr bwMode="auto">
                              <a:xfrm flipH="0" flipV="0">
                                <a:off x="0" y="0"/>
                                <a:ext cx="1021485" cy="2187718"/>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position:absolute;z-index:251668992;o:allowoverlap:true;o:allowincell:true;mso-position-horizontal-relative:text;margin-left:248.80pt;mso-position-horizontal:absolute;mso-position-vertical-relative:text;margin-top:2.27pt;mso-position-vertical:absolute;width:80.43pt;height:172.26pt;mso-wrap-distance-left:9.07pt;mso-wrap-distance-top:0.00pt;mso-wrap-distance-right:9.07pt;mso-wrap-distance-bottom:0.00pt;z-index:1;" wrapcoords="0 0 100000 0 100000 100000 0 100000" stroked="false">
                      <w10:wrap type="through"/>
                      <v:imagedata r:id="rId26"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5200" distR="115200" simplePos="0" relativeHeight="251667968" behindDoc="0" locked="0" layoutInCell="1" allowOverlap="1">
                      <wp:simplePos x="0" y="0"/>
                      <wp:positionH relativeFrom="column">
                        <wp:posOffset>0</wp:posOffset>
                      </wp:positionH>
                      <wp:positionV relativeFrom="paragraph">
                        <wp:posOffset>115465</wp:posOffset>
                      </wp:positionV>
                      <wp:extent cx="3096165" cy="1520969"/>
                      <wp:effectExtent l="0" t="0" r="0" b="0"/>
                      <wp:wrapThrough wrapText="bothSides">
                        <wp:wrapPolygon edited="1">
                          <wp:start x="0" y="0"/>
                          <wp:lineTo x="21600" y="0"/>
                          <wp:lineTo x="21600" y="21600"/>
                          <wp:lineTo x="0" y="21600"/>
                        </wp:wrapPolygon>
                      </wp:wrapThrough>
                      <wp:docPr id="14" name=""/>
                      <wp:cNvGraphicFramePr/>
                      <a:graphic xmlns:a="http://schemas.openxmlformats.org/drawingml/2006/main">
                        <a:graphicData uri="http://schemas.openxmlformats.org/drawingml/2006/picture">
                          <pic:pic xmlns:pic="http://schemas.openxmlformats.org/drawingml/2006/picture">
                            <pic:nvPicPr>
                              <pic:cNvPr id="1481915750" name="" descr=""/>
                              <pic:cNvPicPr/>
                              <pic:nvPr/>
                            </pic:nvPicPr>
                            <pic:blipFill rotWithShape="1">
                              <a:blip r:embed="rId27"/>
                              <a:stretch/>
                            </pic:blipFill>
                            <pic:spPr bwMode="auto">
                              <a:xfrm flipH="0" flipV="0">
                                <a:off x="0" y="0"/>
                                <a:ext cx="3096164" cy="1520969"/>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position:absolute;z-index:251667968;o:allowoverlap:true;o:allowincell:true;mso-position-horizontal-relative:text;margin-left:0.00pt;mso-position-horizontal:absolute;mso-position-vertical-relative:text;margin-top:9.09pt;mso-position-vertical:absolute;width:243.79pt;height:119.76pt;mso-wrap-distance-left:9.07pt;mso-wrap-distance-top:0.00pt;mso-wrap-distance-right:9.07pt;mso-wrap-distance-bottom:0.00pt;z-index:1;" wrapcoords="0 0 100000 0 100000 100000 0 100000" stroked="false">
                      <w10:wrap type="through"/>
                      <v:imagedata r:id="rId27" o:title=""/>
                      <o:lock v:ext="edit" rotation="t"/>
                    </v:shape>
                  </w:pict>
                </mc:Fallback>
              </mc:AlternateConten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51F064FB">
            <w:pPr>
              <w:pBdr/>
              <w:spacing/>
              <w:ind/>
              <w:jc w:val="left"/>
              <w:rPr>
                <w:b/>
                <w:bCs/>
              </w:rPr>
            </w:pPr>
            <w:r>
              <w:rPr>
                <w:b/>
                <w:bCs/>
              </w:rPr>
            </w:r>
            <w:r>
              <w:rPr>
                <w:b/>
                <w:bCs/>
              </w:rPr>
            </w:r>
            <w:r>
              <w:rPr>
                <w:b/>
                <w:bCs/>
              </w:rPr>
            </w:r>
          </w:p>
          <w:p w14:paraId="054B120F">
            <w:pPr>
              <w:pBdr/>
              <w:spacing/>
              <w:ind/>
              <w:jc w:val="left"/>
              <w:rPr>
                <w:b/>
                <w:bCs/>
              </w:rPr>
            </w:pPr>
            <w:r>
              <w:rPr>
                <w:b/>
                <w:bCs/>
              </w:rPr>
            </w:r>
            <w:r>
              <w:rPr>
                <w:b/>
                <w:bCs/>
              </w:rPr>
            </w:r>
            <w:r>
              <w:rPr>
                <w:b/>
                <w:bCs/>
              </w:rPr>
            </w:r>
          </w:p>
          <w:p w14:paraId="2A8963FF" w14:textId="77777777">
            <w:pPr>
              <w:pBdr/>
              <w:spacing/>
              <w:ind/>
              <w:jc w:val="left"/>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t xml:space="preserve">Phạm Thị Dung</w:t>
            </w:r>
            <w:r>
              <w:rPr>
                <w:b/>
                <w:bCs/>
              </w:rPr>
            </w:r>
            <w:r>
              <w:rPr>
                <w:b/>
                <w:bCs/>
              </w:rPr>
            </w:r>
          </w:p>
        </w:tc>
      </w:tr>
    </w:tbl>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Bán nhà Viện Quy hoạch Rừng, Vĩnh Quỳnh, Thanh Trì 72m2 nở hậu, MT 4.8m, giá 11+ tỷ - Bất động sản Xanh</w:t>
            </w:r>
            <w:r>
              <w:rPr>
                <w:color w:val="000000" w:themeColor="text1"/>
                <w:sz w:val="22"/>
                <w:szCs w:val="22"/>
              </w:rPr>
              <w:br/>
              <w:t xml:space="preserve">0962801899</w:t>
            </w:r>
            <w:r>
              <w:rPr>
                <w:sz w:val="22"/>
                <w:szCs w:val="22"/>
              </w:rPr>
              <w:t xml:space="preserve"> </w:t>
            </w:r>
            <w:r>
              <w:rPr>
                <w:sz w:val="22"/>
                <w:szCs w:val="22"/>
              </w:rPr>
              <w:br/>
              <w:t xml:space="preserve">(Luật Nguyễn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11.700.000.000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10.530.000.000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nông thôn (72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cách QL1A khoảng 200m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72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39546858" w14:textId="77777777">
            <w:pPr>
              <w:pBdr/>
              <w:spacing w:line="276" w:lineRule="auto"/>
              <w:ind/>
              <w:rPr>
                <w:color w:val="000000"/>
                <w:sz w:val="22"/>
                <w:szCs w:val="22"/>
              </w:rPr>
            </w:pPr>
            <w:r>
              <w:rPr>
                <w:b/>
                <w:bCs/>
                <w:color w:val="000000"/>
                <w:sz w:val="22"/>
                <w:szCs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694592" behindDoc="0" locked="0" layoutInCell="1" allowOverlap="1">
                      <wp:simplePos x="0" y="0"/>
                      <wp:positionH relativeFrom="column">
                        <wp:posOffset>3523581</wp:posOffset>
                      </wp:positionH>
                      <wp:positionV relativeFrom="paragraph">
                        <wp:posOffset>83725</wp:posOffset>
                      </wp:positionV>
                      <wp:extent cx="969747" cy="2154993"/>
                      <wp:effectExtent l="0" t="0" r="0" b="0"/>
                      <wp:wrapThrough wrapText="bothSides">
                        <wp:wrapPolygon edited="1">
                          <wp:start x="0" y="0"/>
                          <wp:lineTo x="21600" y="0"/>
                          <wp:lineTo x="21600" y="21600"/>
                          <wp:lineTo x="0" y="21600"/>
                        </wp:wrapPolygon>
                      </wp:wrapThrough>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200334" name=""/>
                              <pic:cNvPicPr>
                                <a:picLocks noChangeAspect="1"/>
                              </pic:cNvPicPr>
                              <pic:nvPr/>
                            </pic:nvPicPr>
                            <pic:blipFill rotWithShape="1">
                              <a:blip r:embed="rId28"/>
                              <a:stretch/>
                            </pic:blipFill>
                            <pic:spPr bwMode="auto">
                              <a:xfrm flipH="0" flipV="0">
                                <a:off x="0" y="0"/>
                                <a:ext cx="969747" cy="2154993"/>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position:absolute;z-index:251694592;o:allowoverlap:true;o:allowincell:true;mso-position-horizontal-relative:text;margin-left:277.45pt;mso-position-horizontal:absolute;mso-position-vertical-relative:text;margin-top:6.59pt;mso-position-vertical:absolute;width:76.36pt;height:169.68pt;mso-wrap-distance-left:9.07pt;mso-wrap-distance-top:0.00pt;mso-wrap-distance-right:9.07pt;mso-wrap-distance-bottom:0.00pt;z-index:1;" wrapcoords="0 0 100000 0 100000 100000 0 100000" stroked="false">
                      <w10:wrap type="through"/>
                      <v:imagedata r:id="rId28"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5200" distR="115200" simplePos="0" relativeHeight="251691520" behindDoc="0" locked="0" layoutInCell="1" allowOverlap="1">
                      <wp:simplePos x="0" y="0"/>
                      <wp:positionH relativeFrom="column">
                        <wp:posOffset>-68580</wp:posOffset>
                      </wp:positionH>
                      <wp:positionV relativeFrom="paragraph">
                        <wp:posOffset>83725</wp:posOffset>
                      </wp:positionV>
                      <wp:extent cx="3592161" cy="1962930"/>
                      <wp:effectExtent l="0" t="0" r="0" b="0"/>
                      <wp:wrapThrough wrapText="bothSides">
                        <wp:wrapPolygon edited="1">
                          <wp:start x="0" y="0"/>
                          <wp:lineTo x="21600" y="0"/>
                          <wp:lineTo x="21600" y="21600"/>
                          <wp:lineTo x="0" y="21600"/>
                        </wp:wrapPolygon>
                      </wp:wrapThrough>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128053" name=""/>
                              <pic:cNvPicPr>
                                <a:picLocks noChangeAspect="1"/>
                              </pic:cNvPicPr>
                              <pic:nvPr/>
                            </pic:nvPicPr>
                            <pic:blipFill rotWithShape="1">
                              <a:blip r:embed="rId29"/>
                              <a:stretch/>
                            </pic:blipFill>
                            <pic:spPr bwMode="auto">
                              <a:xfrm flipH="0" flipV="0">
                                <a:off x="0" y="0"/>
                                <a:ext cx="3592161" cy="1962929"/>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position:absolute;z-index:251691520;o:allowoverlap:true;o:allowincell:true;mso-position-horizontal-relative:text;margin-left:-5.40pt;mso-position-horizontal:absolute;mso-position-vertical-relative:text;margin-top:6.59pt;mso-position-vertical:absolute;width:282.85pt;height:154.56pt;mso-wrap-distance-left:9.07pt;mso-wrap-distance-top:0.00pt;mso-wrap-distance-right:9.07pt;mso-wrap-distance-bottom:0.00pt;z-index:1;" wrapcoords="0 0 100000 0 100000 100000 0 100000" stroked="false">
                      <w10:wrap type="through"/>
                      <v:imagedata r:id="rId29" o:title=""/>
                      <o:lock v:ext="edit" rotation="t"/>
                    </v:shape>
                  </w:pict>
                </mc:Fallback>
              </mc:AlternateContent>
            </w:r>
            <w:r>
              <w:rPr>
                <w:b/>
                <w:bCs/>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08469C63">
            <w:pPr>
              <w:pBdr/>
              <w:spacing/>
              <w:ind/>
              <w:rPr>
                <w:b/>
                <w:bCs/>
              </w:rPr>
            </w:pPr>
            <w:r>
              <w:rPr>
                <w:b/>
                <w:bCs/>
              </w:rPr>
            </w:r>
            <w:r>
              <w:rPr>
                <w:b/>
                <w:bCs/>
              </w:rPr>
            </w:r>
            <w:r>
              <w:rPr>
                <w:b/>
                <w:bCs/>
              </w:rPr>
            </w:r>
          </w:p>
          <w:p w14:paraId="2D2A4B80">
            <w:pPr>
              <w:pBdr/>
              <w:spacing/>
              <w:ind/>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Phạm Thị Dung</w:t>
            </w:r>
            <w:r/>
          </w:p>
        </w:tc>
      </w:tr>
    </w:tbl>
    <w:p w14:paraId="40A6A2DF" w14:textId="77777777">
      <w:pPr>
        <w:pBdr/>
        <w:spacing w:after="200" w:line="276" w:lineRule="auto"/>
        <w:ind/>
        <w:rPr>
          <w:iCs/>
          <w:lang w:val="pt-BR"/>
        </w:rPr>
      </w:pPr>
      <w:r>
        <w:rPr>
          <w:iCs/>
          <w:lang w:val="pt-BR"/>
        </w:rPr>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https://www.facebook.com/share/p/16oa4R685Y/</w:t>
            </w:r>
            <w:r>
              <w:rPr>
                <w:color w:val="000000" w:themeColor="text1"/>
                <w:sz w:val="22"/>
                <w:szCs w:val="22"/>
              </w:rPr>
              <w:br/>
            </w:r>
            <w:r>
              <w:rPr>
                <w:sz w:val="22"/>
                <w:szCs w:val="22"/>
              </w:rPr>
              <w:t xml:space="preserve">SĐT: </w:t>
            </w:r>
            <w:r>
              <w:rPr>
                <w:color w:val="000000" w:themeColor="text1"/>
                <w:sz w:val="22"/>
                <w:szCs w:val="22"/>
              </w:rPr>
              <w:t xml:space="preserve">0976219786</w:t>
            </w:r>
            <w:r>
              <w:rPr>
                <w:sz w:val="22"/>
                <w:szCs w:val="22"/>
              </w:rPr>
              <w:t xml:space="preserve"> </w:t>
            </w:r>
            <w:r>
              <w:rPr>
                <w:sz w:val="22"/>
                <w:szCs w:val="22"/>
              </w:rPr>
              <w:br/>
              <w:t xml:space="preserve">(Tuấn Sơn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9.300.000.000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8.370.000.000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397"/>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nông thôn (48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 Tài sản cách QL1A khoảng 300m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3,52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4F234DF6" w14:textId="77777777">
            <w:pPr>
              <w:pBdr/>
              <w:spacing w:line="276" w:lineRule="auto"/>
              <w:ind/>
              <w:rPr>
                <w:b/>
                <w:bCs/>
                <w:color w:val="000000"/>
                <w:sz w:val="22"/>
                <w:szCs w:val="22"/>
              </w:rPr>
            </w:pPr>
            <w:r>
              <w:rPr>
                <w:b/>
                <w:bCs/>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069732" cy="172672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067290" name=""/>
                              <pic:cNvPicPr>
                                <a:picLocks noChangeAspect="1"/>
                              </pic:cNvPicPr>
                              <pic:nvPr/>
                            </pic:nvPicPr>
                            <pic:blipFill rotWithShape="1">
                              <a:blip r:embed="rId30"/>
                              <a:stretch/>
                            </pic:blipFill>
                            <pic:spPr bwMode="auto">
                              <a:xfrm flipH="0" flipV="0">
                                <a:off x="0" y="0"/>
                                <a:ext cx="3069731" cy="17267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41.71pt;height:135.96pt;mso-wrap-distance-left:0.00pt;mso-wrap-distance-top:0.00pt;mso-wrap-distance-right:0.00pt;mso-wrap-distance-bottom:0.00pt;z-index:1;" stroked="false">
                      <v:imagedata r:id="rId30" o:title=""/>
                      <o:lock v:ext="edit" rotation="t"/>
                    </v:shape>
                  </w:pict>
                </mc:Fallback>
              </mc:AlternateContent>
            </w:r>
            <w:r>
              <mc:AlternateContent>
                <mc:Choice Requires="wpg">
                  <w:drawing>
                    <wp:inline xmlns:wp="http://schemas.openxmlformats.org/drawingml/2006/wordprocessingDrawing" distT="0" distB="0" distL="0" distR="0">
                      <wp:extent cx="1722460" cy="1849308"/>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584001" name=""/>
                              <pic:cNvPicPr>
                                <a:picLocks noChangeAspect="1"/>
                              </pic:cNvPicPr>
                              <pic:nvPr/>
                            </pic:nvPicPr>
                            <pic:blipFill rotWithShape="1">
                              <a:blip r:embed="rId31"/>
                              <a:stretch/>
                            </pic:blipFill>
                            <pic:spPr bwMode="auto">
                              <a:xfrm flipH="0" flipV="0">
                                <a:off x="0" y="0"/>
                                <a:ext cx="1722459" cy="18493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35.63pt;height:145.61pt;mso-wrap-distance-left:0.00pt;mso-wrap-distance-top:0.00pt;mso-wrap-distance-right:0.00pt;mso-wrap-distance-bottom:0.00pt;z-index:1;" stroked="false">
                      <v:imagedata r:id="rId31" o:title=""/>
                      <o:lock v:ext="edit" rotation="t"/>
                    </v:shape>
                  </w:pict>
                </mc:Fallback>
              </mc:AlternateContent>
            </w:r>
            <w:r>
              <w:rPr>
                <w:b/>
                <w:bCs/>
                <w:color w:val="000000"/>
                <w:sz w:val="22"/>
                <w:szCs w:val="22"/>
              </w:rPr>
            </w:r>
            <w:r>
              <w:rPr>
                <w:b/>
                <w:bCs/>
                <w:color w:val="000000"/>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467147CD">
            <w:pPr>
              <w:pBdr/>
              <w:spacing/>
              <w:ind/>
              <w:jc w:val="center"/>
              <w:rPr/>
            </w:pPr>
            <w:r>
              <w:rPr>
                <w:highlight w:val="none"/>
              </w:rPr>
            </w:r>
            <w:r>
              <w:rPr>
                <w:highlight w:val="none"/>
              </w:rPr>
            </w:r>
            <w:r/>
          </w:p>
          <w:p w14:paraId="579413E4">
            <w:pPr>
              <w:pBdr/>
              <w:spacing/>
              <w:ind/>
              <w:jc w:val="center"/>
              <w:rPr>
                <w:highlight w:val="none"/>
              </w:rPr>
            </w:pPr>
            <w:r>
              <w:rPr>
                <w:highlight w:val="none"/>
              </w:rPr>
            </w:r>
            <w:r>
              <w:rPr>
                <w:highlight w:val="none"/>
              </w:rPr>
            </w:r>
            <w:r>
              <w:rPr>
                <w:highlight w:val="none"/>
              </w:rPr>
            </w:r>
          </w:p>
          <w:p w14:paraId="1EF43E1E">
            <w:pPr>
              <w:pBdr/>
              <w:spacing/>
              <w:ind/>
              <w:jc w:val="center"/>
              <w:rPr>
                <w:highlight w:val="none"/>
              </w:rPr>
            </w:pPr>
            <w:r>
              <w:rPr>
                <w:highlight w:val="none"/>
              </w:rPr>
            </w:r>
            <w:r>
              <w:rPr>
                <w:highlight w:val="none"/>
              </w:rPr>
            </w:r>
            <w:r>
              <w:rPr>
                <w:highlight w:val="none"/>
              </w:rPr>
            </w:r>
          </w:p>
          <w:p w14:paraId="22ED8CD7">
            <w:pPr>
              <w:pBdr/>
              <w:spacing/>
              <w:ind/>
              <w:jc w:val="center"/>
              <w:rPr>
                <w:highlight w:val="none"/>
              </w:rPr>
            </w:pPr>
            <w:r>
              <w:rPr>
                <w:highlight w:val="none"/>
              </w:rPr>
            </w:r>
            <w:r>
              <w:rPr>
                <w:highlight w:val="none"/>
              </w:rPr>
            </w:r>
            <w:r>
              <w:rPr>
                <w:highlight w:val="none"/>
              </w:rPr>
            </w:r>
          </w:p>
          <w:p w14:paraId="1C7FC140">
            <w:pPr>
              <w:pBdr/>
              <w:spacing/>
              <w:ind/>
              <w:jc w:val="center"/>
              <w:rPr>
                <w:highlight w:val="none"/>
              </w:rPr>
            </w:pPr>
            <w:r>
              <w:rPr>
                <w:highlight w:val="none"/>
              </w:rPr>
            </w:r>
            <w:r>
              <w:rPr>
                <w:highlight w:val="none"/>
              </w:rPr>
            </w:r>
            <w:r>
              <w:rPr>
                <w:highlight w:val="none"/>
              </w:rPr>
            </w:r>
          </w:p>
          <w:p w14:paraId="6BA10678" w14:textId="14D82232">
            <w:pPr>
              <w:pBdr/>
              <w:spacing/>
              <w:ind/>
              <w:jc w:val="center"/>
              <w:rPr>
                <w:highlight w:val="none"/>
              </w:rPr>
            </w:pPr>
            <w:r>
              <w:t xml:space="preserve">Phạm Thị Dung</w:t>
            </w:r>
            <w:r>
              <w:rPr>
                <w:highlight w:val="none"/>
              </w:rPr>
            </w:r>
            <w:r>
              <w:rPr>
                <w:highlight w:val="none"/>
              </w:rPr>
            </w:r>
          </w:p>
        </w:tc>
      </w:tr>
    </w:tbl>
    <w:p w14:paraId="1EAD3878" w14:textId="77777777">
      <w:pPr>
        <w:pBdr/>
        <w:spacing w:after="200" w:line="276" w:lineRule="auto"/>
        <w:ind/>
        <w:jc w:val="center"/>
        <w:rPr>
          <w:b/>
          <w:bCs/>
          <w:iCs/>
          <w:color w:val="000000" w:themeColor="text1"/>
          <w:highlight w:val="none"/>
          <w:lang w:val="pt-BR"/>
        </w:rPr>
      </w:pPr>
      <w:r>
        <w:rPr>
          <w:b/>
          <w:bCs/>
          <w:iCs/>
          <w:color w:val="000000" w:themeColor="text1"/>
          <w:lang w:val="pt-BR"/>
        </w:rPr>
        <w:t xml:space="preserve">GIẤY CHỨNG NHẬN</w:t>
      </w:r>
      <w:r>
        <w:rPr>
          <w:b/>
          <w:bCs/>
          <w:iCs/>
          <w:color w:val="000000" w:themeColor="text1"/>
          <w:highlight w:val="none"/>
          <w:lang w:val="pt-BR"/>
        </w:rPr>
      </w:r>
      <w:r>
        <w:rPr>
          <w:b/>
          <w:bCs/>
          <w:iCs/>
          <w:color w:val="000000" w:themeColor="text1"/>
          <w:highlight w:val="none"/>
          <w:lang w:val="pt-BR"/>
        </w:rPr>
      </w:r>
    </w:p>
    <w:p w14:paraId="658A34B6">
      <w:pPr>
        <w:pBdr/>
        <w:spacing w:after="200" w:line="276" w:lineRule="auto"/>
        <w:ind/>
        <w:jc w:val="center"/>
        <w:rPr>
          <w:highlight w:val="none"/>
        </w:rPr>
      </w:pPr>
      <w:r>
        <w:rPr>
          <w:b/>
          <w:bCs/>
          <w:iCs/>
          <w:color w:val="000000" w:themeColor="text1"/>
          <w:highlight w:val="none"/>
          <w:lang w:val="pt-BR"/>
        </w:rPr>
      </w:r>
      <w:r>
        <mc:AlternateContent>
          <mc:Choice Requires="wpg">
            <w:drawing>
              <wp:inline xmlns:wp="http://schemas.openxmlformats.org/drawingml/2006/wordprocessingDrawing" distT="0" distB="0" distL="0" distR="0">
                <wp:extent cx="5934833" cy="8414878"/>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009239" name=""/>
                        <pic:cNvPicPr>
                          <a:picLocks noChangeAspect="1"/>
                        </pic:cNvPicPr>
                        <pic:nvPr/>
                      </pic:nvPicPr>
                      <pic:blipFill rotWithShape="1">
                        <a:blip r:embed="rId32"/>
                        <a:stretch/>
                      </pic:blipFill>
                      <pic:spPr bwMode="auto">
                        <a:xfrm flipH="0" flipV="0">
                          <a:off x="0" y="0"/>
                          <a:ext cx="5934832" cy="84148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67.31pt;height:662.59pt;mso-wrap-distance-left:0.00pt;mso-wrap-distance-top:0.00pt;mso-wrap-distance-right:0.00pt;mso-wrap-distance-bottom:0.00pt;z-index:1;" stroked="false">
                <v:imagedata r:id="rId32" o:title=""/>
                <o:lock v:ext="edit" rotation="t"/>
              </v:shape>
            </w:pict>
          </mc:Fallback>
        </mc:AlternateContent>
      </w:r>
      <w:r>
        <w:rPr>
          <w:highlight w:val="none"/>
        </w:rPr>
      </w:r>
      <w:r>
        <w:rPr>
          <w:highlight w:val="none"/>
        </w:rPr>
      </w:r>
    </w:p>
    <w:p w14:paraId="30086BEE">
      <w:pPr>
        <w:pBdr/>
        <w:spacing w:after="200" w:line="276" w:lineRule="auto"/>
        <w:ind/>
        <w:jc w:val="center"/>
        <w:rPr>
          <w:b/>
          <w:bCs/>
          <w:color w:val="000000" w:themeColor="text1"/>
        </w:rPr>
      </w:pPr>
      <w:r>
        <w:rPr>
          <w:b/>
          <w:bCs/>
          <w:color w:val="000000" w:themeColor="text1"/>
        </w:rPr>
      </w:r>
      <w:r>
        <w:rPr>
          <w:b/>
          <w:bCs/>
          <w:color w:val="000000" w:themeColor="text1"/>
        </w:rPr>
      </w:r>
      <w:r>
        <w:rPr>
          <w:b/>
          <w:bCs/>
          <w:color w:val="000000" w:themeColor="text1"/>
        </w:rPr>
      </w:r>
    </w:p>
    <w:p w14:paraId="3CE34F6A">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181285" cy="870531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013480" name=""/>
                        <pic:cNvPicPr>
                          <a:picLocks noChangeAspect="1"/>
                        </pic:cNvPicPr>
                        <pic:nvPr/>
                      </pic:nvPicPr>
                      <pic:blipFill rotWithShape="1">
                        <a:blip r:embed="rId33"/>
                        <a:stretch/>
                      </pic:blipFill>
                      <pic:spPr bwMode="auto">
                        <a:xfrm flipH="0" flipV="0">
                          <a:off x="0" y="0"/>
                          <a:ext cx="6181284" cy="87053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86.72pt;height:685.46pt;mso-wrap-distance-left:0.00pt;mso-wrap-distance-top:0.00pt;mso-wrap-distance-right:0.00pt;mso-wrap-distance-bottom:0.00pt;z-index:1;" stroked="false">
                <v:imagedata r:id="rId33" o:title=""/>
                <o:lock v:ext="edit" rotation="t"/>
              </v:shape>
            </w:pict>
          </mc:Fallback>
        </mc:AlternateContent>
      </w:r>
      <w:r>
        <w:rPr>
          <w:highlight w:val="none"/>
        </w:rPr>
      </w:r>
      <w:r>
        <w:rPr>
          <w:highlight w:val="none"/>
        </w:rPr>
      </w:r>
    </w:p>
    <w:p w14:paraId="1004EC05">
      <w:pPr>
        <w:pBdr/>
        <w:spacing w:after="200" w:line="276" w:lineRule="auto"/>
        <w:ind/>
        <w:jc w:val="center"/>
        <w:rPr>
          <w:b/>
          <w:bCs/>
          <w:color w:val="000000" w:themeColor="text1"/>
        </w:rPr>
      </w:pPr>
      <w:r>
        <w:rPr>
          <w:b/>
          <w:bCs/>
          <w:color w:val="000000" w:themeColor="text1"/>
        </w:rPr>
      </w:r>
      <w:r>
        <w:rPr>
          <w:b/>
          <w:bCs/>
          <w:color w:val="000000" w:themeColor="text1"/>
        </w:rPr>
      </w:r>
      <w:r>
        <w:rPr>
          <w:b/>
          <w:bCs/>
          <w:color w:val="000000" w:themeColor="text1"/>
        </w:rPr>
      </w:r>
    </w:p>
    <w:p w14:paraId="0ECEF249">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167607" cy="852433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245273" name=""/>
                        <pic:cNvPicPr>
                          <a:picLocks noChangeAspect="1"/>
                        </pic:cNvPicPr>
                        <pic:nvPr/>
                      </pic:nvPicPr>
                      <pic:blipFill rotWithShape="1">
                        <a:blip r:embed="rId34"/>
                        <a:stretch/>
                      </pic:blipFill>
                      <pic:spPr bwMode="auto">
                        <a:xfrm flipH="0" flipV="0">
                          <a:off x="0" y="0"/>
                          <a:ext cx="6167606" cy="85243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85.64pt;height:671.21pt;mso-wrap-distance-left:0.00pt;mso-wrap-distance-top:0.00pt;mso-wrap-distance-right:0.00pt;mso-wrap-distance-bottom:0.00pt;z-index:1;" stroked="false">
                <v:imagedata r:id="rId34" o:title=""/>
                <o:lock v:ext="edit" rotation="t"/>
              </v:shape>
            </w:pict>
          </mc:Fallback>
        </mc:AlternateContent>
      </w:r>
      <w:r>
        <w:rPr>
          <w:highlight w:val="none"/>
        </w:rPr>
      </w:r>
      <w:r>
        <w:rPr>
          <w:highlight w:val="none"/>
        </w:rPr>
      </w:r>
    </w:p>
    <w:p w14:paraId="66C11025">
      <w:pPr>
        <w:pBdr/>
        <w:spacing w:after="200" w:line="276" w:lineRule="auto"/>
        <w:ind/>
        <w:jc w:val="center"/>
        <w:rPr>
          <w:b/>
          <w:bCs/>
          <w:color w:val="000000" w:themeColor="text1"/>
        </w:rPr>
      </w:pPr>
      <w:r>
        <w:rPr>
          <w:b/>
          <w:bCs/>
          <w:color w:val="000000" w:themeColor="text1"/>
        </w:rPr>
      </w:r>
      <w:r>
        <w:rPr>
          <w:b/>
          <w:bCs/>
          <w:color w:val="000000" w:themeColor="text1"/>
        </w:rPr>
      </w:r>
      <w:r>
        <w:rPr>
          <w:b/>
          <w:bCs/>
          <w:color w:val="000000" w:themeColor="text1"/>
        </w:rPr>
      </w:r>
    </w:p>
    <w:p w14:paraId="181A462A">
      <w:pPr>
        <w:pBdr/>
        <w:spacing w:after="200" w:line="276" w:lineRule="auto"/>
        <w:ind/>
        <w:jc w:val="center"/>
        <w:rPr>
          <w:b/>
          <w:bCs/>
          <w:color w:val="000000" w:themeColor="text1"/>
        </w:rPr>
      </w:pPr>
      <w:r>
        <w:rPr>
          <w:b/>
          <w:bCs/>
          <w:color w:val="000000" w:themeColor="text1"/>
        </w:rPr>
      </w:r>
      <w:r>
        <w:rPr>
          <w:b/>
          <w:bCs/>
          <w:color w:val="000000" w:themeColor="text1"/>
        </w:rPr>
      </w:r>
      <w:r>
        <w:rPr>
          <w:b/>
          <w:bCs/>
          <w:color w:val="000000" w:themeColor="text1"/>
        </w:rPr>
      </w:r>
    </w:p>
    <w:p w14:paraId="6BE51648">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102064" cy="849576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722463" name=""/>
                        <pic:cNvPicPr>
                          <a:picLocks noChangeAspect="1"/>
                        </pic:cNvPicPr>
                        <pic:nvPr/>
                      </pic:nvPicPr>
                      <pic:blipFill rotWithShape="1">
                        <a:blip r:embed="rId35"/>
                        <a:stretch/>
                      </pic:blipFill>
                      <pic:spPr bwMode="auto">
                        <a:xfrm flipH="0" flipV="0">
                          <a:off x="0" y="0"/>
                          <a:ext cx="6102064" cy="84957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80.48pt;height:668.96pt;mso-wrap-distance-left:0.00pt;mso-wrap-distance-top:0.00pt;mso-wrap-distance-right:0.00pt;mso-wrap-distance-bottom:0.00pt;z-index:1;" stroked="false">
                <v:imagedata r:id="rId35" o:title=""/>
                <o:lock v:ext="edit" rotation="t"/>
              </v:shape>
            </w:pict>
          </mc:Fallback>
        </mc:AlternateContent>
      </w:r>
      <w:r>
        <w:rPr>
          <w:highlight w:val="none"/>
        </w:rPr>
      </w:r>
      <w:r>
        <w:rPr>
          <w:highlight w:val="none"/>
        </w:rPr>
      </w:r>
    </w:p>
    <w:p w14:paraId="3B675C76">
      <w:pPr>
        <w:pBdr/>
        <w:spacing w:after="200" w:line="276" w:lineRule="auto"/>
        <w:ind/>
        <w:jc w:val="center"/>
        <w:rPr>
          <w:b/>
          <w:bCs/>
          <w:color w:val="000000" w:themeColor="text1"/>
        </w:rPr>
      </w:pPr>
      <w:r>
        <w:rPr>
          <w:b/>
          <w:bCs/>
          <w:color w:val="000000" w:themeColor="text1"/>
        </w:rPr>
      </w:r>
      <w:r>
        <w:rPr>
          <w:b/>
          <w:bCs/>
          <w:color w:val="000000" w:themeColor="text1"/>
        </w:rPr>
      </w:r>
      <w:r>
        <w:rPr>
          <w:b/>
          <w:bCs/>
          <w:color w:val="000000" w:themeColor="text1"/>
        </w:rPr>
      </w:r>
    </w:p>
    <w:p w14:paraId="7FA52D1A">
      <w:pPr>
        <w:pBdr/>
        <w:spacing w:after="200" w:line="276" w:lineRule="auto"/>
        <w:ind/>
        <w:jc w:val="center"/>
        <w:rPr>
          <w:b/>
          <w:bCs/>
          <w:color w:val="000000" w:themeColor="text1"/>
        </w:rPr>
      </w:pPr>
      <w:r>
        <w:rPr>
          <w:b/>
          <w:bCs/>
          <w:color w:val="000000" w:themeColor="text1"/>
        </w:rPr>
      </w:r>
      <w:r>
        <w:rPr>
          <w:b/>
          <w:bCs/>
          <w:color w:val="000000" w:themeColor="text1"/>
        </w:rPr>
      </w:r>
      <w:r>
        <w:rPr>
          <w:b/>
          <w:bCs/>
          <w:color w:val="000000" w:themeColor="text1"/>
        </w:rPr>
      </w:r>
    </w:p>
    <w:p w14:paraId="499CADE9">
      <w:pPr>
        <w:pBdr/>
        <w:spacing w:after="200" w:line="276" w:lineRule="auto"/>
        <w:ind/>
        <w:jc w:val="center"/>
        <w:rPr>
          <w:b/>
          <w:bCs/>
          <w:color w:val="000000" w:themeColor="text1"/>
          <w:highlight w:val="none"/>
        </w:rPr>
      </w:pPr>
      <w:r>
        <w:rPr>
          <w:b/>
          <w:bCs/>
          <w:color w:val="000000" w:themeColor="text1"/>
          <w:highlight w:val="none"/>
        </w:rPr>
        <w:t xml:space="preserve">BIÊN BẢN KHẢO SÁT</w:t>
      </w:r>
      <w:r>
        <w:rPr>
          <w:b/>
          <w:bCs/>
          <w:color w:val="000000" w:themeColor="text1"/>
          <w:highlight w:val="none"/>
        </w:rPr>
      </w:r>
      <w:r>
        <w:rPr>
          <w:b/>
          <w:bCs/>
          <w:color w:val="000000" w:themeColor="text1"/>
          <w:highlight w:val="none"/>
        </w:rPr>
      </w:r>
    </w:p>
    <w:p w14:paraId="3C467837">
      <w:pPr>
        <w:pBdr/>
        <w:spacing w:after="200" w:line="276" w:lineRule="auto"/>
        <w:ind/>
        <w:jc w:val="center"/>
        <w:rPr>
          <w:b/>
          <w:bCs/>
          <w:color w:val="000000" w:themeColor="text1"/>
          <w:highlight w:val="none"/>
        </w:rPr>
      </w:pPr>
      <w:r>
        <w:rPr>
          <w:b/>
          <w:bCs/>
          <w:color w:val="000000" w:themeColor="text1"/>
          <w:highlight w:val="none"/>
        </w:rPr>
      </w:r>
      <w:r>
        <mc:AlternateContent>
          <mc:Choice Requires="wpg">
            <w:drawing>
              <wp:inline xmlns:wp="http://schemas.openxmlformats.org/drawingml/2006/wordprocessingDrawing" distT="0" distB="0" distL="0" distR="0">
                <wp:extent cx="5055394" cy="7853916"/>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350391" name=""/>
                        <pic:cNvPicPr>
                          <a:picLocks noChangeAspect="1"/>
                        </pic:cNvPicPr>
                        <pic:nvPr/>
                      </pic:nvPicPr>
                      <pic:blipFill rotWithShape="1">
                        <a:blip r:embed="rId36"/>
                        <a:srcRect l="0" t="0" r="0" b="12914"/>
                        <a:stretch/>
                      </pic:blipFill>
                      <pic:spPr bwMode="auto">
                        <a:xfrm flipH="0" flipV="0">
                          <a:off x="0" y="0"/>
                          <a:ext cx="5055393" cy="78539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98.06pt;height:618.42pt;mso-wrap-distance-left:0.00pt;mso-wrap-distance-top:0.00pt;mso-wrap-distance-right:0.00pt;mso-wrap-distance-bottom:0.00pt;z-index:1;" stroked="false">
                <v:imagedata r:id="rId36" o:title="" croptop="0f" cropleft="0f" cropbottom="8463f" cropright="0f"/>
                <o:lock v:ext="edit" rotation="t"/>
              </v:shape>
            </w:pict>
          </mc:Fallback>
        </mc:AlternateContent>
      </w:r>
      <w:r>
        <w:rPr>
          <w:b/>
          <w:bCs/>
          <w:color w:val="000000" w:themeColor="text1"/>
          <w:highlight w:val="none"/>
        </w:rPr>
      </w:r>
      <w:r>
        <w:rPr>
          <w:b/>
          <w:bCs/>
          <w:color w:val="000000" w:themeColor="text1"/>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https://vietnamnet.vn/ha-noi-dat-muc-tieu-dua-4-huyen-len-quan-vao-nam-2025-2310997.html" TargetMode="External"/><Relationship Id="rId16" Type="http://schemas.openxmlformats.org/officeDocument/2006/relationships/hyperlink" Target="https://vietnamnet.vn/bat-dong-san" TargetMode="External"/><Relationship Id="rId17" Type="http://schemas.openxmlformats.org/officeDocument/2006/relationships/hyperlink" Target="https://vietnamnet.vn/dong-luc-tang-truong-cua-thi-truong-bat-dong-san-thanh-tri-nam-2025-2377728.html%20" TargetMode="External"/><Relationship Id="rId18" Type="http://schemas.openxmlformats.org/officeDocument/2006/relationships/image" Target="media/image3.png"/><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jp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273</cp:revision>
  <dcterms:created xsi:type="dcterms:W3CDTF">2025-09-15T09:58:00Z</dcterms:created>
  <dcterms:modified xsi:type="dcterms:W3CDTF">2025-12-17T10:46:35Z</dcterms:modified>
</cp:coreProperties>
</file>