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2017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2017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275/2025/1800/VFI-CT.48.A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14:paraId="1921854D">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CỔ PHẦN TRÍ VIỆT INVESTCONS</w:t>
                            </w:r>
                            <w:r>
                              <w:rPr>
                                <w:rFonts w:ascii="Times New Roman Bold" w:hAnsi="Times New Roman Bold"/>
                                <w:b/>
                                <w:bCs/>
                                <w:lang w:val="pt-BR"/>
                              </w:rPr>
                            </w:r>
                            <w:r>
                              <w:rPr>
                                <w:rFonts w:ascii="Times New Roman Bold" w:hAnsi="Times New Roman Bold"/>
                                <w:b/>
                                <w:bCs/>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có địa chỉ: Ô đất số 4-Dẫy B-TT5, dự án Tây Nam Hồ Linh Đàm, phường Hoàng Liệt, quận Hoàng Mai, thành phố Hà Nội (nay là phường Hoàng Liệt, thành phố Hà Nội) theo Giấy chứng nhận quyền sử dụng đ</w:t>
                            </w:r>
                            <w:r>
                              <w:rPr>
                                <w:color w:val="000000"/>
                              </w:rPr>
                              <w:t xml:space="preserve">ất quyền sở hữu nhà ở và tài sản khác gắn liền với đất số: CB 845281, số vào sổ cấp GCN: CS 00783 do Sở Tài nguyên và Môi trường Thành phố Hà Nội cấp ngày 14/01/2016; Chủ sử dụng đất và sở hữu tài sản gắn liền với đất là Ông Lê Phúc Vũ và Bà Hoàng Thị Huệ.</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30.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275/2025/1800/VFI-CT.48.A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14:paraId="1921854D">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CỔ PHẦN TRÍ VIỆT INVESTCONS</w:t>
                      </w:r>
                      <w:r>
                        <w:rPr>
                          <w:rFonts w:ascii="Times New Roman Bold" w:hAnsi="Times New Roman Bold"/>
                          <w:b/>
                          <w:bCs/>
                          <w:lang w:val="pt-BR"/>
                        </w:rPr>
                      </w:r>
                      <w:r>
                        <w:rPr>
                          <w:rFonts w:ascii="Times New Roman Bold" w:hAnsi="Times New Roman Bold"/>
                          <w:b/>
                          <w:bCs/>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có địa chỉ: Ô đất số 4-Dẫy B-TT5, dự án Tây Nam Hồ Linh Đàm, phường Hoàng Liệt, quận Hoàng Mai, thành phố Hà Nội (nay là phường Hoàng Liệt, thành phố Hà Nội) theo Giấy chứng nhận quyền sử dụng đ</w:t>
                      </w:r>
                      <w:r>
                        <w:rPr>
                          <w:color w:val="000000"/>
                        </w:rPr>
                        <w:t xml:space="preserve">ất quyền sở hữu nhà ở và tài sản khác gắn liền với đất số: CB 845281, số vào sổ cấp GCN: CS 00783 do Sở Tài nguyên và Môi trường Thành phố Hà Nội cấp ngày 14/01/2016; Chủ sử dụng đất và sở hữu tài sản gắn liền với đất là Ông Lê Phúc Vũ và Bà Hoàng Thị Huệ.</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0"/>
              <w:pBdr/>
              <w:spacing w:after="60" w:before="200"/>
              <w:ind/>
              <w:rPr>
                <w:rStyle w:val="1029"/>
                <w:rFonts w:ascii="Times New Roman" w:hAnsi="Times New Roman"/>
                <w:color w:val="auto"/>
                <w:lang w:val="pt-BR"/>
              </w:rPr>
            </w:pPr>
            <w:r>
              <w:rPr>
                <w:rFonts w:ascii="Times New Roman" w:hAnsi="Times New Roman"/>
                <w:color w:val="auto"/>
                <w:lang w:val="pt-BR"/>
              </w:rPr>
            </w:r>
            <w:r>
              <w:rPr>
                <w:rStyle w:val="1029"/>
                <w:rFonts w:ascii="Times New Roman" w:hAnsi="Times New Roman"/>
                <w:color w:val="auto"/>
                <w:lang w:val="pt-BR"/>
              </w:rPr>
            </w:r>
            <w:r>
              <w:rPr>
                <w:rStyle w:val="1029"/>
                <w:rFonts w:ascii="Times New Roman" w:hAnsi="Times New Roman"/>
                <w:color w:val="auto"/>
                <w:lang w:val="pt-BR"/>
              </w:rPr>
            </w:r>
          </w:p>
          <w:p w14:paraId="189019A0" w14:textId="50D2DFCA">
            <w:pPr>
              <w:pStyle w:val="1030"/>
              <w:pBdr/>
              <w:spacing w:after="60" w:before="200"/>
              <w:ind/>
              <w:rPr>
                <w:sz w:val="24"/>
                <w:szCs w:val="24"/>
              </w:rPr>
            </w:pPr>
            <w:r>
              <w:rPr>
                <w:rStyle w:val="1029"/>
                <w:rFonts w:ascii="Times New Roman" w:hAnsi="Times New Roman"/>
                <w:color w:val="auto"/>
                <w:lang w:val="pt-BR"/>
              </w:rPr>
              <w:t xml:space="preserve">Số:</w:t>
            </w:r>
            <w:r>
              <w:rPr>
                <w:rStyle w:val="1029"/>
                <w:rFonts w:ascii="Times New Roman" w:hAnsi="Times New Roman"/>
                <w:color w:val="auto"/>
                <w:lang w:val="pt-BR"/>
              </w:rPr>
              <w:t xml:space="preserve"> </w:t>
            </w:r>
            <w:r>
              <w:rPr>
                <w:rStyle w:val="1029"/>
                <w:rFonts w:ascii="Times New Roman" w:hAnsi="Times New Roman"/>
                <w:color w:val="000000" w:themeColor="text1"/>
                <w:lang w:val="pt-BR"/>
              </w:rPr>
              <w:t xml:space="preserve">275/2025/1800/VFI-CT.48.A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0"/>
              <w:pBdr/>
              <w:spacing w:after="60" w:before="20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14:paraId="6B33CD77" w14:textId="29BAA06D">
            <w:pPr>
              <w:pStyle w:val="1030"/>
              <w:pBdr/>
              <w:spacing w:after="60" w:before="200"/>
              <w:ind w:right="-56"/>
              <w:jc w:val="right"/>
              <w:rPr>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13 tháng 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0"/>
        <w:pBdr/>
        <w:spacing w:after="120" w:before="200" w:line="288" w:lineRule="auto"/>
        <w:ind/>
        <w:jc w:val="center"/>
        <w:rPr>
          <w:rStyle w:val="1029"/>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TRÍ VIỆT INVESTCONS</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275/2025/1799/VFI-HĐTĐ.48.A</w:t>
      </w:r>
      <w:r>
        <w:rPr>
          <w:spacing w:val="-4"/>
          <w:lang w:val="vi-VN"/>
        </w:rPr>
        <w:t xml:space="preserve"> ký ngày </w:t>
      </w:r>
      <w:r>
        <w:rPr>
          <w:color w:val="000000" w:themeColor="text1"/>
          <w:spacing w:val="-4"/>
        </w:rPr>
        <w:t xml:space="preserve">12 tháng 12 năm 2025</w:t>
      </w:r>
      <w:r>
        <w:rPr>
          <w:spacing w:val="-4"/>
          <w:lang w:val="vi-VN"/>
        </w:rPr>
        <w:t xml:space="preserve"> </w:t>
      </w:r>
      <w:r>
        <w:rPr>
          <w:spacing w:val="-4"/>
          <w:lang w:val="vi-VN"/>
        </w:rPr>
        <w:t xml:space="preserve">giữa </w:t>
      </w:r>
      <w:r>
        <w:rPr>
          <w:rFonts w:ascii="Times New Roman" w:hAnsi="Times New Roman" w:eastAsia="Times New Roman" w:cs="Times New Roman"/>
          <w:color w:val="000000"/>
          <w:sz w:val="24"/>
        </w:rPr>
        <w:t xml:space="preserve">Công ty Cổ phần Trí Việt Investcons</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275/2025/1800/VFI-BC.48.A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3DAD2A7E">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6C0769ED">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b/>
                <w:color w:val="000000"/>
                <w:sz w:val="24"/>
              </w:rPr>
              <w:t xml:space="preserve">CÔNG TY CỔ PHẦN TRÍ VIỆT INVESTCONS</w:t>
            </w:r>
            <w:r/>
          </w:p>
        </w:tc>
      </w:tr>
      <w:tr>
        <w:trPr>
          <w:trHeight w:val="20"/>
        </w:trPr>
        <w:tc>
          <w:tcPr>
            <w:shd w:val="clear" w:color="auto" w:fill="auto"/>
            <w:tcBorders/>
            <w:tcW w:w="1109" w:type="pct"/>
            <w:vAlign w:val="center"/>
            <w:textDirection w:val="lrTb"/>
            <w:noWrap w:val="false"/>
          </w:tcPr>
          <w:p w14:paraId="05F8B9DB">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3A635993">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Phòng 202, tầng 2, lô 04 – TT5B Khu đô thị Tây Nam Linh Đàm, phường Hoàng Liệt, quận Hoàng Mai, Thành phố Hà Nội</w:t>
            </w:r>
            <w:r/>
          </w:p>
        </w:tc>
      </w:tr>
      <w:tr>
        <w:trPr>
          <w:trHeight w:val="20"/>
        </w:trPr>
        <w:tc>
          <w:tcPr>
            <w:shd w:val="clear" w:color="ffffff" w:fill="ffffff"/>
            <w:tcBorders/>
            <w:tcW w:w="1109" w:type="pct"/>
            <w:vAlign w:val="center"/>
            <w:vMerge w:val="restart"/>
            <w:textDirection w:val="lrTb"/>
            <w:noWrap w:val="false"/>
          </w:tcPr>
          <w:p w14:paraId="44755268">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ffffff" w:fill="ffffff"/>
            <w:tcBorders/>
            <w:tcW w:w="248" w:type="pct"/>
            <w:vAlign w:val="center"/>
            <w:vMerge w:val="restart"/>
            <w:textDirection w:val="lrTb"/>
            <w:noWrap w:val="false"/>
          </w:tcPr>
          <w:p w14:paraId="6651C7D1">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14:paraId="2747BB6F">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0108413468</w:t>
            </w:r>
            <w:r/>
          </w:p>
        </w:tc>
      </w:tr>
      <w:tr>
        <w:trPr>
          <w:trHeight w:val="20"/>
        </w:trPr>
        <w:tc>
          <w:tcPr>
            <w:shd w:val="clear" w:color="auto" w:fill="auto"/>
            <w:tcBorders/>
            <w:tcW w:w="1109" w:type="pct"/>
            <w:vAlign w:val="center"/>
            <w:textDirection w:val="lrTb"/>
            <w:noWrap w:val="false"/>
          </w:tcPr>
          <w:p w14:paraId="7318F386">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39E3A057">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b/>
                <w:color w:val="000000"/>
                <w:sz w:val="24"/>
              </w:rPr>
              <w:t xml:space="preserve">Ông Lý Quang Hưng</w:t>
            </w:r>
            <w:r/>
          </w:p>
        </w:tc>
      </w:tr>
      <w:tr>
        <w:trPr>
          <w:trHeight w:val="20"/>
        </w:trPr>
        <w:tc>
          <w:tcPr>
            <w:shd w:val="clear" w:color="auto" w:fill="auto"/>
            <w:tcBorders/>
            <w:tcW w:w="1109" w:type="pct"/>
            <w:vAlign w:val="center"/>
            <w:textDirection w:val="lrTb"/>
            <w:noWrap w:val="false"/>
          </w:tcPr>
          <w:p w14:paraId="78E742A1">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57B95D8E">
            <w:pPr>
              <w:pBdr>
                <w:top w:val="none" w:color="000000" w:sz="4" w:space="0"/>
                <w:left w:val="none" w:color="000000" w:sz="4" w:space="0"/>
                <w:bottom w:val="none" w:color="000000" w:sz="4" w:space="0"/>
                <w:right w:val="none" w:color="000000" w:sz="4" w:space="0"/>
              </w:pBdr>
              <w:spacing w:before="60" w:line="288" w:lineRule="auto"/>
              <w:ind w:right="0" w:firstLine="0" w:left="0"/>
              <w:jc w:val="both"/>
              <w:rPr/>
            </w:pPr>
            <w:r>
              <w:rPr>
                <w:rFonts w:ascii="Times New Roman" w:hAnsi="Times New Roman" w:eastAsia="Times New Roman" w:cs="Times New Roman"/>
                <w:b/>
                <w:color w:val="000000"/>
                <w:sz w:val="24"/>
              </w:rPr>
              <w:t xml:space="preserve">Chủ tịch HĐQT</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có địa chỉ: Ô đất số 4-Dẫy B-TT5, dự án Tây Nam Hồ Linh Đàm, phường Hoàng Liệt, quận Hoàng Mai, thành phố Hà Nội (nay là phường Hoàng Liệt, thành phố Hà Nội) theo Giấy chứng nhận quyền sử dụng đ</w:t>
      </w:r>
      <w:r>
        <w:rPr>
          <w:color w:val="000000" w:themeColor="text1"/>
        </w:rPr>
        <w:t xml:space="preserve">ất quyền sở hữu nhà ở và tài sản khác gắn liền với đất số: CB 845281, số vào sổ cấp GCN: CS 00783 do Sở Tài nguyên và Môi trường Thành phố Hà Nội cấp ngày 14/01/2016; Chủ sử dụng đất và sở hữu tài sản gắn liền với đất là Ông Lê Phúc Vũ và Bà Hoàng Thị Huệ.</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17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99"/>
        <w:gridCol w:w="982"/>
        <w:gridCol w:w="1005"/>
        <w:gridCol w:w="1472"/>
        <w:gridCol w:w="2089"/>
        <w:gridCol w:w="1758"/>
        <w:gridCol w:w="1758"/>
      </w:tblGrid>
      <w:tr>
        <w:trPr>
          <w:trHeight w:val="20"/>
        </w:trPr>
        <w:tc>
          <w:tcPr>
            <w:shd w:val="clear" w:color="000000" w:fill="ffffff"/>
            <w:tcBorders/>
            <w:tcW w:w="799"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1987" w:type="dxa"/>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72" w:type="dxa"/>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758" w:type="dxa"/>
            <w:vAlign w:val="center"/>
            <w:textDirection w:val="lrTb"/>
            <w:noWrap w:val="false"/>
          </w:tcPr>
          <w:p w14:paraId="04590D4E">
            <w:pPr>
              <w:pBdr/>
              <w:spacing/>
              <w:ind/>
              <w:jc w:val="center"/>
              <w:rPr>
                <w:b/>
                <w:bCs/>
              </w:rPr>
            </w:pPr>
            <w:r>
              <w:rPr>
                <w:b/>
                <w:bCs/>
              </w:rPr>
              <w:t xml:space="preserve">CLCL</w:t>
            </w:r>
            <w:r>
              <w:rPr>
                <w:b/>
                <w:bCs/>
              </w:rPr>
            </w:r>
            <w:r>
              <w:rPr>
                <w:b/>
                <w:bCs/>
              </w:rPr>
            </w:r>
          </w:p>
        </w:tc>
        <w:tc>
          <w:tcPr>
            <w:shd w:val="clear" w:color="000000" w:fill="ffffff"/>
            <w:tcBorders/>
            <w:tcW w:w="1758" w:type="dxa"/>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99"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7306" w:type="dxa"/>
            <w:vAlign w:val="center"/>
            <w:textDirection w:val="lrTb"/>
            <w:noWrap w:val="false"/>
          </w:tcPr>
          <w:p w14:paraId="6202BB86" w14:textId="47F5533D">
            <w:pPr>
              <w:pBdr/>
              <w:spacing w:after="40" w:before="40" w:line="288" w:lineRule="auto"/>
              <w:ind/>
              <w:jc w:val="both"/>
              <w:rPr>
                <w:b/>
                <w:bCs/>
              </w:rPr>
            </w:pPr>
            <w:r>
              <w:rPr>
                <w:b/>
                <w:bCs/>
                <w:color w:val="000000"/>
              </w:rPr>
              <w:t xml:space="preserve">Quyền sử dụng đất và tài sản gắn liền với đất tại thửa đất có địa chỉ: Ô đất số 4-Dẫy B-TT5, dự án Tây Nam Hồ Linh Đàm, phường Hoàng Liệt, quận Hoàng Mai, thành phố Hà Nội (nay là phường Hoàng Liệt, thành phố Hà Nội) theo Giấy chứng nhận quyền sử dụng đ</w:t>
            </w:r>
            <w:r>
              <w:rPr>
                <w:b/>
                <w:bCs/>
                <w:color w:val="000000"/>
              </w:rPr>
              <w:t xml:space="preserve">ất quyền sở hữu nhà ở và tài sản khác gắn liền với đất số: CB 845281, số vào sổ cấp GCN: CS 00783 do Sở Tài nguyên và Môi trường Thành phố Hà Nội cấp ngày 14/01/2016; Chủ sử dụng đất và sở hữu tài sản gắn liền với đất là Ông Lê Phúc Vũ và Bà Hoàng Thị Huệ.</w:t>
            </w:r>
            <w:r>
              <w:rPr>
                <w:b/>
                <w:bCs/>
              </w:rPr>
              <w:t xml:space="preserve">.</w:t>
            </w:r>
            <w:r>
              <w:rPr>
                <w:b/>
                <w:bCs/>
              </w:rPr>
            </w:r>
            <w:r>
              <w:rPr>
                <w:b/>
                <w:bCs/>
              </w:rPr>
            </w:r>
          </w:p>
          <w:p w14:paraId="3232AF9E">
            <w:pPr>
              <w:pBdr/>
              <w:spacing/>
              <w:ind/>
              <w:rPr>
                <w:b/>
                <w:bCs/>
              </w:rPr>
            </w:pPr>
            <w:r>
              <w:rPr>
                <w:b/>
                <w:bCs/>
              </w:rPr>
            </w:r>
            <w:r>
              <w:rPr>
                <w:b/>
                <w:bCs/>
              </w:rPr>
            </w:r>
            <w:r>
              <w:rPr>
                <w:b/>
                <w:bCs/>
              </w:rPr>
            </w:r>
          </w:p>
        </w:tc>
        <w:tc>
          <w:tcPr>
            <w:shd w:val="clear" w:color="000000" w:fill="ffffff"/>
            <w:tcBorders/>
            <w:tcW w:w="1758"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99" w:type="dxa"/>
            <w:vAlign w:val="center"/>
            <w:textDirection w:val="lrTb"/>
            <w:noWrap w:val="false"/>
          </w:tcPr>
          <w:p w14:paraId="28135E8A">
            <w:pPr>
              <w:pBdr/>
              <w:spacing w:after="40" w:before="40" w:line="288" w:lineRule="auto"/>
              <w:ind/>
              <w:jc w:val="center"/>
              <w:rPr/>
            </w:pPr>
            <w:r>
              <w:rPr>
                <w:b/>
                <w:bCs/>
              </w:rPr>
              <w:t xml:space="preserve">1</w:t>
            </w:r>
            <w:r/>
          </w:p>
        </w:tc>
        <w:tc>
          <w:tcPr>
            <w:gridSpan w:val="2"/>
            <w:shd w:val="clear" w:color="000000" w:fill="ffffff"/>
            <w:tcBorders/>
            <w:tcW w:w="1987" w:type="dxa"/>
            <w:vAlign w:val="center"/>
            <w:textDirection w:val="lrTb"/>
            <w:noWrap w:val="false"/>
          </w:tcPr>
          <w:p w14:paraId="4072543E">
            <w:pPr>
              <w:pBdr/>
              <w:spacing w:after="40" w:before="40" w:line="288" w:lineRule="auto"/>
              <w:ind/>
              <w:rPr/>
            </w:pPr>
            <w:r>
              <w:rPr>
                <w:b/>
                <w:bCs/>
              </w:rPr>
              <w:t xml:space="preserve">Đất ở tại đô thị</w:t>
            </w:r>
            <w:r/>
          </w:p>
        </w:tc>
        <w:tc>
          <w:tcPr>
            <w:tcBorders/>
            <w:tcW w:w="1472" w:type="dxa"/>
            <w:vAlign w:val="center"/>
            <w:textDirection w:val="lrTb"/>
            <w:noWrap/>
          </w:tcPr>
          <w:p w14:paraId="5E1EDEB2">
            <w:pPr>
              <w:pBdr/>
              <w:spacing w:after="40" w:before="40" w:line="288" w:lineRule="auto"/>
              <w:ind/>
              <w:jc w:val="center"/>
              <w:rPr>
                <w:color w:val="000000"/>
              </w:rPr>
            </w:pPr>
            <w:r>
              <w:rPr>
                <w:color w:val="000000" w:themeColor="text1"/>
              </w:rPr>
              <w:t xml:space="preserve">210,0</w:t>
            </w:r>
            <w:r>
              <w:rPr>
                <w:color w:val="000000"/>
              </w:rPr>
            </w:r>
            <w:r>
              <w:rPr>
                <w:color w:val="000000"/>
              </w:rPr>
            </w:r>
          </w:p>
        </w:tc>
        <w:tc>
          <w:tcPr>
            <w:shd w:val="clear" w:color="000000" w:fill="ffffff"/>
            <w:tcBorders/>
            <w:tcW w:w="2089" w:type="dxa"/>
            <w:vAlign w:val="center"/>
            <w:textDirection w:val="lrTb"/>
            <w:noWrap w:val="false"/>
          </w:tcPr>
          <w:p w14:paraId="36A8E60C">
            <w:pPr>
              <w:pBdr/>
              <w:spacing w:after="40" w:before="40" w:line="288" w:lineRule="auto"/>
              <w:ind/>
              <w:jc w:val="center"/>
              <w:rPr/>
            </w:pPr>
            <w:r>
              <w:rPr>
                <w:color w:val="000000" w:themeColor="text1"/>
              </w:rPr>
              <w:t xml:space="preserve">210.000.000</w:t>
            </w:r>
            <w:r/>
          </w:p>
        </w:tc>
        <w:tc>
          <w:tcPr>
            <w:shd w:val="clear" w:color="000000" w:fill="ffffff"/>
            <w:tcBorders/>
            <w:tcW w:w="1758" w:type="dxa"/>
            <w:vAlign w:val="center"/>
            <w:textDirection w:val="lrTb"/>
            <w:noWrap w:val="false"/>
          </w:tcPr>
          <w:p w14:paraId="248B7C97">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1758" w:type="dxa"/>
            <w:vAlign w:val="center"/>
            <w:textDirection w:val="lrTb"/>
            <w:noWrap w:val="false"/>
          </w:tcPr>
          <w:p w14:paraId="2D2BB4C4">
            <w:pPr>
              <w:pBdr/>
              <w:spacing w:after="40" w:before="40" w:line="288" w:lineRule="auto"/>
              <w:ind/>
              <w:jc w:val="center"/>
              <w:rPr/>
            </w:pPr>
            <w:r>
              <w:rPr>
                <w:color w:val="000000" w:themeColor="text1"/>
              </w:rPr>
              <w:t xml:space="preserve">44.100.000.000</w:t>
            </w:r>
            <w:r/>
          </w:p>
        </w:tc>
      </w:tr>
      <w:tr>
        <w:trPr>
          <w:trHeight w:val="20"/>
        </w:trPr>
        <w:tc>
          <w:tcPr>
            <w:shd w:val="clear" w:color="000000" w:fill="ffffff"/>
            <w:tcBorders/>
            <w:tcW w:w="799" w:type="dxa"/>
            <w:vAlign w:val="center"/>
            <w:vMerge w:val="restart"/>
            <w:textDirection w:val="lrTb"/>
            <w:noWrap w:val="false"/>
          </w:tcPr>
          <w:p w14:paraId="2FF9E5C9">
            <w:pPr>
              <w:pBdr/>
              <w:spacing w:after="40" w:before="40" w:line="288" w:lineRule="auto"/>
              <w:ind/>
              <w:jc w:val="center"/>
              <w:rPr>
                <w:b/>
                <w:bCs/>
              </w:rPr>
            </w:pPr>
            <w:r>
              <w:rPr>
                <w:b/>
                <w:bCs/>
              </w:rPr>
              <w:t xml:space="preserve">2</w:t>
            </w:r>
            <w:r>
              <w:rPr>
                <w:b/>
                <w:bCs/>
              </w:rPr>
            </w:r>
            <w:r>
              <w:rPr>
                <w:b/>
                <w:bCs/>
              </w:rPr>
            </w:r>
          </w:p>
        </w:tc>
        <w:tc>
          <w:tcPr>
            <w:gridSpan w:val="2"/>
            <w:shd w:val="clear" w:color="000000" w:fill="ffffff"/>
            <w:tcBorders/>
            <w:tcW w:w="1987" w:type="dxa"/>
            <w:vAlign w:val="center"/>
            <w:vMerge w:val="restart"/>
            <w:textDirection w:val="lrTb"/>
            <w:noWrap w:val="false"/>
          </w:tcPr>
          <w:p w14:paraId="6C78D475">
            <w:pPr>
              <w:pBdr/>
              <w:spacing w:after="40" w:before="40" w:line="288" w:lineRule="auto"/>
              <w:ind/>
              <w:rPr>
                <w:b/>
                <w:bCs/>
              </w:rPr>
            </w:pPr>
            <w:r>
              <w:rPr>
                <w:b/>
                <w:bCs/>
              </w:rPr>
              <w:t xml:space="preserve">Tài sản gắn liền với đất (Nhà biệt thự)</w:t>
            </w:r>
            <w:r>
              <w:rPr>
                <w:b/>
                <w:bCs/>
              </w:rPr>
            </w:r>
            <w:r>
              <w:rPr>
                <w:b/>
                <w:bCs/>
              </w:rPr>
            </w:r>
          </w:p>
        </w:tc>
        <w:tc>
          <w:tcPr>
            <w:tcBorders/>
            <w:tcW w:w="1472" w:type="dxa"/>
            <w:vAlign w:val="center"/>
            <w:vMerge w:val="restart"/>
            <w:textDirection w:val="lrTb"/>
            <w:noWrap/>
          </w:tcPr>
          <w:p w14:paraId="6EA43A06">
            <w:pPr>
              <w:pBdr/>
              <w:spacing w:after="40" w:before="40" w:line="288" w:lineRule="auto"/>
              <w:ind/>
              <w:jc w:val="center"/>
              <w:rPr>
                <w:color w:val="000000" w:themeColor="text1"/>
              </w:rPr>
            </w:pPr>
            <w:r>
              <w:rPr>
                <w:color w:val="000000" w:themeColor="text1"/>
              </w:rPr>
              <w:t xml:space="preserve">269,2</w:t>
            </w:r>
            <w:r>
              <w:rPr>
                <w:color w:val="000000" w:themeColor="text1"/>
              </w:rPr>
            </w:r>
            <w:r>
              <w:rPr>
                <w:color w:val="000000" w:themeColor="text1"/>
              </w:rPr>
            </w:r>
          </w:p>
        </w:tc>
        <w:tc>
          <w:tcPr>
            <w:shd w:val="clear" w:color="000000" w:fill="ffffff"/>
            <w:tcBorders/>
            <w:tcW w:w="2089" w:type="dxa"/>
            <w:vAlign w:val="center"/>
            <w:vMerge w:val="restart"/>
            <w:textDirection w:val="lrTb"/>
            <w:noWrap w:val="false"/>
          </w:tcPr>
          <w:p w14:paraId="1155C063">
            <w:pPr>
              <w:pBdr/>
              <w:spacing w:after="0" w:before="0" w:line="240" w:lineRule="auto"/>
              <w:ind/>
              <w:jc w:val="center"/>
              <w:rPr/>
            </w:pPr>
            <w:r>
              <w:rPr>
                <w:rFonts w:ascii="Times New Roman" w:hAnsi="Times New Roman" w:eastAsia="Times New Roman" w:cs="Times New Roman"/>
                <w:color w:val="000000"/>
                <w:sz w:val="24"/>
              </w:rPr>
              <w:t xml:space="preserve">      9.837.968 </w:t>
            </w:r>
            <w:r/>
          </w:p>
        </w:tc>
        <w:tc>
          <w:tcPr>
            <w:shd w:val="clear" w:color="000000" w:fill="ffffff"/>
            <w:tcBorders/>
            <w:tcW w:w="1758" w:type="dxa"/>
            <w:vAlign w:val="center"/>
            <w:textDirection w:val="lrTb"/>
            <w:noWrap w:val="false"/>
          </w:tcPr>
          <w:p w14:paraId="2F6D83B9">
            <w:pPr>
              <w:pBdr/>
              <w:spacing/>
              <w:ind/>
              <w:jc w:val="center"/>
              <w:rPr>
                <w:color w:val="000000" w:themeColor="text1"/>
              </w:rPr>
            </w:pPr>
            <w:r>
              <w:rPr>
                <w:color w:val="000000" w:themeColor="text1"/>
              </w:rPr>
              <w:t xml:space="preserve">90%</w:t>
            </w:r>
            <w:r>
              <w:rPr>
                <w:color w:val="000000" w:themeColor="text1"/>
              </w:rPr>
            </w:r>
            <w:r>
              <w:rPr>
                <w:color w:val="000000" w:themeColor="text1"/>
              </w:rPr>
            </w:r>
          </w:p>
        </w:tc>
        <w:tc>
          <w:tcPr>
            <w:shd w:val="clear" w:color="000000" w:fill="ffffff"/>
            <w:tcBorders/>
            <w:tcW w:w="1758" w:type="dxa"/>
            <w:vAlign w:val="center"/>
            <w:vMerge w:val="restart"/>
            <w:textDirection w:val="lrTb"/>
            <w:noWrap w:val="false"/>
          </w:tcPr>
          <w:p w14:paraId="0446E2DF">
            <w:pPr>
              <w:pBdr/>
              <w:spacing w:after="0" w:before="0" w:line="240" w:lineRule="auto"/>
              <w:ind/>
              <w:jc w:val="center"/>
              <w:rPr/>
            </w:pPr>
            <w:r>
              <w:rPr>
                <w:rFonts w:ascii="Times New Roman" w:hAnsi="Times New Roman" w:eastAsia="Times New Roman" w:cs="Times New Roman"/>
                <w:color w:val="000000"/>
                <w:sz w:val="24"/>
              </w:rPr>
              <w:t xml:space="preserve">2.383.542.887</w:t>
            </w:r>
            <w:r/>
          </w:p>
        </w:tc>
      </w:tr>
      <w:tr>
        <w:trPr>
          <w:trHeight w:val="631"/>
        </w:trPr>
        <w:tc>
          <w:tcPr>
            <w:gridSpan w:val="6"/>
            <w:tcBorders/>
            <w:tcW w:w="8105" w:type="dxa"/>
            <w:vAlign w:val="center"/>
            <w:textDirection w:val="lrTb"/>
            <w:noWrap/>
          </w:tcPr>
          <w:p w14:paraId="60D940EA">
            <w:pPr>
              <w:pBdr/>
              <w:spacing/>
              <w:ind/>
              <w:jc w:val="center"/>
              <w:rPr>
                <w:color w:val="000000" w:themeColor="text1"/>
              </w:rPr>
            </w:pPr>
            <w:r>
              <w:rPr>
                <w:color w:val="000000" w:themeColor="text1"/>
              </w:rPr>
            </w:r>
            <w:r>
              <w:rPr>
                <w:b/>
                <w:bCs/>
                <w:color w:val="000000"/>
              </w:rPr>
              <w:t xml:space="preserve">TỔNG CỘNG</w:t>
            </w:r>
            <w:r>
              <w:rPr>
                <w:color w:val="000000" w:themeColor="text1"/>
              </w:rPr>
            </w:r>
            <w:r>
              <w:rPr>
                <w:color w:val="000000" w:themeColor="text1"/>
              </w:rPr>
            </w:r>
          </w:p>
        </w:tc>
        <w:tc>
          <w:tcPr>
            <w:tcBorders/>
            <w:tcW w:w="1758" w:type="dxa"/>
            <w:vAlign w:val="center"/>
            <w:textDirection w:val="lrTb"/>
            <w:noWrap/>
          </w:tcPr>
          <w:p w14:paraId="14FE2405">
            <w:pPr>
              <w:pBdr/>
              <w:spacing w:after="0" w:before="0" w:line="240" w:lineRule="auto"/>
              <w:ind/>
              <w:jc w:val="right"/>
              <w:rPr/>
            </w:pPr>
            <w:r>
              <w:rPr>
                <w:rFonts w:ascii="Times New Roman" w:hAnsi="Times New Roman" w:eastAsia="Times New Roman" w:cs="Times New Roman"/>
                <w:b/>
                <w:color w:val="000000"/>
                <w:sz w:val="24"/>
              </w:rPr>
              <w:t xml:space="preserve">46.483.542.887</w:t>
            </w:r>
            <w:r/>
          </w:p>
        </w:tc>
      </w:tr>
      <w:tr>
        <w:trPr>
          <w:trHeight w:val="631"/>
        </w:trPr>
        <w:tc>
          <w:tcPr>
            <w:gridSpan w:val="6"/>
            <w:tcBorders/>
            <w:tcW w:w="8105" w:type="dxa"/>
            <w:vAlign w:val="center"/>
            <w:vMerge w:val="restart"/>
            <w:textDirection w:val="lrTb"/>
            <w:noWrap/>
          </w:tcPr>
          <w:p w14:paraId="0185302D">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1758" w:type="dxa"/>
            <w:vAlign w:val="center"/>
            <w:vMerge w:val="restart"/>
            <w:textDirection w:val="lrTb"/>
            <w:noWrap/>
          </w:tcPr>
          <w:p w14:paraId="1C05FFB5">
            <w:pPr>
              <w:pBdr/>
              <w:spacing w:after="0" w:before="0" w:line="240" w:lineRule="auto"/>
              <w:ind/>
              <w:jc w:val="right"/>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46.484.000.000</w:t>
            </w: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r>
          </w:p>
        </w:tc>
      </w:tr>
      <w:tr>
        <w:trPr>
          <w:trHeight w:val="20"/>
        </w:trPr>
        <w:tc>
          <w:tcPr>
            <w:gridSpan w:val="7"/>
            <w:tcBorders/>
            <w:tcW w:w="9864" w:type="dxa"/>
            <w:vAlign w:val="center"/>
            <w:textDirection w:val="lrTb"/>
            <w:noWrap w:val="false"/>
          </w:tcPr>
          <w:p w14:paraId="2F4EE508">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mươi sáu tỷ bốn trăm tám mươi tư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14:paraId="71980E88">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0"/>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0"/>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275/2025/1800/VFI-BC.48.A</w:t>
            </w:r>
            <w:r>
              <w:rPr>
                <w:sz w:val="24"/>
                <w:szCs w:val="24"/>
              </w:rPr>
            </w:r>
            <w:r>
              <w:rPr>
                <w:sz w:val="24"/>
                <w:szCs w:val="24"/>
              </w:rPr>
            </w:r>
          </w:p>
        </w:tc>
        <w:tc>
          <w:tcPr>
            <w:tcBorders/>
            <w:tcW w:w="4781" w:type="dxa"/>
            <w:textDirection w:val="lrTb"/>
            <w:noWrap w:val="false"/>
          </w:tcPr>
          <w:p w14:paraId="4E249833" w14:textId="77777777">
            <w:pPr>
              <w:pStyle w:val="1030"/>
              <w:pBdr/>
              <w:tabs>
                <w:tab w:val="left" w:leader="none" w:pos="5103"/>
              </w:tabs>
              <w:spacing w:before="100" w:line="360" w:lineRule="auto"/>
              <w:ind/>
              <w:jc w:val="right"/>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14:paraId="1C1E2870" w14:textId="207F25D6">
            <w:pPr>
              <w:pStyle w:val="1030"/>
              <w:pBdr/>
              <w:tabs>
                <w:tab w:val="left" w:leader="none" w:pos="5103"/>
              </w:tabs>
              <w:spacing w:before="100" w:line="360" w:lineRule="auto"/>
              <w:ind/>
              <w:jc w:val="right"/>
              <w:rPr>
                <w:i/>
                <w:iCs/>
                <w:sz w:val="24"/>
                <w:szCs w:val="24"/>
              </w:rPr>
            </w:pPr>
            <w:r>
              <w:rPr>
                <w:rStyle w:val="1029"/>
                <w:rFonts w:ascii="Times New Roman" w:hAnsi="Times New Roman"/>
                <w:i/>
                <w:color w:val="auto"/>
              </w:rPr>
              <w:t xml:space="preserve">TP</w:t>
            </w:r>
            <w:r>
              <w:rPr>
                <w:rStyle w:val="1029"/>
                <w:rFonts w:ascii="Times New Roman" w:hAnsi="Times New Roman"/>
                <w:color w:val="auto"/>
              </w:rPr>
              <w:t xml:space="preserve">.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i/>
                <w:iCs/>
                <w:color w:val="000000" w:themeColor="text1"/>
                <w:sz w:val="24"/>
                <w:szCs w:val="24"/>
                <w:lang w:val="pt-BR"/>
              </w:rPr>
              <w:t xml:space="preserve">ngày 13 tháng 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0"/>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275/2025/1800/VFI-CT.48.A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6001FB3B">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14:paraId="4FB60CA1" w14:textId="18A46E2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10A5AB6">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b/>
                <w:color w:val="000000"/>
                <w:sz w:val="24"/>
              </w:rPr>
              <w:t xml:space="preserve">CÔNG TY CỔ PHẦN TRÍ VIỆT INVESTCONS</w:t>
            </w:r>
            <w:r/>
          </w:p>
        </w:tc>
      </w:tr>
      <w:tr>
        <w:trPr>
          <w:trHeight w:val="20"/>
        </w:trPr>
        <w:tc>
          <w:tcPr>
            <w:tcBorders/>
            <w:tcW w:w="2518" w:type="dxa"/>
            <w:vAlign w:val="center"/>
            <w:textDirection w:val="lrTb"/>
            <w:noWrap w:val="false"/>
          </w:tcPr>
          <w:p w14:paraId="2BE601DA">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14:paraId="4FB60CA1" w14:textId="18A46E2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8E41B38">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color w:val="000000"/>
                <w:sz w:val="24"/>
              </w:rPr>
              <w:t xml:space="preserve">Phòng 202, tầng 2, lô 04 – TT5B Khu đô thị Tây Nam Linh Đàm, phường Hoàng Liệt, quận Hoàng Mai, Thành phố Hà Nội</w:t>
            </w:r>
            <w:r/>
          </w:p>
        </w:tc>
      </w:tr>
      <w:tr>
        <w:trPr>
          <w:trHeight w:val="20"/>
        </w:trPr>
        <w:tc>
          <w:tcPr>
            <w:tcBorders/>
            <w:tcW w:w="2518" w:type="dxa"/>
            <w:vAlign w:val="center"/>
            <w:textDirection w:val="lrTb"/>
            <w:noWrap w:val="false"/>
          </w:tcPr>
          <w:p w14:paraId="3CB0F947">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14:paraId="4FB60CA1" w14:textId="18A46E2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453C2F5">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color w:val="000000"/>
                <w:sz w:val="24"/>
              </w:rPr>
              <w:t xml:space="preserve">0108413468</w:t>
            </w:r>
            <w:r/>
          </w:p>
        </w:tc>
      </w:tr>
      <w:tr>
        <w:trPr>
          <w:trHeight w:val="20"/>
        </w:trPr>
        <w:tc>
          <w:tcPr>
            <w:tcBorders/>
            <w:tcW w:w="2518" w:type="dxa"/>
            <w:vAlign w:val="center"/>
            <w:vMerge w:val="restart"/>
            <w:textDirection w:val="lrTb"/>
            <w:noWrap w:val="false"/>
          </w:tcPr>
          <w:p w14:paraId="053F9FED">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W w:w="284" w:type="dxa"/>
            <w:vAlign w:val="center"/>
            <w:vMerge w:val="restart"/>
            <w:textDirection w:val="lrTb"/>
            <w:noWrap w:val="false"/>
          </w:tcPr>
          <w:p w14:paraId="18D8AF3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14:paraId="13FACD43">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b/>
                <w:color w:val="000000"/>
                <w:sz w:val="24"/>
              </w:rPr>
              <w:t xml:space="preserve">Ông Lý Quang Hưng</w:t>
            </w:r>
            <w:r/>
          </w:p>
        </w:tc>
      </w:tr>
      <w:tr>
        <w:trPr>
          <w:trHeight w:val="20"/>
        </w:trPr>
        <w:tc>
          <w:tcPr>
            <w:tcBorders/>
            <w:tcW w:w="2518" w:type="dxa"/>
            <w:vAlign w:val="center"/>
            <w:textDirection w:val="lrTb"/>
            <w:noWrap w:val="false"/>
          </w:tcPr>
          <w:p w14:paraId="3C0C6DAC">
            <w:pPr>
              <w:pBdr>
                <w:top w:val="none" w:color="000000" w:sz="4" w:space="0"/>
                <w:left w:val="none" w:color="000000" w:sz="4" w:space="0"/>
                <w:bottom w:val="none" w:color="000000" w:sz="4" w:space="0"/>
                <w:right w:val="none" w:color="000000" w:sz="4" w:space="0"/>
              </w:pBdr>
              <w:spacing w:before="60" w:line="276" w:lineRule="auto"/>
              <w:ind w:right="0" w:firstLine="0" w:left="0"/>
              <w:rPr/>
            </w:pPr>
            <w:r>
              <w:rPr>
                <w:rFonts w:ascii="Times New Roman" w:hAnsi="Times New Roman" w:eastAsia="Times New Roman" w:cs="Times New Roman"/>
                <w:color w:val="000000"/>
                <w:sz w:val="24"/>
              </w:rPr>
              <w:t xml:space="preserve">Chức vụ</w:t>
            </w:r>
            <w:r/>
          </w:p>
        </w:tc>
        <w:tc>
          <w:tcPr>
            <w:tcBorders/>
            <w:tcW w:w="284" w:type="dxa"/>
            <w:vAlign w:val="center"/>
            <w:textDirection w:val="lrTb"/>
            <w:noWrap w:val="false"/>
          </w:tcPr>
          <w:p w14:paraId="4FB60CA1" w14:textId="18A46E2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ED72499">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b/>
                <w:color w:val="000000"/>
                <w:sz w:val="24"/>
              </w:rPr>
              <w:t xml:space="preserve">Chủ tịch HĐQT</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có địa chỉ: Ô đất số 4-Dẫy B-TT5, dự án Tây Nam Hồ Linh Đàm, phường Hoàng Liệt, quận Hoàng Mai, thành phố Hà Nội (nay là phường Hoàng Liệt, thành phố Hà Nội) theo Giấy chứng nhận quyền sử dụng đ</w:t>
            </w:r>
            <w:r>
              <w:rPr>
                <w:bCs/>
                <w:color w:val="000000" w:themeColor="text1"/>
                <w:lang w:val="pt-BR"/>
              </w:rPr>
              <w:t xml:space="preserve">ất quyền sở hữu nhà ở và tài sản khác gắn liền với đất số: CB 845281, số vào sổ cấp GCN: CS 00783 do Sở Tài nguyên và Môi trường Thành phố Hà Nội cấp ngày 14/01/2016; Chủ sử dụng đất và sở hữu tài sản gắn liền với đất là Ông Lê Phúc Vũ và Bà Hoàng Thị Huệ.</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Hoàng Liệt,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20.9608326, 105.8239156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w:t>
      </w:r>
      <w:r>
        <w:rPr>
          <w:bCs/>
          <w:color w:val="000000" w:themeColor="text1"/>
          <w:lang w:val="pt-BR"/>
        </w:rPr>
        <w:t xml:space="preserve">đất quyền sở hữu nhà ở và tài sản khác gắn liền với đất số: CB 845281, số vào sổ cấp GCN: CS 00783 do Sở Tài nguyên và Môi trường Thành phố Hà Nội cấp ngày 14/01/2016; Chủ sử dụng đất và sở hữu tài sản gắn liền với đất là Ông Lê Phúc Vũ và Bà Hoàng Thị Huệ</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275/2025/1799/VFI-HĐTĐ.48.A ngày 12/12/2025 giữa Công Ty Cổ Phần Trí Việt Investcons với Công ty Cổ phần Thẩm định và Đầu tư Tài chính Hoa Sen.</w:t>
      </w:r>
      <w:r>
        <w:rPr>
          <w:b/>
          <w:lang w:val="pt-BR"/>
        </w:rPr>
      </w:r>
      <w:r>
        <w:rPr>
          <w:b/>
          <w:lang w:val="pt-BR"/>
        </w:rPr>
      </w:r>
    </w:p>
    <w:p w14:paraId="7BDC3A25" w14:textId="77D2CF95">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1686EC74">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0" w:left="0"/>
        <w:jc w:val="both"/>
        <w:rPr/>
      </w:pPr>
      <w:r>
        <w:rPr>
          <w:lang w:val="pt-BR"/>
        </w:rPr>
        <w:tab/>
      </w:r>
      <w:r>
        <w:rPr>
          <w:rFonts w:ascii="Times New Roman" w:hAnsi="Times New Roman" w:eastAsia="Times New Roman" w:cs="Times New Roman"/>
          <w:color w:val="000000"/>
          <w:sz w:val="24"/>
        </w:rPr>
        <w:t xml:space="preserve">Bất động sản Hoàng Mai đang dần trở thành tâm điểm trên thị trường Hà Nội, đặc biệt khi các dự án hạ tầng trọng điểm của khu vực được đẩy mạnh triển khai. Với sự hoàn thiện ngày càng rõ nét của hệ thống giao thông, Hoàng Mai nhanh chóng thu hút sự quan tâm</w:t>
      </w:r>
      <w:r>
        <w:rPr>
          <w:rFonts w:ascii="Times New Roman" w:hAnsi="Times New Roman" w:eastAsia="Times New Roman" w:cs="Times New Roman"/>
          <w:color w:val="000000"/>
          <w:sz w:val="24"/>
        </w:rPr>
        <w:t xml:space="preserve"> của nhiều khách hàng. Khu vực này được kỳ vọng sẽ trở thành trung tâm bất động sản mới của Hà Nội. Nhiều nhà đầu tư lớn đã chọn Hoàng Mai làm điểm đến, báo hiệu tiềm năng tăng trưởng mạnh mẽ trong thời gian tới.</w:t>
      </w:r>
      <w:r>
        <w:rPr>
          <w:rFonts w:ascii="Times New Roman" w:hAnsi="Times New Roman" w:eastAsia="Times New Roman" w:cs="Times New Roman"/>
          <w:b/>
          <w:color w:val="000000"/>
          <w:sz w:val="24"/>
        </w:rPr>
        <w:t xml:space="preserve"> </w:t>
      </w:r>
      <w:r/>
    </w:p>
    <w:p w14:paraId="37DF57E5">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Thị trường bất động sản tại quận Hoàng Mai</w:t>
      </w:r>
      <w:r/>
    </w:p>
    <w:p w14:paraId="5DFB2E10">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0" w:left="0"/>
        <w:jc w:val="both"/>
        <w:rPr/>
      </w:pPr>
      <w:r>
        <w:rPr>
          <w:rFonts w:ascii="Times New Roman" w:hAnsi="Times New Roman" w:eastAsia="Times New Roman" w:cs="Times New Roman"/>
          <w:color w:val="000000"/>
          <w:sz w:val="24"/>
        </w:rPr>
        <w:tab/>
        <w:t xml:space="preserve">Thị trường bất động sản tại quận Hoàng Mai đang chứng kiến sự gia tăng về nhu cầu, đặc biệt sau khi đại dịch Covid-19 qua đi. Xu hướng dịch chuyển ra các khu vực ngoại thành để tìm kiếm không gian sống xanh và thoáng đãng hơn ngày càng phổ biến, góp phần </w:t>
      </w:r>
      <w:r>
        <w:rPr>
          <w:rFonts w:ascii="Times New Roman" w:hAnsi="Times New Roman" w:eastAsia="Times New Roman" w:cs="Times New Roman"/>
          <w:color w:val="000000"/>
          <w:sz w:val="24"/>
        </w:rPr>
        <w:t xml:space="preserve">đẩy mạnh lượng giao dịch cũng như giá cả bất động sản, đặc biệt là các loại hình như chung cư và nhà đất. Hoạt động mua bán nhà tại Hoàng Mai hiện đang rất sôi động, thu hút sự quan tâm lớn từ phía người mua và nhà đầu tư. Với nhiều dự án lớn đang được tri</w:t>
      </w:r>
      <w:r>
        <w:rPr>
          <w:rFonts w:ascii="Times New Roman" w:hAnsi="Times New Roman" w:eastAsia="Times New Roman" w:cs="Times New Roman"/>
          <w:color w:val="000000"/>
          <w:sz w:val="24"/>
        </w:rPr>
        <w:t xml:space="preserve">ển khai, Hoàng Mai ngày càng trở thành tâm điểm cho các nhà đầu tư bất động sản, tạo cơ hội tăng trưởng mạnh mẽ cho thị trường nơi đây.</w:t>
      </w:r>
      <w:r/>
    </w:p>
    <w:p w14:paraId="7992BE27">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0" w:left="0"/>
        <w:jc w:val="both"/>
        <w:rPr/>
      </w:pPr>
      <w:r>
        <w:rPr>
          <w:rFonts w:ascii="Times New Roman" w:hAnsi="Times New Roman" w:eastAsia="Times New Roman" w:cs="Times New Roman"/>
          <w:color w:val="000000"/>
          <w:sz w:val="24"/>
        </w:rPr>
        <w:tab/>
        <w:t xml:space="preserve">Theo quy hoạch Thủ đô giai đoạn 2030 - 2050, Hoàng Mai sẽ được đầu tư phát triển cơ sở hạ tầng mạnh mẽ nhằm thúc đẩy tốc độ đô thị hóa. Quận này cũng được dự kiến sẽ mở rộng thêm với nhiều dự án lớn được triển khai.</w:t>
      </w:r>
      <w:r/>
    </w:p>
    <w:p w14:paraId="5A84C4FD">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0" w:left="0"/>
        <w:jc w:val="both"/>
        <w:rPr/>
      </w:pPr>
      <w:r>
        <w:rPr>
          <w:rFonts w:ascii="Times New Roman" w:hAnsi="Times New Roman" w:eastAsia="Times New Roman" w:cs="Times New Roman"/>
          <w:color w:val="000000"/>
          <w:sz w:val="24"/>
        </w:rPr>
        <w:tab/>
        <w:t xml:space="preserve">Bên cạnh đó, trong những năm gần đây, hệ thống giao thông tại Hoàng Mai đã được nâng cấp đáng kể. Chỉ trong vòng 5 năm, người dân đã nhận thấy những thay đổi tích cực với sự phát triển của các tuyến đường sắt và giao thông trọng điểm, giúp tăng giá trị bấ</w:t>
      </w:r>
      <w:r>
        <w:rPr>
          <w:rFonts w:ascii="Times New Roman" w:hAnsi="Times New Roman" w:eastAsia="Times New Roman" w:cs="Times New Roman"/>
          <w:color w:val="000000"/>
          <w:sz w:val="24"/>
        </w:rPr>
        <w:t xml:space="preserve">t động sản khu vực, theo nhận định từ các chuyên gia.</w:t>
      </w:r>
      <w:r/>
    </w:p>
    <w:p w14:paraId="30BFDE27">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0" w:left="0"/>
        <w:jc w:val="both"/>
        <w:rPr/>
      </w:pPr>
      <w:r>
        <w:rPr>
          <w:rFonts w:ascii="Times New Roman" w:hAnsi="Times New Roman" w:eastAsia="Times New Roman" w:cs="Times New Roman"/>
          <w:color w:val="000000"/>
          <w:sz w:val="24"/>
        </w:rPr>
        <w:tab/>
        <w:t xml:space="preserve">Tóm lại, cơ sở hạ tầng giao thông hiện đại tại Hoàng Mai đang góp phần nâng cao giá trị bất động sản, hứa hẹn mang lại nhiều tiềm năng phát triển trong tương lai.</w:t>
      </w:r>
      <w:r/>
    </w:p>
    <w:p w14:paraId="4F9B154B">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Phân khúc nhà đất thổ cư</w:t>
      </w:r>
      <w:r/>
    </w:p>
    <w:p w14:paraId="0CA262E7">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0" w:left="0"/>
        <w:jc w:val="both"/>
        <w:rPr/>
      </w:pPr>
      <w:r>
        <w:rPr>
          <w:rFonts w:ascii="Times New Roman" w:hAnsi="Times New Roman" w:eastAsia="Times New Roman" w:cs="Times New Roman"/>
          <w:color w:val="000000"/>
          <w:sz w:val="24"/>
        </w:rPr>
        <w:tab/>
        <w:t xml:space="preserve">Quận Hoàng Mai hiện đang chứng kiến sự tăng trưởng mạnh mẽ trong lĩnh vực bất động sản, đặc biệt là phân khúc nhà đất thổ cư. Giá trị bất động sản thổ cư tại khu vực này dao động từ 49 triệu/m2 đến 328 triệu/m2, tạo cơ hội hấp dẫn cho các nhà đầu tư. Theo</w:t>
      </w:r>
      <w:r>
        <w:rPr>
          <w:rFonts w:ascii="Times New Roman" w:hAnsi="Times New Roman" w:eastAsia="Times New Roman" w:cs="Times New Roman"/>
          <w:color w:val="000000"/>
          <w:sz w:val="24"/>
        </w:rPr>
        <w:t xml:space="preserve"> số liệu từ Batdongsan ngày 25/09/2024, có đến 2.831 sản phẩm bất động sản được đưa ra thị trường, cho thấy mức độ sôi động của phân khúc này.</w:t>
      </w:r>
      <w:r/>
    </w:p>
    <w:p w14:paraId="480C7A16">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0" w:left="0"/>
        <w:jc w:val="both"/>
        <w:rPr/>
      </w:pPr>
      <w:r>
        <w:rPr>
          <w:rFonts w:ascii="Times New Roman" w:hAnsi="Times New Roman" w:eastAsia="Times New Roman" w:cs="Times New Roman"/>
          <w:color w:val="000000"/>
          <w:sz w:val="24"/>
        </w:rPr>
        <w:tab/>
        <w:t xml:space="preserve">Với sự phát triển hạ tầng và gia tăng dân số trong khu vực, tiềm năng tăng giá của nhà đất thổ cư tại Hoàng Mai là rất khả quan. Đây chính là thời điểm vàng cho các nhà đầu tư tìm kiếm cơ hội sinh lời từ phân khúc này.</w:t>
      </w:r>
      <w:r/>
      <w:r>
        <w:rPr>
          <w:rFonts w:ascii="Times New Roman" w:hAnsi="Times New Roman" w:eastAsia="Times New Roman" w:cs="Times New Roman"/>
          <w:color w:val="000000"/>
          <w:sz w:val="24"/>
        </w:rPr>
      </w:r>
      <w:r/>
      <w:r/>
    </w:p>
    <w:p w14:paraId="202A218A">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0" w:left="0"/>
        <w:jc w:val="both"/>
        <w:rPr/>
      </w:pPr>
      <w:r>
        <w:rPr>
          <w:rFonts w:ascii="Times New Roman" w:hAnsi="Times New Roman" w:eastAsia="Times New Roman" w:cs="Times New Roman"/>
          <w:color w:val="000000"/>
          <w:sz w:val="24"/>
        </w:rPr>
        <w:tab/>
        <w:t xml:space="preserve">Những con số này không chỉ thể hiện tiềm năng tăng giá mà còn khẳng định quận Hoàng Mai đang trở thành một trong những khu vực phát triển mạnh mẽ về bất động sản chung cư tại Hà Nội. Việc đầu tư vào các dự án chung cư tại đây, với mức giá đang tăng đều đặ</w:t>
      </w:r>
      <w:r>
        <w:rPr>
          <w:rFonts w:ascii="Times New Roman" w:hAnsi="Times New Roman" w:eastAsia="Times New Roman" w:cs="Times New Roman"/>
          <w:color w:val="000000"/>
          <w:sz w:val="24"/>
        </w:rPr>
        <w:t xml:space="preserve">n mỗi năm, hứa hẹn mang lại giá trị gia tăng cao cho các nhà đầu tư trong thời gian tới.</w:t>
      </w:r>
      <w:r/>
    </w:p>
    <w:p w14:paraId="52D79D09">
      <w:pPr>
        <w:pBdr>
          <w:top w:val="none" w:color="000000" w:sz="4" w:space="0"/>
          <w:left w:val="none" w:color="000000" w:sz="4" w:space="0"/>
          <w:bottom w:val="none" w:color="000000" w:sz="4" w:space="0"/>
          <w:right w:val="none" w:color="000000" w:sz="4" w:space="0"/>
        </w:pBdr>
        <w:tabs>
          <w:tab w:val="left" w:leader="none" w:pos="426"/>
        </w:tabs>
        <w:spacing w:after="120" w:before="120" w:line="264" w:lineRule="auto"/>
        <w:ind w:right="0" w:firstLine="0" w:left="0"/>
        <w:jc w:val="both"/>
        <w:rPr/>
      </w:pPr>
      <w:r>
        <w:rPr>
          <w:rFonts w:ascii="Times New Roman" w:hAnsi="Times New Roman" w:eastAsia="Times New Roman" w:cs="Times New Roman"/>
          <w:color w:val="000000"/>
          <w:sz w:val="24"/>
        </w:rPr>
        <w:tab/>
        <w:t xml:space="preserve">Với những tiềm năng và cơ hội hiện có, thị trường bất động sản Hoàng Mai hứa hẹn sẽ tiếp tục thu hút sự quan tâm từ các nhà đầu tư. Việc nắm bắt những xu hướng và biến động của thị trường sẽ giúp bạn đưa ra quyết định đầu tư thông minh và hiệu quả. Hãy th</w:t>
      </w:r>
      <w:r>
        <w:rPr>
          <w:rFonts w:ascii="Times New Roman" w:hAnsi="Times New Roman" w:eastAsia="Times New Roman" w:cs="Times New Roman"/>
          <w:color w:val="000000"/>
          <w:sz w:val="24"/>
        </w:rPr>
        <w:t xml:space="preserve">eo dõi sát sao và chuẩn bị cho những cơ hội phát triển trong tương lai gần tại khu vực này!</w:t>
      </w:r>
      <w:r/>
    </w:p>
    <w:p w14:paraId="17ED7ACA">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(Nguồm tham khảo: https://onehousing.vn/blog/suc-hut-ve-tiem-nang-bat-dong-san-khu-vuc-hoang-mai-co-gi-noi-bat-n17t)</w:t>
      </w:r>
      <w:r>
        <w:rPr>
          <w:bCs/>
          <w:i/>
          <w:lang w:val="pt-BR"/>
        </w:rPr>
      </w:r>
      <w:r>
        <w:rPr>
          <w:bCs/>
          <w:i/>
          <w:lang w:val="pt-BR"/>
        </w:rPr>
      </w:r>
    </w:p>
    <w:p w14:paraId="20BF0D54" w14:textId="312C63AB">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và tài sản gắn liền với đất tại thửa đất có địa chỉ: Ô đất số 4-Dẫy B-TT5, dự án Tây Nam Hồ Linh Đàm, phường Hoàng Liệt, quận Hoàng Mai, thành phố Hà Nội (nay là phường Hoàng Liệt, thành phố Hà Nội) theo Giấy chứng nhận quyền sử dụng đ</w:t>
            </w:r>
            <w:r>
              <w:rPr>
                <w:b/>
                <w:bCs/>
                <w:color w:val="000000"/>
              </w:rPr>
              <w:t xml:space="preserve">ất quyền sở hữu nhà ở và tài sản khác gắn liền với đất số: CB 845281, số vào sổ cấp GCN: CS 00783 do Sở Tài nguyên và Môi trường Thành phố Hà Nội cấp ngày 14/01/2016; Chủ sử dụng đất và sở hữu tài sản gắn liền với đất là Ông Lê Phúc Vũ và Bà Hoàng Thị Huệ.</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Ô đất số 4-Dẫy B-TT5, Dự án Tây Hồ Linh Đàm, phường Hoàng Liệt, quận Hoàng Mai,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210,0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Ghi chú:</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4"/>
              </w:rPr>
              <w:t xml:space="preserve">Số tờ, số thửa và sơ đồ sẽ được điều chỉnh khi có bản đồ địa chính chính quy.</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r>
            <w:r>
              <w:rPr>
                <w:rFonts w:ascii="Times New Roman" w:hAnsi="Times New Roman" w:eastAsia="Times New Roman" w:cs="Times New Roman"/>
                <w:color w:val="000000"/>
                <w:sz w:val="24"/>
              </w:rPr>
              <w:t xml:space="preserve">Đường nội khu</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5,86m + vỉa hè mỗi bên 2,9m</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r>
            <w:r>
              <w:rPr>
                <w:color w:val="000000" w:themeColor="text1"/>
              </w:rPr>
              <w:t xml:space="preserve">5,86m + vỉa hè mỗi bên 2,9m</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nằm tại ô đất số 4-Dẫy B-TT5, dự án Tây Nam Hồ Linh Đàm, cách phố Linh Đàm khoảng 100m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5BCC9B4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Tây: Tiếp giáp đường nội khu</w:t>
            </w:r>
            <w:r/>
          </w:p>
          <w:p w14:paraId="3D4FCA9C" w14:textId="0B548AE7">
            <w:pPr>
              <w:pBdr/>
              <w:spacing/>
              <w:ind/>
              <w:rPr>
                <w:color w:val="000000" w:themeColor="text1"/>
              </w:rPr>
            </w:pPr>
            <w:r>
              <w:rPr>
                <w:rFonts w:ascii="Times New Roman" w:hAnsi="Times New Roman" w:eastAsia="Times New Roman" w:cs="Times New Roman"/>
                <w:color w:val="000000"/>
                <w:sz w:val="24"/>
              </w:rPr>
              <w:t xml:space="preserve">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20.9608326</w:t>
            </w:r>
            <w:r>
              <w:rPr>
                <w:color w:val="000000"/>
              </w:rPr>
              <w:t xml:space="preserve">, </w:t>
            </w:r>
            <w:r>
              <w:rPr>
                <w:color w:val="000000"/>
              </w:rPr>
              <w:t xml:space="preserve">105.8239156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04764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296621311" name="" descr=""/>
                              <pic:cNvPicPr/>
                              <pic:nvPr/>
                            </pic:nvPicPr>
                            <pic:blipFill rotWithShape="1">
                              <a:blip r:embed="rId15"/>
                              <a:stretch/>
                            </pic:blipFill>
                            <pic:spPr bwMode="auto">
                              <a:xfrm>
                                <a:off x="0" y="0"/>
                                <a:ext cx="5047642"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7.45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210,0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10,5</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25CA158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Theo GCN số CB 845281, công trình xây dựng gắn liền với đất là Nhà biệt thự, diện tích xây dựng 94m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diện tích sàn 269,2m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được hoàn công năm 2016. </w:t>
            </w:r>
            <w:r/>
          </w:p>
          <w:p w14:paraId="476DABE3" w14:textId="35CEE1D1">
            <w:pPr>
              <w:pBdr/>
              <w:spacing/>
              <w:ind/>
              <w:jc w:val="both"/>
              <w:rPr>
                <w:color w:val="000000"/>
              </w:rPr>
            </w:pPr>
            <w:r>
              <w:rPr>
                <w:rFonts w:ascii="Times New Roman" w:hAnsi="Times New Roman" w:eastAsia="Times New Roman" w:cs="Times New Roman"/>
                <w:color w:val="000000"/>
                <w:sz w:val="24"/>
              </w:rPr>
              <w:t xml:space="preserve">Theo thông tin khách hàng cung cấp, công trình xây dựng trên đã được cải tạo sửa chữa và xây dựng thêm tầng 4+5 vào năm 2024. Hiện trạng công trình xây dựng có ngoại quan mới, kết cấu chính đảm bảo công năng chịu lực, kết cấu phụ trợ sử dụng ở mức độ tốt, </w:t>
            </w:r>
            <w:r>
              <w:rPr>
                <w:rFonts w:ascii="Times New Roman" w:hAnsi="Times New Roman" w:eastAsia="Times New Roman" w:cs="Times New Roman"/>
                <w:color w:val="000000"/>
                <w:sz w:val="24"/>
              </w:rPr>
              <w:t xml:space="preserve">đang được sử dụng làm văn phòng</w:t>
            </w:r>
            <w:r>
              <w:rPr>
                <w:color w:val="000000"/>
              </w:rPr>
              <w:t xml:space="preserve">.</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Có</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4D8C8892">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Theo GCN số CB 845281, công trình xây dựng gắn liền với đất là Nhà biệt thự, diện tích xây dựng 94m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diện tích sàn 269,2m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được hoàn công năm 2016. Tuy nhiên, theo thông tin khách hàng cung cấp, công trình xây dựng trên đã được cải tạo sửa chữa và xây dựng thêm tầng 4+5 vào năm 2024. Khách hàng không cung cấp hồ sơ pháp lý liên quan tới phần diện tích xây dựng thêm. Do vậy, t</w:t>
      </w:r>
      <w:r>
        <w:rPr>
          <w:rFonts w:ascii="Times New Roman" w:hAnsi="Times New Roman" w:eastAsia="Times New Roman" w:cs="Times New Roman"/>
          <w:color w:val="000000"/>
          <w:sz w:val="24"/>
        </w:rPr>
        <w:t xml:space="preserve">heo đề nghị của Ngân hàng/Khách hàng, Tổ thẩm định chỉ xác giá trị của công trình xây dựng theo diện tích đã được công nhận trên GCN. Kính đề nghị đơn vị sử dụng kết quả lưu ý.</w:t>
      </w:r>
      <w:r/>
    </w:p>
    <w:p w14:paraId="51C0244C">
      <w:pPr>
        <w:pStyle w:val="1031"/>
        <w:numPr>
          <w:ilvl w:val="0"/>
          <w:numId w:val="3"/>
        </w:numPr>
        <w:pBdr/>
        <w:tabs>
          <w:tab w:val="left" w:leader="none" w:pos="993"/>
        </w:tabs>
        <w:spacing w:after="120" w:before="120" w:line="264" w:lineRule="auto"/>
        <w:ind/>
        <w:jc w:val="both"/>
        <w:rPr>
          <w:spacing w:val="-2"/>
          <w:lang w:val="pt-BR"/>
        </w:rPr>
      </w:pPr>
      <w:r>
        <w:rPr>
          <w:rFonts w:ascii="Times New Roman" w:hAnsi="Times New Roman" w:eastAsia="Times New Roman" w:cs="Times New Roman"/>
          <w:color w:val="000000"/>
          <w:spacing w:val="-2"/>
          <w:sz w:val="24"/>
        </w:rPr>
        <w:t xml:space="preserve">Sơ đồ thửa đất tại trang 3 GCN chưa thể hiện đường giao thông/lối vào thửa đất cần thẩm định giá. Do đó tổ thẩm định giả định vị trí, độ rộng đường/ngõ theo thực tế khảo sát hoàn toàn phù hợp với Trích lục thửa đất do cơ quan có thẩm quyền cấp (do tổ thẩm </w:t>
      </w:r>
      <w:r>
        <w:rPr>
          <w:rFonts w:ascii="Times New Roman" w:hAnsi="Times New Roman" w:eastAsia="Times New Roman" w:cs="Times New Roman"/>
          <w:color w:val="000000"/>
          <w:spacing w:val="-2"/>
          <w:sz w:val="24"/>
        </w:rPr>
        <w:t xml:space="preserve">định không được cung cấp Sơ đồ/Trích lục thể hiện đường giao thông tại thời điểm khảo sát để đối chiếu với thực tế).</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3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88"/>
        <w:gridCol w:w="1987"/>
        <w:gridCol w:w="1698"/>
        <w:gridCol w:w="1698"/>
        <w:gridCol w:w="1698"/>
        <w:gridCol w:w="1698"/>
      </w:tblGrid>
      <w:tr>
        <w:trPr>
          <w:trHeight w:val="30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top"/>
            <w:textDirection w:val="lrTb"/>
            <w:noWrap w:val="false"/>
          </w:tcPr>
          <w:p w14:paraId="3423900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STT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top"/>
            <w:textDirection w:val="lrTb"/>
            <w:noWrap w:val="false"/>
          </w:tcPr>
          <w:p w14:paraId="02F6B42A">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ĐẶC ĐIỂM BĐS</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top"/>
            <w:textDirection w:val="lrTb"/>
            <w:noWrap w:val="false"/>
          </w:tcPr>
          <w:p w14:paraId="1D0E44B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TSTĐ</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top"/>
            <w:textDirection w:val="lrTb"/>
            <w:noWrap w:val="false"/>
          </w:tcPr>
          <w:p w14:paraId="6F69C43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TSSS1</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top"/>
            <w:textDirection w:val="lrTb"/>
            <w:noWrap w:val="false"/>
          </w:tcPr>
          <w:p w14:paraId="3E23ABC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TSSS2</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009801E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TSSS3</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2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top"/>
            <w:textDirection w:val="lrTb"/>
            <w:noWrap w:val="false"/>
          </w:tcPr>
          <w:p w14:paraId="3965F22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A</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top"/>
            <w:textDirection w:val="lrTb"/>
            <w:noWrap w:val="false"/>
          </w:tcPr>
          <w:p w14:paraId="40310933">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Thông tin về tài sản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top"/>
            <w:textDirection w:val="lrTb"/>
            <w:noWrap w:val="false"/>
          </w:tcPr>
          <w:p w14:paraId="7292A6A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top"/>
            <w:textDirection w:val="lrTb"/>
            <w:noWrap w:val="false"/>
          </w:tcPr>
          <w:p w14:paraId="7CC428F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top"/>
            <w:textDirection w:val="lrTb"/>
            <w:noWrap w:val="false"/>
          </w:tcPr>
          <w:p w14:paraId="54040C1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B0EA48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179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369B0C6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2D57F360">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Địa chỉ</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5AE1579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Ô đất số 4-Dẫy B-TT5, Dự án Tây Hồ Linh Đàm, phường Hoàng Liệt, quận Hoàng Mai, thành phố Hà Nội</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611D549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Dự án Tây Nam Hồ Linh Đàm, Phường Hoàng Liệt, Quận Hoàng Mai, Thành phố Hà Nội</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2832E88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Dự án Tây Nam Hồ Linh Đàm, Phường Hoàng Liệt, Quận Hoàng Mai, Thành phố Hà Nội</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4C52204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Dự án Tây Nam Hồ Linh Đàm, Phường Hoàng Liệt, Quận Hoàng Mai, Thành phố Hà Nội</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10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761B26E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3B9C16BF">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Nguồn tham khảo</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6953E947">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3F7BF81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https://batdongsan.com.vn/ban-nha-biet-thu-lien-ke-duong-bang-a-phuong-hoang-liet-prj-tay-nam-ho-linh-dam/chinh-chu-ban-gap-tho-tt5-6-mai-pr43922083</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5363A7DB">
            <w:pPr>
              <w:pBdr/>
              <w:spacing w:after="0" w:before="0" w:line="240" w:lineRule="auto"/>
              <w:ind/>
              <w:jc w:val="center"/>
              <w:rPr>
                <w:rFonts w:ascii="Times New Roman" w:hAnsi="Times New Roman" w:cs="Times New Roman"/>
                <w:color w:val="000000" w:themeColor="text1"/>
                <w:sz w:val="22"/>
                <w:szCs w:val="22"/>
                <w:u w:val="none"/>
              </w:rPr>
            </w:pPr>
            <w:r/>
            <w:hyperlink r:id="rId16" w:tooltip="https://batdongsan.com.vn/ban-nha-biet-thu-lien-ke-duong-bui-quoc-khai-phuong-hoang-liet-prj-tay-nam-ho-linh-dam/-xanh-210m2-so-huu-truc-ong-mai-sam-uat-co-hoi-vang-cho-dau-tu-pr42251755" w:history="1">
              <w:r>
                <w:rPr>
                  <w:rStyle w:val="1021"/>
                  <w:rFonts w:ascii="Times New Roman" w:hAnsi="Times New Roman" w:eastAsia="Times New Roman" w:cs="Times New Roman"/>
                  <w:color w:val="000000" w:themeColor="text1"/>
                  <w:sz w:val="22"/>
                  <w:szCs w:val="22"/>
                  <w:u w:val="none"/>
                </w:rPr>
                <w:t xml:space="preserve">https://batdongsan.com.vn/ban-nha-biet-thu-lien-ke-duong-bui-quoc-khai-phuong-hoang-liet-prj-tay-nam-ho-linh-dam/-xanh-210m2-so-huu-truc-ong-mai-sam-uat-co-hoi-vang-cho-dau-tu-pr42251755</w:t>
              </w:r>
            </w:hyperlink>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627430E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https://www.facebook.com/groups/6836953346354728/posts/24552947597662030/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63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1780D84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0560C697">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Thông tin liên lạc</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000A7E1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bottom"/>
            <w:textDirection w:val="lrTb"/>
            <w:noWrap/>
          </w:tcPr>
          <w:p w14:paraId="08CD7CFC">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SĐT: 0338866362</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bottom"/>
            <w:textDirection w:val="lrTb"/>
            <w:noWrap/>
          </w:tcPr>
          <w:p w14:paraId="5C923C31">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SĐT: 0338866362</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bottom"/>
            <w:textDirection w:val="lrTb"/>
            <w:noWrap/>
          </w:tcPr>
          <w:p w14:paraId="262DCCB6">
            <w:pPr>
              <w:pBdr/>
              <w:spacing w:after="0" w:before="0" w:line="240" w:lineRule="auto"/>
              <w:ind/>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SĐT: 0976290220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63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1B57658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2A5139BB">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Tình trạng giao dịch</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010F595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177E534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Đang giao dịch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10A9FEA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Đang giao dịch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057E54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Đang giao dịch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56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6FC1716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4</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1C2E9FA6">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Thời điểm thu thập thông tin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C5E8D7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94E3DC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Tháng 12/2025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EC0AD64">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Tháng 12/2025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F5318F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Tháng 12/2025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56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7CE2B08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5</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6307C009">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Tính chất giao dịch</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2A24CB3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Giao dịch bình thường trên thị trường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AA5536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Giao dịch bình thường trên thị trường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1A8CBA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Giao dịch bình thường trên thị trường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CFD1BA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Giao dịch bình thường trên thị trường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56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5021544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6</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1BF40C24">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Pháp lý</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28AE50D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Có Giấy chứng nhận Quyền sử dụng đất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BD3A59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Có Giấy chứng nhận Quyền sử dụng đất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23BD147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Có Giấy chứng nhận Quyền sử dụng đất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CE2FBF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Có Giấy chứng nhận Quyền sử dụng đất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463"/>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2AE2F98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7</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14B94A86">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Mục đích sử dụng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CB2172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Đất ở tại đô thị</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889E9D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Đất ở tại đô thị</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E7DC1E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Đất ở tại đô thị</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5BB8A6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Đất ở tại đô thị</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0273C66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8</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2DBECA85">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Thời hạn sử dụng đất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1AD7C7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Lâu dài</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5128F5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Lâu dài</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2C1B2AB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Lâu dài</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17C336B4">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Lâu dài</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222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5E8894E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9</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2E2CE0E3">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Vị trí</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77769A3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Tài sản nằm tại ô đất số 4-Dẫy B-TT5, dự án Tây Nam Hồ Linh Đàm, cách phố Linh Đàm khoảng 100m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77DFDCB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Tài sản nằm tại  Dự án Tây Nam Hồ Linh Đàm, cách phố Linh Đàm khoảng 100m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257DEB9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Tài sản nằm tại  Dự án Tây Nam Hồ Linh Đàm, cách phố Linh Đàm khoảng 100m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57568184">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Tài sản nằm tại  Dự án Tây Nam Hồ Linh Đàm, cách phố Linh Đàm khoảng 100m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31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414D79A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26B6B8BE">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Giao thông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194198F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11,66</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58D159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10,5m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45BA09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20,5m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112934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10,5m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60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4020512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11</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3A9B66F8">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Diện tích đất</w:t>
              <w:br/>
              <w:t xml:space="preserve"> (m²)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948072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210,00 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F2DFA9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200,00 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919364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210,00 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23A3128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240,00 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42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6DD7FC3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12</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48C817B0">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Mặt tiền (m)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5ED9559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10,50 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6A0B67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10,00 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56377C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12,00 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0A210E9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10,00 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10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7F3A4E3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13</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14E47EC2">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Số lượng mặt tiếp giáp</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305488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 mặt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3F9051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 mặt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D751FF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 mặt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2068DF8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 mặt tiền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523"/>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5BA5281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14</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72BF487D">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Hình dáng thửa đất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246103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Vuông vức</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2407A9E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Vuông vức</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1C284A9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Vuông vức</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5053D6F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Vuông vức</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733"/>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25B16C4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15</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45C057C0">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Lợi thế kinh doanh</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1FB8C0B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Phù hợp để ở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1A38D5D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Phù hợp để ở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78910D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Phù hợp để ở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28FCF7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Phù hợp để ở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87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6269077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16</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37610889">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Yếu tố khác (Yếu tố phong thủy/Yếu tố tâm linh)</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2ECC98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Đường đâm</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E1E5C3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Không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8DB157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Không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5773FC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Không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15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69E7BF2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17</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3217DCB0">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Điều kiện cơ sở hạ tầng kỹ thuật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B70A73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Hạ tầng khu dân cư thông thường: Hệ thống cấp điện, cấp thoát nước đầy đủ</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4376754">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Hạ tầng khu dân cư thông thường: Hệ thống cấp điện, cấp thoát nước đầy đủ</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5687CC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Hạ tầng khu dân cư thông thường: Hệ thống cấp điện, cấp thoát nước đầy đủ</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09B9DCD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Hạ tầng khu dân cư thông thường: Hệ thống cấp điện, cấp thoát nước đầy đủ</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2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4BE0095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18</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484441CC">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Tài sản trên đất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0CB025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2503EF7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Nhà 3,5 tầng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0DEA47C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Nhà 3,5 tầng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E57346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Nhà 3,5 tầng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205"/>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bottom"/>
            <w:textDirection w:val="lrTb"/>
            <w:noWrap/>
          </w:tcPr>
          <w:p w14:paraId="691049B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7BC895F9">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Số tầng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B20AC1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868E1B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3,5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9A278F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3,5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B62DE9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3,5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56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bottom"/>
            <w:textDirection w:val="lrTb"/>
            <w:noWrap/>
          </w:tcPr>
          <w:p w14:paraId="05DF328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4B65A893">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Diện tích sàn sử dụng (m²)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bottom"/>
            <w:textDirection w:val="lrTb"/>
            <w:noWrap w:val="false"/>
          </w:tcPr>
          <w:p w14:paraId="01D8B5B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161FA31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316,0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2B844E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350,0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05D3CC4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400,0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2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16623F74">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19</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1F9EBD22">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Giá rao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1D186D6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75E6C1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48.000.000.000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066ADFF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55.000.000.000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0E73559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57.000.000.000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56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0E7C172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10DE6D28">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Giá thương lượng/bán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B18E50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2426837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45.600.000.000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518234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52.250.000.000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19DF174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54.150.000.000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315"/>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0E40583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B</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641EA985">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Chi tiết tính toán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0C50DBE4">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3535BBD">
            <w:pPr>
              <w:pBdr/>
              <w:spacing w:after="0" w:before="0" w:line="240" w:lineRule="auto"/>
              <w:ind/>
              <w:jc w:val="right"/>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B37905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9668D74">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80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4BC1B58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1</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7EA7F347">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Giá trị tài sản trên đất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F1BB3B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97976D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2.487.038.310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5EFB9C8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2.754.631.040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F84CE0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3.148.149.760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172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2B21688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06DF52F4">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Đơn giá xây dựng theo Quyết định 409/QĐ-BXD năm 2025 của Bộ Xây Dựng (đồng/m²)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1028D4E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86064D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9.837.968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230C248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9.837.968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1930E67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9.837.968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2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3B4BEE7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609054E3">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Tỷ lệ % CLCL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BAF374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4C1211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80%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177BF54">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80%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5EC4F40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80%</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2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11D6634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2</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679F4819">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Giá trị đất ở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B943A3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585692AE">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43.112.961.690  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9447FC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49.495.368.960  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0CADC5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51.001.850.240  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56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1E7376B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3</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1C599762">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Đơn giá QSDĐ (đồng/m²)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C284F0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39B402A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215.564.808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6481426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235.692.233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74F1995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212.507.709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2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1BEF15D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C</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482A341A">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b/>
                <w:color w:val="000000" w:themeColor="text1"/>
                <w:sz w:val="22"/>
                <w:szCs w:val="22"/>
                <w:u w:val="none"/>
              </w:rPr>
              <w:t xml:space="preserve">NHẬN XÉT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0C3AA46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999EBF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A9CFBB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16FA45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2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789D157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1</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7BE67180">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Pháp lý</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16EE34D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CFF3F6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3C65B3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0A40CB2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2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15DE8AB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2</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6B04F7F7">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Vị trí</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038ED807">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C1F1DC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1A77EB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2D2766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2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6527B1A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3</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025EB731">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Giao thông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0792649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151891C4">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Kém lợi thế hơn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CAF226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Lợi thế hơn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807133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Kém lợi thế hơn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56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4C5C25B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4</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203FD1B6">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Diện tích đất</w:t>
              <w:br/>
              <w:t xml:space="preserve"> (m²)</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4483036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2DF0B0F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F8EB3E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55BD08E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Kém lợi thế hơn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56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550E4AE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5</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0D8835E4">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Tỉ lệ mặt tiền/Tổng diện tích</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215BC1C6">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14EB146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BD2921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930C168">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2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667EF7D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6</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1D55C43A">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Số lượng mặt tiếp giáp</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5E335B51">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6E8C82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AFC3FB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EFBFF63">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Lợi thế hơn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28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39BE69A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7</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4CACE4F8">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Hình dáng thửa đất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60E92D14">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981BEE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0F530DD0">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030B679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30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5915CAB2">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8</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4259B52E">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Yếu tố khác (Yếu tố phong thủy/Yếu tố tâm linh)</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70A5C3F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0F9C15D">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Lợi thế hơn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3A4C9B6F">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Lợi thế hơn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7598159A">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Lợi thế hơn</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r>
        <w:trPr>
          <w:trHeight w:val="560"/>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588" w:type="dxa"/>
            <w:vAlign w:val="center"/>
            <w:textDirection w:val="lrTb"/>
            <w:noWrap/>
          </w:tcPr>
          <w:p w14:paraId="24503C8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9</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987" w:type="dxa"/>
            <w:vAlign w:val="center"/>
            <w:textDirection w:val="lrTb"/>
            <w:noWrap w:val="false"/>
          </w:tcPr>
          <w:p w14:paraId="31323EA6">
            <w:pPr>
              <w:pBdr/>
              <w:spacing w:after="0" w:before="0" w:line="240" w:lineRule="auto"/>
              <w:ind w:right="0" w:firstLine="0" w:left="90"/>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Điều kiện cơ sở hạ tầng kỹ thuật</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tcPr>
          <w:p w14:paraId="5C055A95">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 </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40F5D969">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1CA9DAEB">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0" w:type="dxa"/>
            </w:tcMar>
            <w:tcW w:w="1698" w:type="dxa"/>
            <w:vAlign w:val="center"/>
            <w:textDirection w:val="lrTb"/>
            <w:noWrap w:val="false"/>
          </w:tcPr>
          <w:p w14:paraId="6F90FB2C">
            <w:pPr>
              <w:pBdr/>
              <w:spacing w:after="0" w:before="0" w:line="240" w:lineRule="auto"/>
              <w:ind/>
              <w:jc w:val="center"/>
              <w:rPr>
                <w:rFonts w:ascii="Times New Roman" w:hAnsi="Times New Roman" w:cs="Times New Roman"/>
                <w:color w:val="000000" w:themeColor="text1"/>
                <w:sz w:val="22"/>
                <w:szCs w:val="22"/>
                <w:u w:val="none"/>
              </w:rPr>
            </w:pPr>
            <w:r>
              <w:rPr>
                <w:rFonts w:ascii="Times New Roman" w:hAnsi="Times New Roman" w:eastAsia="Times New Roman" w:cs="Times New Roman"/>
                <w:color w:val="000000" w:themeColor="text1"/>
                <w:sz w:val="22"/>
                <w:szCs w:val="22"/>
                <w:u w:val="none"/>
              </w:rPr>
              <w:t xml:space="preserve">Tương đồng</w:t>
            </w:r>
            <w:r>
              <w:rPr>
                <w:rFonts w:ascii="Times New Roman" w:hAnsi="Times New Roman" w:cs="Times New Roman"/>
                <w:color w:val="000000" w:themeColor="text1"/>
                <w:sz w:val="22"/>
                <w:szCs w:val="22"/>
                <w:u w:val="none"/>
              </w:rPr>
            </w:r>
            <w:r>
              <w:rPr>
                <w:rFonts w:ascii="Times New Roman" w:hAnsi="Times New Roman" w:cs="Times New Roman"/>
                <w:color w:val="000000" w:themeColor="text1"/>
                <w:sz w:val="22"/>
                <w:szCs w:val="22"/>
                <w:u w:val="none"/>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79"/>
        <w:gridCol w:w="1644"/>
        <w:gridCol w:w="625"/>
        <w:gridCol w:w="1608"/>
        <w:gridCol w:w="1574"/>
        <w:gridCol w:w="1575"/>
        <w:gridCol w:w="1576"/>
      </w:tblGrid>
      <w:tr>
        <w:trPr>
          <w:trHeight w:val="0"/>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79" w:type="dxa"/>
            <w:vAlign w:val="center"/>
            <w:textDirection w:val="lrTb"/>
            <w:noWrap w:val="false"/>
          </w:tcPr>
          <w:p w14:paraId="295404B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206B7D0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3005FCE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6EFF15A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2280EAD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0D9B9C0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67DD6EB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79" w:type="dxa"/>
            <w:vAlign w:val="center"/>
            <w:textDirection w:val="lrTb"/>
            <w:noWrap w:val="false"/>
          </w:tcPr>
          <w:p w14:paraId="2F8D2AA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3E0AC71D">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2E9A47C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5E03695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60995EA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43.112.961.690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7F4EA8C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49.495.368.960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3FDA97B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51.001.850.240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79" w:type="dxa"/>
            <w:vAlign w:val="center"/>
            <w:textDirection w:val="lrTb"/>
            <w:noWrap w:val="false"/>
          </w:tcPr>
          <w:p w14:paraId="60F9BBC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30B4D344">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1634341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70BC506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709C690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215.564.808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64D48AC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235.692.233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5AF4EBD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212.507.709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79" w:type="dxa"/>
            <w:vAlign w:val="center"/>
            <w:textDirection w:val="lrTb"/>
            <w:noWrap w:val="false"/>
          </w:tcPr>
          <w:p w14:paraId="67F877D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2348EABC">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58E36E5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50C90A5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16246C9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442FE64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0DBAFA2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79" w:type="dxa"/>
            <w:vAlign w:val="center"/>
            <w:vMerge w:val="restart"/>
            <w:textDirection w:val="lrTb"/>
            <w:noWrap w:val="false"/>
          </w:tcPr>
          <w:p w14:paraId="37BA353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385A15B7">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03B2C82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568A684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7D0DF53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24C7FCB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73B8EDB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58E00D4B">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2B1BD2A4">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17AF402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55F16FB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1438AA7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5344FF7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7C86814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52273541">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79E2291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44FEB6C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48020DA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46F2011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235D37F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2EE6AD3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2D90AF26">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673F7981">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022A77A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55F09B0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0017AD2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215.564.808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4FE42B5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235.692.233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59C63A7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212.507.709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79" w:type="dxa"/>
            <w:vAlign w:val="center"/>
            <w:vMerge w:val="restart"/>
            <w:textDirection w:val="lrTb"/>
            <w:noWrap w:val="false"/>
          </w:tcPr>
          <w:p w14:paraId="3661C1E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4147A255">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5C3CDE7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6416F26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tại ô đất số 4-Dẫy B-TT5, dự án Tây Nam Hồ Linh Đàm, cách phố Linh Đàm khoảng 100m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4B39CC2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tại  Dự án Tây Nam Hồ Linh Đàm, cách phố Linh Đàm khoảng 100m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78DDABE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tại  Dự án Tây Nam Hồ Linh Đàm, cách phố Linh Đàm khoảng 100m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2AE3F19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tại  Dự án Tây Nam Hồ Linh Đàm, cách phố Linh Đàm khoảng 100m</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4B5D6BF7">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657BA2C4">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2E3301F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5BD48C4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1C7C461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15E875A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144DAF5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3DED8703">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5913E574">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0BF2311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018A9F6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7726289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6C849BF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02C1673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66DF2559">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472CDC88">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4388A36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207F6B6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0A17DAF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215.564.808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4ED725B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235.692.233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57E7143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212.507.709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79" w:type="dxa"/>
            <w:vAlign w:val="center"/>
            <w:vMerge w:val="restart"/>
            <w:textDirection w:val="lrTb"/>
            <w:noWrap w:val="false"/>
          </w:tcPr>
          <w:p w14:paraId="60C9EDC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7358A7C8">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1D0637C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4BE241A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11,66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6DC5C64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10,5m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20E6B41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20,5m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5FA874A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10,5m</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2C077AB2">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072E436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1B7918E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7415D97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22746F0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013832B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412447E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5A48DD5D">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08DA177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0550EA6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6166D00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2017428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6.466.944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37BEA4A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-11.784.612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7728D0E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6.375.231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1C590AB7">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33D9C37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65DBF9B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6EE9048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068DA8A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222.031.753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4D0A51E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223.907.621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29FF51D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218.882.941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79" w:type="dxa"/>
            <w:vAlign w:val="center"/>
            <w:vMerge w:val="restart"/>
            <w:textDirection w:val="lrTb"/>
            <w:noWrap w:val="false"/>
          </w:tcPr>
          <w:p w14:paraId="7DF1287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5C905412">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w:t>
              <w:br/>
              <w:t xml:space="preserve"> (m²)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40FD5C8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0B02168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629DEEC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6973646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5BFE1D1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240,0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44561E44">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79A68FB8">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166FFD3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4614518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32EBCE1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2C223B2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585589D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12B2ADA4">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06FC760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6D7AEC4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49A4309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4FD39F3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409C0DB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4690016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6.375.231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3AEF9193">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0606E201">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79BA6B3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3D46CE7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5F861AD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222.031.753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6116C04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223.907.621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4D03E54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225.258.172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79" w:type="dxa"/>
            <w:vAlign w:val="center"/>
            <w:vMerge w:val="restart"/>
            <w:textDirection w:val="lrTb"/>
            <w:noWrap w:val="false"/>
          </w:tcPr>
          <w:p w14:paraId="1DB2AB4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67C21D25">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12B2851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7A42823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2E62971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1B9EA8C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3B42B2F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 mặt tiền</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58245A76">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4576C3D8">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137BD6C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0E145C1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14D4BD4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7DEDCA7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46A2290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50FEF758">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1FBAA39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399537C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40EB007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39EFEFB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65BEC56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462917A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-21.250.771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03BDA268">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317B7AC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19CB4A3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58A9991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454A384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222.031.753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66769E3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223.907.621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3ABD4B1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204.007.401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79" w:type="dxa"/>
            <w:vAlign w:val="center"/>
            <w:vMerge w:val="restart"/>
            <w:textDirection w:val="lrTb"/>
            <w:noWrap w:val="false"/>
          </w:tcPr>
          <w:p w14:paraId="0BE748A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6BC7690F">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6E251A6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3D988E4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3185F5B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40D46B5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4A77E41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3BFF37E2">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653BB677">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426032C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78A0936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5A64233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7890595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2F1A688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0AB4EE67">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344A2255">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4339582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5C3FDB5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7A323B0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5C3A26C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39A16BB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7BE3D6F4">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5DD8E09C">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1B00BA1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25F3FFF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1A439D0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222.031.753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26BBE94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223.907.621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2788D25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204.007.401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79" w:type="dxa"/>
            <w:vAlign w:val="center"/>
            <w:vMerge w:val="restart"/>
            <w:textDirection w:val="lrTb"/>
            <w:noWrap w:val="false"/>
          </w:tcPr>
          <w:p w14:paraId="7F041A3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57EC724C">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Yếu tố khác (Yếu tố phong thủy/Yếu tố tâm linh)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0086431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48E58C4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đâm</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7C3161B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53A8975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0827C0E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1DA32472">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78D8A19A">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5EA0AB5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7E8542F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3B1AC0A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27AC94D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2347FED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624FF95E">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5F606DD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55F92B7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1F3D0D0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77B033A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-6.466.944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67FED24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-7.070.767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6A3C5BF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-6.375.231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722BD6D0">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6462A7B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73A5E08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7ECF8F1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7184C3F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215.564.808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3ACCF07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216.836.854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70A25A3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197.632.170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579" w:type="dxa"/>
            <w:vAlign w:val="center"/>
            <w:vMerge w:val="restart"/>
            <w:textDirection w:val="lrTb"/>
            <w:noWrap w:val="false"/>
          </w:tcPr>
          <w:p w14:paraId="3DBF975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1F8746A3">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40C3882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5F13977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02A1335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668A618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7E0B8EA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6BC368BE">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36B9DB1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45042A7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0728A0A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3492126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60D2D97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5034543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2CFFE3A4">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586D11A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157B301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6DF76C0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47FB63D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4590BFE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1E72EA3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6" w:space="0"/>
              <w:bottom w:val="single" w:color="000000" w:sz="4" w:space="0"/>
              <w:right w:val="single" w:color="000000" w:sz="6" w:space="0"/>
            </w:tcBorders>
            <w:vMerge w:val="continue"/>
            <w:textDirection w:val="lrTb"/>
            <w:noWrap w:val="false"/>
          </w:tcPr>
          <w:p w14:paraId="15C1FB99">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7FB5E9AC">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29FF98C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4B9A5E3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15F2501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215.564.808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5735714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216.836.854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4D20FF4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197.632.170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79" w:type="dxa"/>
            <w:vAlign w:val="center"/>
            <w:textDirection w:val="lrTb"/>
            <w:noWrap/>
          </w:tcPr>
          <w:p w14:paraId="384111E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tcPr>
          <w:p w14:paraId="05F8A85D">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1DA8E90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tcPr>
          <w:p w14:paraId="44D992A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49E3F92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215.564.808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7DCAAD8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216.836.854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4F7BE35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197.632.170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79" w:type="dxa"/>
            <w:vAlign w:val="center"/>
            <w:textDirection w:val="lrTb"/>
            <w:noWrap/>
          </w:tcPr>
          <w:p w14:paraId="4A31E5F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0DB3366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35E72E9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tcPr>
          <w:p w14:paraId="35CE2C5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4725" w:type="dxa"/>
            <w:vAlign w:val="center"/>
            <w:textDirection w:val="lrTb"/>
            <w:noWrap w:val="false"/>
          </w:tcPr>
          <w:p w14:paraId="22744FF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210.011.278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79" w:type="dxa"/>
            <w:vAlign w:val="center"/>
            <w:textDirection w:val="lrTb"/>
            <w:noWrap/>
          </w:tcPr>
          <w:p w14:paraId="1E46983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72FCC1A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0DF7149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tcPr>
          <w:p w14:paraId="2034494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604D9A3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079228B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4FB2B7C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-5,9%</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79" w:type="dxa"/>
            <w:vAlign w:val="center"/>
            <w:textDirection w:val="lrTb"/>
            <w:noWrap/>
          </w:tcPr>
          <w:p w14:paraId="00557FF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8602" w:type="dxa"/>
            <w:vAlign w:val="center"/>
            <w:textDirection w:val="lrTb"/>
            <w:noWrap w:val="false"/>
          </w:tcPr>
          <w:p w14:paraId="0DDAA9B3">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79" w:type="dxa"/>
            <w:vAlign w:val="center"/>
            <w:textDirection w:val="lrTb"/>
            <w:noWrap/>
          </w:tcPr>
          <w:p w14:paraId="2BC25EF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1C612CD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708279E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tcPr>
          <w:p w14:paraId="06248A2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val="false"/>
          </w:tcPr>
          <w:p w14:paraId="66E9CAB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12.933.889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val="false"/>
          </w:tcPr>
          <w:p w14:paraId="2F561BD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18.855.379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val="false"/>
          </w:tcPr>
          <w:p w14:paraId="2BC2257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40.376.465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79" w:type="dxa"/>
            <w:vAlign w:val="center"/>
            <w:textDirection w:val="lrTb"/>
            <w:noWrap/>
          </w:tcPr>
          <w:p w14:paraId="20C4EF9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62303C4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3343702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24AEA75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4099422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5852E37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4619F9A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79" w:type="dxa"/>
            <w:vAlign w:val="center"/>
            <w:textDirection w:val="lrTb"/>
            <w:noWrap/>
          </w:tcPr>
          <w:p w14:paraId="56BB436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2E6AA9D3">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val="false"/>
          </w:tcPr>
          <w:p w14:paraId="3839645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val="false"/>
          </w:tcPr>
          <w:p w14:paraId="335351E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4B71D54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5BF22C0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057146E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79" w:type="dxa"/>
            <w:vAlign w:val="center"/>
            <w:textDirection w:val="lrTb"/>
            <w:noWrap/>
          </w:tcPr>
          <w:p w14:paraId="7CBF6F6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70ED0A33">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3B888A3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tcPr>
          <w:p w14:paraId="7D4FAE4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4" w:type="dxa"/>
            <w:vAlign w:val="center"/>
            <w:textDirection w:val="lrTb"/>
            <w:noWrap/>
          </w:tcPr>
          <w:p w14:paraId="38335CB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5" w:type="dxa"/>
            <w:vAlign w:val="center"/>
            <w:textDirection w:val="lrTb"/>
            <w:noWrap/>
          </w:tcPr>
          <w:p w14:paraId="5C1B75A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(18.855.379)</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576" w:type="dxa"/>
            <w:vAlign w:val="center"/>
            <w:textDirection w:val="lrTb"/>
            <w:noWrap/>
          </w:tcPr>
          <w:p w14:paraId="2B9A98A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(14.875.540)</w:t>
            </w:r>
            <w:r>
              <w:rPr>
                <w:color w:val="000000" w:themeColor="text1"/>
              </w:rPr>
            </w:r>
            <w:r>
              <w:rPr>
                <w:color w:val="000000" w:themeColor="text1"/>
              </w:rPr>
            </w:r>
          </w:p>
        </w:tc>
      </w:tr>
      <w:tr>
        <w:trPr>
          <w:trHeight w:val="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579" w:type="dxa"/>
            <w:vAlign w:val="center"/>
            <w:textDirection w:val="lrTb"/>
            <w:noWrap/>
          </w:tcPr>
          <w:p w14:paraId="744B098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F</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44" w:type="dxa"/>
            <w:vAlign w:val="center"/>
            <w:textDirection w:val="lrTb"/>
            <w:noWrap w:val="false"/>
          </w:tcPr>
          <w:p w14:paraId="4D2CC220">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cho tài sản thẩm định (làm tròn)</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625" w:type="dxa"/>
            <w:vAlign w:val="center"/>
            <w:textDirection w:val="lrTb"/>
            <w:noWrap/>
          </w:tcPr>
          <w:p w14:paraId="6413EA4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08" w:type="dxa"/>
            <w:vAlign w:val="center"/>
            <w:textDirection w:val="lrTb"/>
            <w:noWrap/>
          </w:tcPr>
          <w:p w14:paraId="170115B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4725" w:type="dxa"/>
            <w:vAlign w:val="center"/>
            <w:textDirection w:val="lrTb"/>
            <w:noWrap/>
          </w:tcPr>
          <w:p w14:paraId="5C4DCDB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210.000.000 </w:t>
            </w:r>
            <w:r>
              <w:rPr>
                <w:color w:val="000000" w:themeColor="text1"/>
              </w:rPr>
            </w:r>
            <w:r>
              <w:rPr>
                <w:color w:val="000000" w:themeColor="text1"/>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2,6</w:t>
      </w:r>
      <w:r>
        <w:t xml:space="preserve">% đến</w:t>
      </w:r>
      <w:r>
        <w:t xml:space="preserve"> 5,9%,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sz w:val="24"/>
                <w:szCs w:val="24"/>
              </w:rPr>
            </w:pPr>
            <w:r>
              <w:rPr>
                <w:b/>
                <w:bCs/>
                <w:color w:val="000000"/>
                <w:sz w:val="24"/>
                <w:szCs w:val="24"/>
              </w:rPr>
              <w:t xml:space="preserve">TT</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sz w:val="24"/>
                <w:szCs w:val="24"/>
              </w:rPr>
            </w:pPr>
            <w:r>
              <w:rPr>
                <w:b/>
                <w:bCs/>
                <w:color w:val="000000"/>
                <w:sz w:val="24"/>
                <w:szCs w:val="24"/>
              </w:rPr>
              <w:t xml:space="preserve">Tài sản</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sz w:val="24"/>
                <w:szCs w:val="24"/>
              </w:rPr>
            </w:pPr>
            <w:r>
              <w:rPr>
                <w:b/>
                <w:bCs/>
                <w:color w:val="000000"/>
                <w:sz w:val="24"/>
                <w:szCs w:val="24"/>
              </w:rPr>
              <w:t xml:space="preserve">Mức giá chỉ dẫn của các TSSS</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sz w:val="24"/>
                <w:szCs w:val="24"/>
              </w:rPr>
            </w:pPr>
            <w:r>
              <w:rPr>
                <w:b/>
                <w:bCs/>
                <w:color w:val="000000"/>
                <w:sz w:val="24"/>
                <w:szCs w:val="24"/>
              </w:rPr>
              <w:t xml:space="preserve">Trọng số của các TSSS sau điều chỉnh</w:t>
            </w:r>
            <w:r>
              <w:rPr>
                <w:b/>
                <w:bCs/>
                <w:color w:val="000000"/>
                <w:sz w:val="24"/>
                <w:szCs w:val="24"/>
              </w:rPr>
            </w:r>
            <w:r>
              <w:rPr>
                <w:b/>
                <w:bCs/>
                <w:color w:val="000000"/>
                <w:sz w:val="24"/>
                <w:szCs w:val="24"/>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sz w:val="24"/>
                <w:szCs w:val="24"/>
              </w:rPr>
            </w:pPr>
            <w:r>
              <w:rPr>
                <w:b/>
                <w:bCs/>
                <w:color w:val="000000"/>
                <w:sz w:val="24"/>
                <w:szCs w:val="24"/>
              </w:rPr>
              <w:t xml:space="preserve">Giá trị trung bình của mức giá chỉ dẫn sau điều chỉnh</w:t>
            </w:r>
            <w:r>
              <w:rPr>
                <w:b/>
                <w:bCs/>
                <w:color w:val="000000"/>
                <w:sz w:val="24"/>
                <w:szCs w:val="24"/>
              </w:rPr>
            </w:r>
            <w:r>
              <w:rPr>
                <w:b/>
                <w:bCs/>
                <w:color w:val="000000"/>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themeColor="text1"/>
                <w:sz w:val="24"/>
                <w:szCs w:val="24"/>
                <w:highlight w:val="white"/>
              </w:rPr>
            </w:pPr>
            <w:r>
              <w:rPr>
                <w:color w:val="000000" w:themeColor="text1"/>
                <w:sz w:val="24"/>
                <w:szCs w:val="24"/>
                <w:highlight w:val="white"/>
              </w:rPr>
              <w:t xml:space="preserve">1</w:t>
            </w:r>
            <w:r>
              <w:rPr>
                <w:color w:val="000000" w:themeColor="text1"/>
                <w:sz w:val="24"/>
                <w:szCs w:val="24"/>
                <w:highlight w:val="white"/>
              </w:rPr>
            </w:r>
            <w:r>
              <w:rPr>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themeColor="text1"/>
                <w:sz w:val="24"/>
                <w:szCs w:val="24"/>
                <w:highlight w:val="white"/>
              </w:rPr>
            </w:pPr>
            <w:r>
              <w:rPr>
                <w:color w:val="000000" w:themeColor="text1"/>
                <w:sz w:val="24"/>
                <w:szCs w:val="24"/>
                <w:highlight w:val="white"/>
              </w:rPr>
              <w:t xml:space="preserve">Tài sản so sánh 1</w:t>
            </w:r>
            <w:r>
              <w:rPr>
                <w:color w:val="000000" w:themeColor="text1"/>
                <w:sz w:val="24"/>
                <w:szCs w:val="24"/>
                <w:highlight w:val="white"/>
              </w:rPr>
            </w:r>
            <w:r>
              <w:rPr>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b w:val="0"/>
                <w:bCs w:val="0"/>
                <w:color w:val="000000" w:themeColor="text1"/>
                <w:sz w:val="24"/>
                <w:szCs w:val="24"/>
                <w:highlight w:val="white"/>
              </w:rPr>
            </w:pPr>
            <w:r>
              <w:rPr>
                <w:b w:val="0"/>
                <w:bCs w:val="0"/>
                <w:color w:val="000000" w:themeColor="text1"/>
                <w:sz w:val="24"/>
                <w:szCs w:val="24"/>
                <w:highlight w:val="white"/>
              </w:rPr>
            </w:r>
            <w:r>
              <w:rPr>
                <w:rFonts w:ascii="Times New Roman" w:hAnsi="Times New Roman" w:eastAsia="Times New Roman" w:cs="Times New Roman"/>
                <w:b w:val="0"/>
                <w:bCs w:val="0"/>
                <w:color w:val="000000" w:themeColor="text1"/>
                <w:sz w:val="24"/>
                <w:szCs w:val="24"/>
              </w:rPr>
              <w:t xml:space="preserve">215.564.808 </w:t>
            </w:r>
            <w:r>
              <w:rPr>
                <w:b w:val="0"/>
                <w:bCs w:val="0"/>
                <w:color w:val="000000" w:themeColor="text1"/>
                <w:sz w:val="24"/>
                <w:szCs w:val="24"/>
                <w:highlight w:val="white"/>
              </w:rPr>
            </w:r>
            <w:r>
              <w:rPr>
                <w:b w:val="0"/>
                <w:bCs w:val="0"/>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themeColor="text1"/>
                <w:sz w:val="24"/>
                <w:szCs w:val="24"/>
                <w:highlight w:val="white"/>
              </w:rPr>
            </w:pPr>
            <w:r>
              <w:rPr>
                <w:color w:val="000000" w:themeColor="text1"/>
                <w:sz w:val="24"/>
                <w:szCs w:val="24"/>
                <w:highlight w:val="white"/>
              </w:rPr>
              <w:t xml:space="preserve">33,33</w:t>
            </w:r>
            <w:r>
              <w:rPr>
                <w:color w:val="000000" w:themeColor="text1"/>
                <w:sz w:val="24"/>
                <w:szCs w:val="24"/>
                <w:highlight w:val="white"/>
              </w:rPr>
              <w:t xml:space="preserve">%</w:t>
            </w:r>
            <w:r>
              <w:rPr>
                <w:color w:val="000000" w:themeColor="text1"/>
                <w:sz w:val="24"/>
                <w:szCs w:val="24"/>
                <w:highlight w:val="white"/>
              </w:rPr>
            </w:r>
            <w:r>
              <w:rPr>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5F5A7AA">
            <w:pPr>
              <w:pBdr/>
              <w:spacing w:after="0" w:before="0" w:line="240"/>
              <w:ind/>
              <w:jc w:val="center"/>
              <w:rPr>
                <w:sz w:val="24"/>
                <w:szCs w:val="24"/>
              </w:rPr>
            </w:pPr>
            <w:r>
              <w:rPr>
                <w:rFonts w:ascii="Times New Roman" w:hAnsi="Times New Roman" w:eastAsia="Times New Roman" w:cs="Times New Roman"/>
                <w:b/>
                <w:color w:val="000000"/>
                <w:sz w:val="24"/>
                <w:szCs w:val="24"/>
              </w:rPr>
              <w:t xml:space="preserve">71.854.936 </w:t>
            </w:r>
            <w:r>
              <w:rPr>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themeColor="text1"/>
                <w:sz w:val="24"/>
                <w:szCs w:val="24"/>
                <w:highlight w:val="white"/>
              </w:rPr>
            </w:pPr>
            <w:r>
              <w:rPr>
                <w:color w:val="000000" w:themeColor="text1"/>
                <w:sz w:val="24"/>
                <w:szCs w:val="24"/>
                <w:highlight w:val="white"/>
              </w:rPr>
              <w:t xml:space="preserve">2</w:t>
            </w:r>
            <w:r>
              <w:rPr>
                <w:color w:val="000000" w:themeColor="text1"/>
                <w:sz w:val="24"/>
                <w:szCs w:val="24"/>
                <w:highlight w:val="white"/>
              </w:rPr>
            </w:r>
            <w:r>
              <w:rPr>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themeColor="text1"/>
                <w:sz w:val="24"/>
                <w:szCs w:val="24"/>
                <w:highlight w:val="white"/>
              </w:rPr>
            </w:pPr>
            <w:r>
              <w:rPr>
                <w:color w:val="000000" w:themeColor="text1"/>
                <w:sz w:val="24"/>
                <w:szCs w:val="24"/>
                <w:highlight w:val="white"/>
              </w:rPr>
              <w:t xml:space="preserve">Tài sản so sánh 2</w:t>
            </w:r>
            <w:r>
              <w:rPr>
                <w:color w:val="000000" w:themeColor="text1"/>
                <w:sz w:val="24"/>
                <w:szCs w:val="24"/>
                <w:highlight w:val="white"/>
              </w:rPr>
            </w:r>
            <w:r>
              <w:rPr>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b w:val="0"/>
                <w:bCs w:val="0"/>
                <w:color w:val="000000" w:themeColor="text1"/>
                <w:sz w:val="24"/>
                <w:szCs w:val="24"/>
                <w:highlight w:val="white"/>
              </w:rPr>
            </w:pPr>
            <w:r>
              <w:rPr>
                <w:b w:val="0"/>
                <w:bCs w:val="0"/>
                <w:color w:val="000000" w:themeColor="text1"/>
                <w:sz w:val="24"/>
                <w:szCs w:val="24"/>
                <w:highlight w:val="white"/>
              </w:rPr>
            </w:r>
            <w:r>
              <w:rPr>
                <w:rFonts w:ascii="Times New Roman" w:hAnsi="Times New Roman" w:eastAsia="Times New Roman" w:cs="Times New Roman"/>
                <w:b w:val="0"/>
                <w:bCs w:val="0"/>
                <w:color w:val="000000" w:themeColor="text1"/>
                <w:sz w:val="24"/>
                <w:szCs w:val="24"/>
              </w:rPr>
              <w:t xml:space="preserve">216.836.854</w:t>
            </w:r>
            <w:r>
              <w:rPr>
                <w:b w:val="0"/>
                <w:bCs w:val="0"/>
                <w:color w:val="000000" w:themeColor="text1"/>
                <w:sz w:val="24"/>
                <w:szCs w:val="24"/>
                <w:highlight w:val="white"/>
              </w:rPr>
            </w:r>
            <w:r>
              <w:rPr>
                <w:b w:val="0"/>
                <w:bCs w:val="0"/>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themeColor="text1"/>
                <w:sz w:val="24"/>
                <w:szCs w:val="24"/>
                <w:highlight w:val="white"/>
              </w:rPr>
            </w:pPr>
            <w:r>
              <w:rPr>
                <w:color w:val="000000" w:themeColor="text1"/>
                <w:sz w:val="24"/>
                <w:szCs w:val="24"/>
                <w:highlight w:val="white"/>
              </w:rPr>
              <w:t xml:space="preserve">33,33</w:t>
            </w:r>
            <w:r>
              <w:rPr>
                <w:color w:val="000000" w:themeColor="text1"/>
                <w:sz w:val="24"/>
                <w:szCs w:val="24"/>
                <w:highlight w:val="white"/>
              </w:rPr>
              <w:t xml:space="preserve">%</w:t>
            </w:r>
            <w:r>
              <w:rPr>
                <w:color w:val="000000" w:themeColor="text1"/>
                <w:sz w:val="24"/>
                <w:szCs w:val="24"/>
                <w:highlight w:val="white"/>
              </w:rPr>
            </w:r>
            <w:r>
              <w:rPr>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348EF116">
            <w:pPr>
              <w:pBdr/>
              <w:spacing w:after="0" w:before="0" w:line="240"/>
              <w:ind/>
              <w:jc w:val="center"/>
              <w:rPr>
                <w:sz w:val="24"/>
                <w:szCs w:val="24"/>
              </w:rPr>
            </w:pPr>
            <w:r>
              <w:rPr>
                <w:rFonts w:ascii="Times New Roman" w:hAnsi="Times New Roman" w:eastAsia="Times New Roman" w:cs="Times New Roman"/>
                <w:b/>
                <w:color w:val="000000"/>
                <w:sz w:val="24"/>
                <w:szCs w:val="24"/>
              </w:rPr>
              <w:t xml:space="preserve">72.278.951 </w:t>
            </w:r>
            <w:r>
              <w:rPr>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themeColor="text1"/>
                <w:sz w:val="24"/>
                <w:szCs w:val="24"/>
                <w:highlight w:val="white"/>
              </w:rPr>
            </w:pPr>
            <w:r>
              <w:rPr>
                <w:color w:val="000000" w:themeColor="text1"/>
                <w:sz w:val="24"/>
                <w:szCs w:val="24"/>
                <w:highlight w:val="white"/>
              </w:rPr>
              <w:t xml:space="preserve">3</w:t>
            </w:r>
            <w:r>
              <w:rPr>
                <w:color w:val="000000" w:themeColor="text1"/>
                <w:sz w:val="24"/>
                <w:szCs w:val="24"/>
                <w:highlight w:val="white"/>
              </w:rPr>
            </w:r>
            <w:r>
              <w:rPr>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themeColor="text1"/>
                <w:sz w:val="24"/>
                <w:szCs w:val="24"/>
                <w:highlight w:val="white"/>
              </w:rPr>
            </w:pPr>
            <w:r>
              <w:rPr>
                <w:color w:val="000000" w:themeColor="text1"/>
                <w:sz w:val="24"/>
                <w:szCs w:val="24"/>
                <w:highlight w:val="white"/>
              </w:rPr>
              <w:t xml:space="preserve">Tài sản so sánh 3</w:t>
            </w:r>
            <w:r>
              <w:rPr>
                <w:color w:val="000000" w:themeColor="text1"/>
                <w:sz w:val="24"/>
                <w:szCs w:val="24"/>
                <w:highlight w:val="white"/>
              </w:rPr>
            </w:r>
            <w:r>
              <w:rPr>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b w:val="0"/>
                <w:bCs w:val="0"/>
                <w:color w:val="000000" w:themeColor="text1"/>
                <w:sz w:val="24"/>
                <w:szCs w:val="24"/>
                <w:highlight w:val="white"/>
              </w:rPr>
            </w:pPr>
            <w:r>
              <w:rPr>
                <w:b w:val="0"/>
                <w:bCs w:val="0"/>
                <w:color w:val="000000" w:themeColor="text1"/>
                <w:sz w:val="24"/>
                <w:szCs w:val="24"/>
                <w:highlight w:val="white"/>
              </w:rPr>
            </w:r>
            <w:r>
              <w:rPr>
                <w:rFonts w:ascii="Times New Roman" w:hAnsi="Times New Roman" w:eastAsia="Times New Roman" w:cs="Times New Roman"/>
                <w:b w:val="0"/>
                <w:bCs w:val="0"/>
                <w:color w:val="000000" w:themeColor="text1"/>
                <w:sz w:val="24"/>
                <w:szCs w:val="24"/>
              </w:rPr>
              <w:t xml:space="preserve">197.632.170</w:t>
            </w:r>
            <w:r>
              <w:rPr>
                <w:b w:val="0"/>
                <w:bCs w:val="0"/>
                <w:color w:val="000000" w:themeColor="text1"/>
                <w:sz w:val="24"/>
                <w:szCs w:val="24"/>
                <w:highlight w:val="white"/>
              </w:rPr>
            </w:r>
            <w:r>
              <w:rPr>
                <w:b w:val="0"/>
                <w:bCs w:val="0"/>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themeColor="text1"/>
                <w:sz w:val="24"/>
                <w:szCs w:val="24"/>
                <w:highlight w:val="white"/>
              </w:rPr>
            </w:pPr>
            <w:r>
              <w:rPr>
                <w:color w:val="000000" w:themeColor="text1"/>
                <w:sz w:val="24"/>
                <w:szCs w:val="24"/>
                <w:highlight w:val="white"/>
              </w:rPr>
              <w:t xml:space="preserve">33,33</w:t>
            </w:r>
            <w:r>
              <w:rPr>
                <w:color w:val="000000" w:themeColor="text1"/>
                <w:sz w:val="24"/>
                <w:szCs w:val="24"/>
                <w:highlight w:val="white"/>
              </w:rPr>
              <w:t xml:space="preserve">%</w:t>
            </w:r>
            <w:r>
              <w:rPr>
                <w:color w:val="000000" w:themeColor="text1"/>
                <w:sz w:val="24"/>
                <w:szCs w:val="24"/>
                <w:highlight w:val="white"/>
              </w:rPr>
            </w:r>
            <w:r>
              <w:rPr>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0F19745">
            <w:pPr>
              <w:pBdr/>
              <w:spacing w:after="0" w:before="0" w:line="240"/>
              <w:ind/>
              <w:jc w:val="center"/>
              <w:rPr>
                <w:sz w:val="24"/>
                <w:szCs w:val="24"/>
              </w:rPr>
            </w:pPr>
            <w:r>
              <w:rPr>
                <w:rFonts w:ascii="Times New Roman" w:hAnsi="Times New Roman" w:eastAsia="Times New Roman" w:cs="Times New Roman"/>
                <w:b/>
                <w:color w:val="000000"/>
                <w:sz w:val="24"/>
                <w:szCs w:val="24"/>
              </w:rPr>
              <w:t xml:space="preserve">65.877.390 </w:t>
            </w:r>
            <w:r>
              <w:rPr>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themeColor="text1"/>
                <w:sz w:val="24"/>
                <w:szCs w:val="24"/>
                <w:highlight w:val="white"/>
              </w:rPr>
            </w:pPr>
            <w:r>
              <w:rPr>
                <w:b/>
                <w:bCs/>
                <w:color w:val="000000" w:themeColor="text1"/>
                <w:sz w:val="24"/>
                <w:szCs w:val="24"/>
                <w:highlight w:val="white"/>
              </w:rPr>
              <w:t xml:space="preserve">Giá trị bình quân theo trọng số:</w:t>
            </w:r>
            <w:r>
              <w:rPr>
                <w:b/>
                <w:bCs/>
                <w:color w:val="000000" w:themeColor="text1"/>
                <w:sz w:val="24"/>
                <w:szCs w:val="24"/>
                <w:highlight w:val="white"/>
              </w:rPr>
            </w:r>
            <w:r>
              <w:rPr>
                <w:b/>
                <w:bCs/>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sz w:val="24"/>
                <w:szCs w:val="24"/>
              </w:rPr>
            </w:pPr>
            <w:r>
              <w:rPr>
                <w:b/>
                <w:bCs/>
                <w:color w:val="000000" w:themeColor="text1"/>
                <w:sz w:val="24"/>
                <w:szCs w:val="24"/>
                <w:lang w:val="vi-VN"/>
              </w:rPr>
            </w:r>
            <w:r>
              <w:rPr>
                <w:rFonts w:ascii="Times New Roman" w:hAnsi="Times New Roman" w:eastAsia="Times New Roman" w:cs="Times New Roman"/>
                <w:b/>
                <w:color w:val="000000" w:themeColor="text1"/>
                <w:sz w:val="24"/>
                <w:szCs w:val="24"/>
              </w:rPr>
              <w:t xml:space="preserve">210.011.278</w:t>
            </w:r>
            <w:r>
              <w:rPr>
                <w:b/>
                <w:bCs/>
                <w:color w:val="000000"/>
                <w:sz w:val="24"/>
                <w:szCs w:val="24"/>
              </w:rPr>
            </w:r>
            <w:r>
              <w:rPr>
                <w:b/>
                <w:bCs/>
                <w:color w:val="000000"/>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sz w:val="24"/>
                <w:szCs w:val="24"/>
              </w:rPr>
            </w:pPr>
            <w:r>
              <w:rPr>
                <w:b/>
                <w:bCs/>
                <w:color w:val="000000"/>
                <w:sz w:val="24"/>
                <w:szCs w:val="24"/>
              </w:rPr>
              <w:t xml:space="preserve">Làm tròn:</w:t>
            </w:r>
            <w:r>
              <w:rPr>
                <w:b/>
                <w:bCs/>
                <w:color w:val="000000"/>
                <w:sz w:val="24"/>
                <w:szCs w:val="24"/>
              </w:rPr>
            </w:r>
            <w:r>
              <w:rPr>
                <w:b/>
                <w:bCs/>
                <w:color w:val="000000"/>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sz w:val="24"/>
                <w:szCs w:val="24"/>
              </w:rPr>
            </w:pPr>
            <w:r>
              <w:rPr>
                <w:b/>
                <w:bCs/>
                <w:color w:val="000000" w:themeColor="text1"/>
                <w:sz w:val="24"/>
                <w:szCs w:val="24"/>
                <w:lang w:val="vi-VN"/>
              </w:rPr>
              <w:t xml:space="preserve">210.000.000</w:t>
            </w:r>
            <w:r>
              <w:rPr>
                <w:b/>
                <w:bCs/>
                <w:color w:val="000000"/>
                <w:sz w:val="24"/>
                <w:szCs w:val="24"/>
              </w:rPr>
            </w:r>
            <w:r>
              <w:rPr>
                <w:b/>
                <w:bCs/>
                <w:color w:val="000000"/>
                <w:sz w:val="24"/>
                <w:szCs w:val="24"/>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210.000.000</w:t>
      </w:r>
      <w:r>
        <w:rPr>
          <w:b/>
          <w:bCs/>
          <w:color w:val="000000" w:themeColor="text1"/>
        </w:rPr>
        <w:t xml:space="preserve"> </w:t>
      </w:r>
      <w:r>
        <w:rPr>
          <w:b/>
          <w:bCs/>
        </w:rPr>
        <w:t xml:space="preserve">đồng/m².</w:t>
      </w:r>
      <w:r>
        <w:rPr>
          <w:b/>
          <w:bCs/>
        </w:rPr>
      </w:r>
      <w:r>
        <w:rPr>
          <w:b/>
          <w:bCs/>
        </w:rPr>
      </w:r>
    </w:p>
    <w:p w14:paraId="7CA7D420" w14:textId="77777777">
      <w:pPr>
        <w:pStyle w:val="1031"/>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364B930D">
      <w:pPr>
        <w:pBdr/>
        <w:shd w:val="nil" w:color="000000"/>
        <w:spacing/>
        <w:ind/>
        <w:rPr>
          <w14:ligatures w14:val="none"/>
        </w:rPr>
      </w:pPr>
      <w:r>
        <w:rPr>
          <w:rFonts w:ascii="Times New Roman" w:hAnsi="Times New Roman" w:eastAsia="Times New Roman" w:cs="Times New Roman"/>
          <w:color w:val="000000"/>
          <w:sz w:val="24"/>
        </w:rPr>
        <w:t xml:space="preserve">Qua tham khảo thị trường về đơn giá xây dựng mới đối với công trình Nhà biệt thự, cân nhắc và xem xét với mức độ hoàn thiện của công trình xây dựng hiện có, Tổ thẩm định nhận thấy đơn giá vận dụng theo </w:t>
      </w:r>
      <w:r>
        <w:rPr>
          <w:highlight w:val="white"/>
        </w:rPr>
        <w:t xml:space="preserve">Đơn giá xây dựng theo Quyết định số 409/QĐ-BXD ngày 11/4/2025 của Bộ Xây Dựng</w:t>
      </w:r>
      <w:r>
        <w:rPr>
          <w:rFonts w:ascii="Times New Roman" w:hAnsi="Times New Roman" w:eastAsia="Times New Roman" w:cs="Times New Roman"/>
          <w:color w:val="000000"/>
          <w:sz w:val="24"/>
        </w:rPr>
        <w:t xml:space="preserve"> về việc công bố suất vốn đầu tư xây dựng và giá xây dựng tổng hợp bộ phận kết cấu công trình năm 2024 là khá phù hợp với thị trường, theo đó</w:t>
      </w:r>
      <w:r>
        <w:rPr>
          <w:rFonts w:ascii="Times New Roman" w:hAnsi="Times New Roman" w:eastAsia="Times New Roman" w:cs="Times New Roman"/>
          <w:color w:val="000000"/>
          <w:spacing w:val="-4"/>
          <w:sz w:val="24"/>
        </w:rPr>
        <w:t xml:space="preserve">:</w:t>
      </w:r>
      <w:r>
        <w:rPr>
          <w14:ligatures w14:val="none"/>
        </w:rPr>
      </w:r>
      <w:r>
        <w:rPr>
          <w14:ligatures w14:val="none"/>
        </w:rPr>
      </w:r>
    </w:p>
    <w:p w14:paraId="39063283">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“Suất vốn đầu tư Nhà kiểu biệt thự từ 2 đến 3 tầng, kết cấu khung chịu lực BTCT; tường bao xây gạch; sàn, mái BTCT đổ tại chỗ không có tầng hầm có đơn giá là </w:t>
      </w:r>
      <w:r>
        <w:rPr>
          <w:rFonts w:ascii="Times New Roman" w:hAnsi="Times New Roman" w:eastAsia="Times New Roman" w:cs="Times New Roman"/>
          <w:b/>
          <w:bCs/>
          <w:i/>
          <w:color w:val="000000"/>
          <w:spacing w:val="3"/>
          <w:sz w:val="24"/>
          <w:highlight w:val="none"/>
        </w:rPr>
        <w:t xml:space="preserve">10.334.</w:t>
      </w:r>
      <w:r>
        <w:rPr>
          <w:rFonts w:ascii="Times New Roman" w:hAnsi="Times New Roman" w:eastAsia="Times New Roman" w:cs="Times New Roman"/>
          <w:b/>
          <w:bCs/>
          <w:i/>
          <w:color w:val="000000"/>
          <w:sz w:val="24"/>
        </w:rPr>
        <w:t xml:space="preserve">000 </w:t>
      </w:r>
      <w:r>
        <w:rPr>
          <w:rFonts w:ascii="Times New Roman" w:hAnsi="Times New Roman" w:eastAsia="Times New Roman" w:cs="Times New Roman"/>
          <w:i/>
          <w:color w:val="000000"/>
          <w:spacing w:val="3"/>
          <w:sz w:val="24"/>
          <w:highlight w:val="white"/>
        </w:rPr>
        <w:t xml:space="preserve">đồng/m² sàn.</w:t>
      </w:r>
      <w:r/>
    </w:p>
    <w:p w14:paraId="494E7206">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vốn đầu tư: Thành phố Hà Nội thuộc vùng 7 có hệ số điều chỉnh là 0,952.”</w:t>
      </w:r>
      <w:r/>
    </w:p>
    <w:p w14:paraId="5A2BF854">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b/>
          <w:i/>
          <w:color w:val="000000"/>
          <w:sz w:val="24"/>
        </w:rPr>
        <w:t xml:space="preserve">10.334.000 </w:t>
      </w:r>
      <w:r>
        <w:rPr>
          <w:rFonts w:ascii="Times New Roman" w:hAnsi="Times New Roman" w:eastAsia="Times New Roman" w:cs="Times New Roman"/>
          <w:i/>
          <w:color w:val="000000"/>
          <w:spacing w:val="3"/>
          <w:sz w:val="24"/>
          <w:highlight w:val="white"/>
        </w:rPr>
        <w:t xml:space="preserve">x 0,952 =</w:t>
      </w:r>
      <w:r>
        <w:rPr>
          <w:rFonts w:ascii="Times New Roman" w:hAnsi="Times New Roman" w:eastAsia="Times New Roman" w:cs="Times New Roman"/>
          <w:b/>
          <w:i/>
          <w:color w:val="000000"/>
          <w:spacing w:val="3"/>
          <w:sz w:val="24"/>
          <w:highlight w:val="white"/>
        </w:rPr>
        <w:t xml:space="preserve"> 9.837.968 đồng/m² sàn.</w:t>
      </w:r>
      <w:r/>
    </w:p>
    <w:p w14:paraId="4E153CBA">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14:paraId="5192E070">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14:paraId="209647AD">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14:paraId="392C7690">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Theo thông tin khách hàng cung cấp, công trình được hoàn công năm 2016, đến năm 2024 có cải tạo, sửa chữa lớn, do vậy, Tổ thẩm định giả định tuổi đời hiệu quả của công trình được rút ngắn, còn khoảng 5 năm.</w:t>
      </w:r>
      <w:r/>
    </w:p>
    <w:p w14:paraId="763E1BDF">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ước tính là 50 năm.</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728"/>
        <w:gridCol w:w="2817"/>
        <w:gridCol w:w="1270"/>
        <w:gridCol w:w="1150"/>
        <w:gridCol w:w="1278"/>
        <w:gridCol w:w="1260"/>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03D6F9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817" w:type="dxa"/>
            <w:vAlign w:val="center"/>
            <w:textDirection w:val="lrTb"/>
            <w:noWrap w:val="false"/>
          </w:tcPr>
          <w:p w14:paraId="24A343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0" w:type="dxa"/>
            <w:vAlign w:val="center"/>
            <w:textDirection w:val="lrTb"/>
            <w:noWrap w:val="false"/>
          </w:tcPr>
          <w:p w14:paraId="20411B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50" w:type="dxa"/>
            <w:vAlign w:val="center"/>
            <w:textDirection w:val="lrTb"/>
            <w:noWrap w:val="false"/>
          </w:tcPr>
          <w:p w14:paraId="6EF9C5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47E24D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0" w:type="dxa"/>
            <w:vAlign w:val="center"/>
            <w:textDirection w:val="lrTb"/>
            <w:noWrap w:val="false"/>
          </w:tcPr>
          <w:p w14:paraId="656B2E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Tỉ lệ hao mòn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206B7A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Nhà biệt thự</w:t>
            </w:r>
            <w:r/>
          </w:p>
        </w:tc>
        <w:tc>
          <w:tcPr>
            <w:tcBorders>
              <w:bottom w:val="single" w:color="000000" w:sz="8" w:space="0"/>
              <w:right w:val="single" w:color="000000" w:sz="8" w:space="0"/>
            </w:tcBorders>
            <w:tcMar>
              <w:left w:w="108" w:type="dxa"/>
              <w:top w:w="0" w:type="dxa"/>
              <w:right w:w="108" w:type="dxa"/>
              <w:bottom w:w="0" w:type="dxa"/>
            </w:tcMar>
            <w:tcW w:w="2817" w:type="dxa"/>
            <w:vAlign w:val="center"/>
            <w:textDirection w:val="lrTb"/>
            <w:noWrap/>
          </w:tcPr>
          <w:p w14:paraId="27E73D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Hoàn công năm 2016, sửa chữa lớn năm 2024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0" w:type="dxa"/>
            <w:vAlign w:val="center"/>
            <w:textDirection w:val="lrTb"/>
            <w:noWrap w:val="false"/>
          </w:tcPr>
          <w:p w14:paraId="45D7CC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50" w:type="dxa"/>
            <w:vAlign w:val="center"/>
            <w:textDirection w:val="lrTb"/>
            <w:noWrap w:val="false"/>
          </w:tcPr>
          <w:p w14:paraId="68F7D3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5199A8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0" w:type="dxa"/>
            <w:vAlign w:val="center"/>
            <w:textDirection w:val="lrTb"/>
            <w:noWrap w:val="false"/>
          </w:tcPr>
          <w:p w14:paraId="5E5B42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w:t>
            </w:r>
            <w:r/>
          </w:p>
        </w:tc>
      </w:tr>
    </w:tbl>
    <w:p w14:paraId="51102219">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color w:val="000000"/>
          <w:sz w:val="24"/>
        </w:rPr>
        <w:t xml:space="preserve">10%</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90%.</w:t>
      </w:r>
      <w:r/>
    </w:p>
    <w:p w14:paraId="68D2CACF">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14:paraId="12071538">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35"/>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3"/>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14:paraId="2FE16E2B">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14:paraId="1DBCD507">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3" w:type="dxa"/>
            <w:vAlign w:val="center"/>
            <w:textDirection w:val="lrTb"/>
            <w:noWrap w:val="false"/>
          </w:tcPr>
          <w:p w14:paraId="2FD9694A">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Chi phí thay thế </w:t>
            </w:r>
            <w:r/>
          </w:p>
          <w:p w14:paraId="1DC7294A">
            <w:pPr>
              <w:pBdr>
                <w:top w:val="none" w:color="000000" w:sz="4" w:space="0"/>
                <w:left w:val="none" w:color="000000" w:sz="4" w:space="0"/>
                <w:bottom w:val="none" w:color="000000" w:sz="4" w:space="0"/>
                <w:right w:val="none" w:color="000000" w:sz="4" w:space="0"/>
              </w:pBdr>
              <w:shd w:val="clear" w:color="ffffff" w:fill="ffffff"/>
              <w:spacing w:after="120" w:before="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14:paraId="7CE2BFF4">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14:paraId="724B8046">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Tổng giá trị hao mòn </w:t>
            </w:r>
            <w:r/>
          </w:p>
        </w:tc>
      </w:tr>
    </w:tbl>
    <w:p w14:paraId="0DB085A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274"/>
        <w:gridCol w:w="1458"/>
        <w:gridCol w:w="1560"/>
        <w:gridCol w:w="1701"/>
        <w:gridCol w:w="1559"/>
        <w:gridCol w:w="1841"/>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14:paraId="686726B2">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14:paraId="3AB4C439">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Diện tích sàn (m²</w:t>
            </w:r>
            <w:r>
              <w:rPr>
                <w:rFonts w:ascii="Times New Roman" w:hAnsi="Times New Roman" w:eastAsia="Times New Roman" w:cs="Times New Roman"/>
                <w:b/>
                <w:color w:val="000000"/>
                <w:sz w:val="28"/>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14:paraId="6CC8F866">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4E751875">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4ACAF4F">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Giá trị hao mòn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1" w:type="dxa"/>
            <w:vAlign w:val="center"/>
            <w:textDirection w:val="lrTb"/>
            <w:noWrap w:val="false"/>
          </w:tcPr>
          <w:p w14:paraId="2224C93F">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14:paraId="2866B146">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val="false"/>
          </w:tcPr>
          <w:p w14:paraId="0E724A26">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14:paraId="37A70B70">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14:paraId="3393576D">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(4) = (2)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2D4D65B">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1" w:type="dxa"/>
            <w:vAlign w:val="center"/>
            <w:textDirection w:val="lrTb"/>
            <w:noWrap w:val="false"/>
          </w:tcPr>
          <w:p w14:paraId="4DEF2ECF">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2"/>
              </w:rPr>
              <w:t xml:space="preserve">(6) = (4) - (5)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274" w:type="dxa"/>
            <w:vAlign w:val="center"/>
            <w:textDirection w:val="lrTb"/>
            <w:noWrap w:val="false"/>
          </w:tcPr>
          <w:p w14:paraId="725F0014">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Nhà biệt thự </w:t>
            </w:r>
            <w:r/>
          </w:p>
        </w:tc>
        <w:tc>
          <w:tcPr>
            <w:tcBorders>
              <w:bottom w:val="single" w:color="000000" w:sz="8" w:space="0"/>
              <w:right w:val="single" w:color="000000" w:sz="8" w:space="0"/>
            </w:tcBorders>
            <w:tcMar>
              <w:left w:w="108" w:type="dxa"/>
              <w:top w:w="0" w:type="dxa"/>
              <w:right w:w="108" w:type="dxa"/>
              <w:bottom w:w="0" w:type="dxa"/>
            </w:tcMar>
            <w:tcW w:w="1458" w:type="dxa"/>
            <w:vAlign w:val="center"/>
            <w:textDirection w:val="lrTb"/>
            <w:noWrap/>
          </w:tcPr>
          <w:p w14:paraId="31404CB2">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269,2</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tcPr>
          <w:p w14:paraId="620AA2BF">
            <w:pPr>
              <w:pBdr>
                <w:top w:val="none" w:color="000000" w:sz="4" w:space="0"/>
                <w:left w:val="none" w:color="000000" w:sz="4" w:space="0"/>
                <w:bottom w:val="none" w:color="000000" w:sz="4" w:space="0"/>
                <w:right w:val="none" w:color="000000" w:sz="4" w:space="0"/>
              </w:pBdr>
              <w:spacing w:after="40" w:before="40"/>
              <w:ind w:right="0" w:firstLine="0" w:left="0"/>
              <w:jc w:val="center"/>
              <w:rPr>
                <w:b w:val="0"/>
                <w:bCs w:val="0"/>
                <w:i w:val="0"/>
              </w:rPr>
            </w:pPr>
            <w:r>
              <w:rPr>
                <w:rFonts w:ascii="Times New Roman" w:hAnsi="Times New Roman" w:eastAsia="Times New Roman" w:cs="Times New Roman"/>
                <w:b w:val="0"/>
                <w:bCs w:val="0"/>
                <w:i w:val="0"/>
                <w:iCs w:val="0"/>
                <w:color w:val="000000"/>
                <w:sz w:val="24"/>
              </w:rPr>
            </w:r>
            <w:r>
              <w:rPr>
                <w:rFonts w:ascii="Times New Roman" w:hAnsi="Times New Roman" w:eastAsia="Times New Roman" w:cs="Times New Roman"/>
                <w:b w:val="0"/>
                <w:bCs w:val="0"/>
                <w:i w:val="0"/>
                <w:iCs w:val="0"/>
                <w:color w:val="000000"/>
                <w:spacing w:val="3"/>
                <w:sz w:val="24"/>
                <w:highlight w:val="white"/>
              </w:rPr>
              <w:t xml:space="preserve">9.837.968</w:t>
            </w:r>
            <w:r>
              <w:rPr>
                <w:b w:val="0"/>
                <w:bCs w:val="0"/>
                <w:i w:val="0"/>
              </w:rPr>
            </w:r>
            <w:r>
              <w:rPr>
                <w:b w:val="0"/>
                <w:bCs w:val="0"/>
                <w:i w:val="0"/>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77FBA8E2">
            <w:pPr>
              <w:pBdr/>
              <w:spacing w:after="0" w:before="0" w:line="240" w:lineRule="auto"/>
              <w:ind/>
              <w:jc w:val="center"/>
              <w:rPr/>
            </w:pPr>
            <w:r>
              <w:rPr>
                <w:rFonts w:ascii="Times New Roman" w:hAnsi="Times New Roman" w:eastAsia="Times New Roman" w:cs="Times New Roman"/>
                <w:color w:val="000000"/>
                <w:sz w:val="24"/>
              </w:rPr>
              <w:t xml:space="preserve">2.648.380.986</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tcPr>
          <w:p w14:paraId="28168D8D">
            <w:pPr>
              <w:pBdr/>
              <w:spacing w:after="0" w:before="0" w:line="240" w:lineRule="auto"/>
              <w:ind/>
              <w:jc w:val="center"/>
              <w:rPr/>
            </w:pPr>
            <w:r>
              <w:rPr>
                <w:rFonts w:ascii="Times New Roman" w:hAnsi="Times New Roman" w:eastAsia="Times New Roman" w:cs="Times New Roman"/>
                <w:color w:val="000000"/>
                <w:sz w:val="24"/>
              </w:rPr>
              <w:t xml:space="preserve">264.838.099</w:t>
            </w:r>
            <w:r/>
          </w:p>
        </w:tc>
        <w:tc>
          <w:tcPr>
            <w:tcBorders>
              <w:bottom w:val="single" w:color="000000" w:sz="8" w:space="0"/>
              <w:right w:val="single" w:color="000000" w:sz="8" w:space="0"/>
            </w:tcBorders>
            <w:tcMar>
              <w:left w:w="108" w:type="dxa"/>
              <w:top w:w="0" w:type="dxa"/>
              <w:right w:w="108" w:type="dxa"/>
              <w:bottom w:w="0" w:type="dxa"/>
            </w:tcMar>
            <w:tcW w:w="1841" w:type="dxa"/>
            <w:vAlign w:val="center"/>
            <w:textDirection w:val="lrTb"/>
            <w:noWrap w:val="false"/>
          </w:tcPr>
          <w:p w14:paraId="26D1072F">
            <w:pPr>
              <w:pBdr/>
              <w:spacing w:after="0" w:before="0" w:line="240" w:lineRule="auto"/>
              <w:ind/>
              <w:jc w:val="center"/>
              <w:rPr/>
            </w:pPr>
            <w:r>
              <w:rPr>
                <w:rFonts w:ascii="Times New Roman" w:hAnsi="Times New Roman" w:eastAsia="Times New Roman" w:cs="Times New Roman"/>
                <w:color w:val="000000"/>
                <w:sz w:val="24"/>
              </w:rPr>
              <w:t xml:space="preserve">2.383.542.887</w:t>
            </w:r>
            <w:r/>
          </w:p>
        </w:tc>
      </w:tr>
    </w:tbl>
    <w:p w14:paraId="549B54B9" w14:textId="77777777">
      <w:pPr>
        <w:pStyle w:val="1031"/>
        <w:pBdr/>
        <w:spacing w:after="120" w:before="120" w:line="276" w:lineRule="auto"/>
        <w:ind w:left="357"/>
        <w:jc w:val="both"/>
        <w:rPr>
          <w:b/>
          <w:lang w:val="pt-BR"/>
        </w:rPr>
      </w:pPr>
      <w:r>
        <w:rPr>
          <w:b/>
          <w:lang w:val="pt-BR"/>
        </w:rPr>
      </w:r>
      <w:r>
        <w:rPr>
          <w:b/>
          <w:lang w:val="pt-BR"/>
        </w:rPr>
      </w:r>
      <w:r>
        <w:rPr>
          <w:b/>
          <w:lang w:val="pt-BR"/>
        </w:rPr>
      </w:r>
    </w:p>
    <w:p w14:paraId="4B506B03" w14:textId="49B8E0F8">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1"/>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p w14:paraId="4F3EF296">
      <w:pPr>
        <w:pStyle w:val="1031"/>
        <w:pBdr/>
        <w:tabs>
          <w:tab w:val="left" w:leader="none" w:pos="993"/>
        </w:tabs>
        <w:spacing w:after="120" w:before="120" w:line="276" w:lineRule="auto"/>
        <w:ind w:left="0"/>
        <w:jc w:val="both"/>
        <w:rPr/>
      </w:pPr>
      <w:r/>
      <w:r/>
    </w:p>
    <w:p w14:paraId="66C765A5">
      <w:pPr>
        <w:pStyle w:val="1031"/>
        <w:pBdr/>
        <w:tabs>
          <w:tab w:val="left" w:leader="none" w:pos="993"/>
        </w:tabs>
        <w:spacing w:after="120" w:before="120" w:line="276" w:lineRule="auto"/>
        <w:ind w:left="0"/>
        <w:jc w:val="both"/>
        <w:rPr/>
      </w:pPr>
      <w:r/>
      <w:r/>
    </w:p>
    <w:p w14:paraId="24D39B1A">
      <w:pPr>
        <w:pStyle w:val="1031"/>
        <w:pBdr/>
        <w:tabs>
          <w:tab w:val="left" w:leader="none" w:pos="993"/>
        </w:tabs>
        <w:spacing w:after="120" w:before="120" w:line="276" w:lineRule="auto"/>
        <w:ind w:left="0"/>
        <w:jc w:val="both"/>
        <w:rPr/>
      </w:pPr>
      <w:r/>
      <w:r/>
    </w:p>
    <w:p w14:paraId="2F24AFDA">
      <w:pPr>
        <w:pStyle w:val="1031"/>
        <w:pBdr/>
        <w:tabs>
          <w:tab w:val="left" w:leader="none" w:pos="993"/>
        </w:tabs>
        <w:spacing w:after="120" w:before="120" w:line="276" w:lineRule="auto"/>
        <w:ind w:left="0"/>
        <w:jc w:val="both"/>
        <w:rPr/>
      </w:pPr>
      <w:r/>
      <w:r/>
    </w:p>
    <w:p w14:paraId="34E26909">
      <w:pPr>
        <w:pStyle w:val="1031"/>
        <w:pBdr/>
        <w:tabs>
          <w:tab w:val="left" w:leader="none" w:pos="993"/>
        </w:tabs>
        <w:spacing w:after="120" w:before="120" w:line="276" w:lineRule="auto"/>
        <w:ind w:left="0"/>
        <w:jc w:val="both"/>
        <w:rPr/>
      </w:pPr>
      <w:r>
        <w:rPr>
          <w:highlight w:val="none"/>
        </w:rPr>
      </w:r>
      <w:r>
        <w:rPr>
          <w:highlight w:val="none"/>
        </w:rPr>
      </w:r>
      <w:r/>
    </w:p>
    <w:tbl>
      <w:tblPr>
        <w:tblW w:w="5178"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99"/>
        <w:gridCol w:w="982"/>
        <w:gridCol w:w="1005"/>
        <w:gridCol w:w="1472"/>
        <w:gridCol w:w="2089"/>
        <w:gridCol w:w="1758"/>
        <w:gridCol w:w="1758"/>
      </w:tblGrid>
      <w:tr>
        <w:trPr>
          <w:trHeight w:val="20"/>
        </w:trPr>
        <w:tc>
          <w:tcPr>
            <w:shd w:val="clear" w:color="000000" w:fill="ffffff"/>
            <w:tcBorders/>
            <w:tcW w:w="799" w:type="dxa"/>
            <w:vAlign w:val="center"/>
            <w:textDirection w:val="lrTb"/>
            <w:noWrap w:val="false"/>
          </w:tcPr>
          <w:p w14:paraId="693A6222">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1987" w:type="dxa"/>
            <w:vAlign w:val="center"/>
            <w:textDirection w:val="lrTb"/>
            <w:noWrap w:val="false"/>
          </w:tcPr>
          <w:p w14:paraId="5AF8BEEF">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72" w:type="dxa"/>
            <w:vAlign w:val="center"/>
            <w:textDirection w:val="lrTb"/>
            <w:noWrap w:val="false"/>
          </w:tcPr>
          <w:p w14:paraId="484E3C18">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89" w:type="dxa"/>
            <w:vAlign w:val="center"/>
            <w:textDirection w:val="lrTb"/>
            <w:noWrap w:val="false"/>
          </w:tcPr>
          <w:p w14:paraId="3456928C">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758" w:type="dxa"/>
            <w:vAlign w:val="center"/>
            <w:textDirection w:val="lrTb"/>
            <w:noWrap w:val="false"/>
          </w:tcPr>
          <w:p w14:paraId="27231C6F">
            <w:pPr>
              <w:pBdr/>
              <w:spacing/>
              <w:ind/>
              <w:jc w:val="center"/>
              <w:rPr>
                <w:b/>
                <w:bCs/>
              </w:rPr>
            </w:pPr>
            <w:r>
              <w:rPr>
                <w:b/>
                <w:bCs/>
              </w:rPr>
              <w:t xml:space="preserve">CLCL</w:t>
            </w:r>
            <w:r>
              <w:rPr>
                <w:b/>
                <w:bCs/>
              </w:rPr>
            </w:r>
            <w:r>
              <w:rPr>
                <w:b/>
                <w:bCs/>
              </w:rPr>
            </w:r>
          </w:p>
        </w:tc>
        <w:tc>
          <w:tcPr>
            <w:shd w:val="clear" w:color="000000" w:fill="ffffff"/>
            <w:tcBorders/>
            <w:tcW w:w="1758" w:type="dxa"/>
            <w:vAlign w:val="center"/>
            <w:textDirection w:val="lrTb"/>
            <w:noWrap w:val="false"/>
          </w:tcPr>
          <w:p w14:paraId="790900C0">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99" w:type="dxa"/>
            <w:vAlign w:val="center"/>
            <w:textDirection w:val="lrTb"/>
            <w:noWrap w:val="false"/>
          </w:tcPr>
          <w:p w14:paraId="5A4E74BC">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7306" w:type="dxa"/>
            <w:vAlign w:val="center"/>
            <w:textDirection w:val="lrTb"/>
            <w:noWrap w:val="false"/>
          </w:tcPr>
          <w:p w14:paraId="210C60FF">
            <w:pPr>
              <w:pBdr/>
              <w:spacing w:after="40" w:before="40" w:line="288" w:lineRule="auto"/>
              <w:ind/>
              <w:jc w:val="both"/>
              <w:rPr>
                <w:b/>
                <w:bCs/>
              </w:rPr>
            </w:pPr>
            <w:r>
              <w:rPr>
                <w:b/>
                <w:bCs/>
                <w:color w:val="000000"/>
              </w:rPr>
              <w:t xml:space="preserve">Quyền sử dụng đất và tài sản gắn liền với đất tại thửa đất có địa chỉ: Ô đất số 4-Dẫy B-TT5, dự án Tây Nam Hồ Linh Đàm, phường Hoàng Liệt, quận Hoàng Mai, thành phố Hà Nội (nay là phường Hoàng Liệt, thành phố Hà Nội) theo Giấy chứng nhận quyền sử dụng đ</w:t>
            </w:r>
            <w:r>
              <w:rPr>
                <w:b/>
                <w:bCs/>
                <w:color w:val="000000"/>
              </w:rPr>
              <w:t xml:space="preserve">ất quyền sở hữu nhà ở và tài sản khác gắn liền với đất số: CB 845281, số vào sổ cấp GCN: CS 00783 do Sở Tài nguyên và Môi trường Thành phố Hà Nội cấp ngày 14/01/2016; Chủ sử dụng đất và sở hữu tài sản gắn liền với đất là Ông Lê Phúc Vũ và Bà Hoàng Thị Huệ.</w:t>
            </w:r>
            <w:r>
              <w:rPr>
                <w:b/>
                <w:bCs/>
              </w:rPr>
              <w:t xml:space="preserve">.</w:t>
            </w:r>
            <w:r>
              <w:rPr>
                <w:b/>
                <w:bCs/>
              </w:rPr>
            </w:r>
            <w:r>
              <w:rPr>
                <w:b/>
                <w:bCs/>
              </w:rPr>
            </w:r>
          </w:p>
          <w:p w14:paraId="32B72E2E">
            <w:pPr>
              <w:pBdr/>
              <w:spacing/>
              <w:ind/>
              <w:rPr>
                <w:b/>
                <w:bCs/>
              </w:rPr>
            </w:pPr>
            <w:r>
              <w:rPr>
                <w:b/>
                <w:bCs/>
              </w:rPr>
            </w:r>
            <w:r>
              <w:rPr>
                <w:b/>
                <w:bCs/>
              </w:rPr>
            </w:r>
            <w:r>
              <w:rPr>
                <w:b/>
                <w:bCs/>
              </w:rPr>
            </w:r>
          </w:p>
        </w:tc>
        <w:tc>
          <w:tcPr>
            <w:shd w:val="clear" w:color="000000" w:fill="ffffff"/>
            <w:tcBorders/>
            <w:tcW w:w="1758" w:type="dxa"/>
            <w:vAlign w:val="center"/>
            <w:textDirection w:val="lrTb"/>
            <w:noWrap w:val="false"/>
          </w:tcPr>
          <w:p w14:paraId="3A0E15F6">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99" w:type="dxa"/>
            <w:vAlign w:val="center"/>
            <w:textDirection w:val="lrTb"/>
            <w:noWrap w:val="false"/>
          </w:tcPr>
          <w:p w14:paraId="21A4C7AB">
            <w:pPr>
              <w:pBdr/>
              <w:spacing w:after="40" w:before="40" w:line="288" w:lineRule="auto"/>
              <w:ind/>
              <w:jc w:val="center"/>
              <w:rPr/>
            </w:pPr>
            <w:r>
              <w:rPr>
                <w:b/>
                <w:bCs/>
              </w:rPr>
              <w:t xml:space="preserve">1</w:t>
            </w:r>
            <w:r/>
          </w:p>
        </w:tc>
        <w:tc>
          <w:tcPr>
            <w:gridSpan w:val="2"/>
            <w:shd w:val="clear" w:color="000000" w:fill="ffffff"/>
            <w:tcBorders/>
            <w:tcW w:w="1987" w:type="dxa"/>
            <w:vAlign w:val="center"/>
            <w:textDirection w:val="lrTb"/>
            <w:noWrap w:val="false"/>
          </w:tcPr>
          <w:p w14:paraId="7C0CEA86">
            <w:pPr>
              <w:pBdr/>
              <w:spacing w:after="40" w:before="40" w:line="288" w:lineRule="auto"/>
              <w:ind/>
              <w:rPr/>
            </w:pPr>
            <w:r>
              <w:rPr>
                <w:b/>
                <w:bCs/>
              </w:rPr>
              <w:t xml:space="preserve">Đất ở tại đô thị</w:t>
            </w:r>
            <w:r/>
          </w:p>
        </w:tc>
        <w:tc>
          <w:tcPr>
            <w:tcBorders/>
            <w:tcW w:w="1472" w:type="dxa"/>
            <w:vAlign w:val="center"/>
            <w:textDirection w:val="lrTb"/>
            <w:noWrap/>
          </w:tcPr>
          <w:p w14:paraId="32B8AC7D">
            <w:pPr>
              <w:pBdr/>
              <w:spacing w:after="40" w:before="40" w:line="288" w:lineRule="auto"/>
              <w:ind/>
              <w:jc w:val="center"/>
              <w:rPr>
                <w:color w:val="000000"/>
              </w:rPr>
            </w:pPr>
            <w:r>
              <w:rPr>
                <w:color w:val="000000" w:themeColor="text1"/>
              </w:rPr>
              <w:t xml:space="preserve">210,0</w:t>
            </w:r>
            <w:r>
              <w:rPr>
                <w:color w:val="000000"/>
              </w:rPr>
            </w:r>
            <w:r>
              <w:rPr>
                <w:color w:val="000000"/>
              </w:rPr>
            </w:r>
          </w:p>
        </w:tc>
        <w:tc>
          <w:tcPr>
            <w:shd w:val="clear" w:color="000000" w:fill="ffffff"/>
            <w:tcBorders/>
            <w:tcW w:w="2089" w:type="dxa"/>
            <w:vAlign w:val="center"/>
            <w:textDirection w:val="lrTb"/>
            <w:noWrap w:val="false"/>
          </w:tcPr>
          <w:p w14:paraId="01D5441D">
            <w:pPr>
              <w:pBdr/>
              <w:spacing w:after="40" w:before="40" w:line="288" w:lineRule="auto"/>
              <w:ind/>
              <w:jc w:val="center"/>
              <w:rPr/>
            </w:pPr>
            <w:r>
              <w:rPr>
                <w:color w:val="000000" w:themeColor="text1"/>
              </w:rPr>
              <w:t xml:space="preserve">210.000.000</w:t>
            </w:r>
            <w:r/>
          </w:p>
        </w:tc>
        <w:tc>
          <w:tcPr>
            <w:shd w:val="clear" w:color="000000" w:fill="ffffff"/>
            <w:tcBorders/>
            <w:tcW w:w="1758" w:type="dxa"/>
            <w:vAlign w:val="center"/>
            <w:textDirection w:val="lrTb"/>
            <w:noWrap w:val="false"/>
          </w:tcPr>
          <w:p w14:paraId="688A462F">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1758" w:type="dxa"/>
            <w:vAlign w:val="center"/>
            <w:textDirection w:val="lrTb"/>
            <w:noWrap w:val="false"/>
          </w:tcPr>
          <w:p w14:paraId="0F6D3690">
            <w:pPr>
              <w:pBdr/>
              <w:spacing w:after="40" w:before="40" w:line="288" w:lineRule="auto"/>
              <w:ind/>
              <w:jc w:val="center"/>
              <w:rPr/>
            </w:pPr>
            <w:r>
              <w:rPr>
                <w:color w:val="000000" w:themeColor="text1"/>
              </w:rPr>
              <w:t xml:space="preserve">44.100.000.000</w:t>
            </w:r>
            <w:r/>
          </w:p>
        </w:tc>
      </w:tr>
      <w:tr>
        <w:trPr>
          <w:trHeight w:val="20"/>
        </w:trPr>
        <w:tc>
          <w:tcPr>
            <w:shd w:val="clear" w:color="000000" w:fill="ffffff"/>
            <w:tcBorders/>
            <w:tcW w:w="799" w:type="dxa"/>
            <w:vAlign w:val="center"/>
            <w:vMerge w:val="restart"/>
            <w:textDirection w:val="lrTb"/>
            <w:noWrap w:val="false"/>
          </w:tcPr>
          <w:p w14:paraId="4E935177">
            <w:pPr>
              <w:pBdr/>
              <w:spacing w:after="40" w:before="40" w:line="288" w:lineRule="auto"/>
              <w:ind/>
              <w:jc w:val="center"/>
              <w:rPr>
                <w:b/>
                <w:bCs/>
              </w:rPr>
            </w:pPr>
            <w:r>
              <w:rPr>
                <w:b/>
                <w:bCs/>
              </w:rPr>
              <w:t xml:space="preserve">2</w:t>
            </w:r>
            <w:r>
              <w:rPr>
                <w:b/>
                <w:bCs/>
              </w:rPr>
            </w:r>
            <w:r>
              <w:rPr>
                <w:b/>
                <w:bCs/>
              </w:rPr>
            </w:r>
          </w:p>
        </w:tc>
        <w:tc>
          <w:tcPr>
            <w:gridSpan w:val="2"/>
            <w:shd w:val="clear" w:color="000000" w:fill="ffffff"/>
            <w:tcBorders/>
            <w:tcW w:w="1987" w:type="dxa"/>
            <w:vAlign w:val="center"/>
            <w:vMerge w:val="restart"/>
            <w:textDirection w:val="lrTb"/>
            <w:noWrap w:val="false"/>
          </w:tcPr>
          <w:p w14:paraId="17706E1B">
            <w:pPr>
              <w:pBdr/>
              <w:spacing w:after="40" w:before="40" w:line="288" w:lineRule="auto"/>
              <w:ind/>
              <w:rPr>
                <w:b/>
                <w:bCs/>
              </w:rPr>
            </w:pPr>
            <w:r>
              <w:rPr>
                <w:b/>
                <w:bCs/>
              </w:rPr>
              <w:t xml:space="preserve">Tài sản gắn liền với đất (Nhà biệt thự)</w:t>
            </w:r>
            <w:r>
              <w:rPr>
                <w:b/>
                <w:bCs/>
              </w:rPr>
            </w:r>
            <w:r>
              <w:rPr>
                <w:b/>
                <w:bCs/>
              </w:rPr>
            </w:r>
          </w:p>
        </w:tc>
        <w:tc>
          <w:tcPr>
            <w:tcBorders/>
            <w:tcW w:w="1472" w:type="dxa"/>
            <w:vAlign w:val="center"/>
            <w:vMerge w:val="restart"/>
            <w:textDirection w:val="lrTb"/>
            <w:noWrap/>
          </w:tcPr>
          <w:p w14:paraId="1A0FDB06">
            <w:pPr>
              <w:pBdr/>
              <w:spacing w:after="40" w:before="40" w:line="288" w:lineRule="auto"/>
              <w:ind/>
              <w:jc w:val="center"/>
              <w:rPr>
                <w:color w:val="000000" w:themeColor="text1"/>
              </w:rPr>
            </w:pPr>
            <w:r>
              <w:rPr>
                <w:color w:val="000000" w:themeColor="text1"/>
              </w:rPr>
              <w:t xml:space="preserve">269,2</w:t>
            </w:r>
            <w:r>
              <w:rPr>
                <w:color w:val="000000" w:themeColor="text1"/>
              </w:rPr>
            </w:r>
            <w:r>
              <w:rPr>
                <w:color w:val="000000" w:themeColor="text1"/>
              </w:rPr>
            </w:r>
          </w:p>
        </w:tc>
        <w:tc>
          <w:tcPr>
            <w:shd w:val="clear" w:color="000000" w:fill="ffffff"/>
            <w:tcBorders/>
            <w:tcW w:w="2089" w:type="dxa"/>
            <w:vAlign w:val="center"/>
            <w:vMerge w:val="restart"/>
            <w:textDirection w:val="lrTb"/>
            <w:noWrap w:val="false"/>
          </w:tcPr>
          <w:p w14:paraId="58DDC9BA">
            <w:pPr>
              <w:pBdr/>
              <w:spacing w:after="0" w:before="0" w:line="240" w:lineRule="auto"/>
              <w:ind/>
              <w:jc w:val="center"/>
              <w:rPr/>
            </w:pPr>
            <w:r>
              <w:rPr>
                <w:rFonts w:ascii="Times New Roman" w:hAnsi="Times New Roman" w:eastAsia="Times New Roman" w:cs="Times New Roman"/>
                <w:color w:val="000000"/>
                <w:sz w:val="24"/>
              </w:rPr>
              <w:t xml:space="preserve">      9.837.968 </w:t>
            </w:r>
            <w:r/>
          </w:p>
        </w:tc>
        <w:tc>
          <w:tcPr>
            <w:shd w:val="clear" w:color="000000" w:fill="ffffff"/>
            <w:tcBorders/>
            <w:tcW w:w="1758" w:type="dxa"/>
            <w:vAlign w:val="center"/>
            <w:textDirection w:val="lrTb"/>
            <w:noWrap w:val="false"/>
          </w:tcPr>
          <w:p w14:paraId="5AC4B4A0">
            <w:pPr>
              <w:pBdr/>
              <w:spacing/>
              <w:ind/>
              <w:jc w:val="center"/>
              <w:rPr>
                <w:color w:val="000000" w:themeColor="text1"/>
              </w:rPr>
            </w:pPr>
            <w:r>
              <w:rPr>
                <w:color w:val="000000" w:themeColor="text1"/>
              </w:rPr>
              <w:t xml:space="preserve">90%</w:t>
            </w:r>
            <w:r>
              <w:rPr>
                <w:color w:val="000000" w:themeColor="text1"/>
              </w:rPr>
            </w:r>
            <w:r>
              <w:rPr>
                <w:color w:val="000000" w:themeColor="text1"/>
              </w:rPr>
            </w:r>
          </w:p>
        </w:tc>
        <w:tc>
          <w:tcPr>
            <w:shd w:val="clear" w:color="000000" w:fill="ffffff"/>
            <w:tcBorders/>
            <w:tcW w:w="1758" w:type="dxa"/>
            <w:vAlign w:val="center"/>
            <w:vMerge w:val="restart"/>
            <w:textDirection w:val="lrTb"/>
            <w:noWrap w:val="false"/>
          </w:tcPr>
          <w:p w14:paraId="6B9EB5E3">
            <w:pPr>
              <w:pBdr/>
              <w:spacing w:after="0" w:before="0" w:line="240" w:lineRule="auto"/>
              <w:ind/>
              <w:jc w:val="center"/>
              <w:rPr/>
            </w:pPr>
            <w:r>
              <w:rPr>
                <w:rFonts w:ascii="Times New Roman" w:hAnsi="Times New Roman" w:eastAsia="Times New Roman" w:cs="Times New Roman"/>
                <w:color w:val="000000"/>
                <w:sz w:val="24"/>
              </w:rPr>
              <w:t xml:space="preserve">2.383.542.887</w:t>
            </w:r>
            <w:r/>
          </w:p>
        </w:tc>
      </w:tr>
      <w:tr>
        <w:trPr>
          <w:trHeight w:val="20"/>
        </w:trPr>
        <w:tc>
          <w:tcPr>
            <w:gridSpan w:val="6"/>
            <w:shd w:val="clear" w:color="000000" w:fill="ffffff"/>
            <w:tcBorders/>
            <w:tcW w:w="8105" w:type="dxa"/>
            <w:vAlign w:val="center"/>
            <w:vMerge w:val="restart"/>
            <w:textDirection w:val="lrTb"/>
            <w:noWrap w:val="false"/>
          </w:tcPr>
          <w:p w14:paraId="77DD262E">
            <w:pPr>
              <w:pBdr/>
              <w:spacing/>
              <w:ind/>
              <w:jc w:val="center"/>
              <w:rPr>
                <w:color w:val="000000" w:themeColor="text1"/>
              </w:rPr>
            </w:pPr>
            <w:r>
              <w:rPr>
                <w:color w:val="000000" w:themeColor="text1"/>
              </w:rPr>
            </w:r>
            <w:r>
              <w:rPr>
                <w:b/>
                <w:bCs/>
                <w:color w:val="000000"/>
              </w:rPr>
              <w:t xml:space="preserve">TỔNG CỘNG</w:t>
            </w:r>
            <w:r>
              <w:rPr>
                <w:color w:val="000000" w:themeColor="text1"/>
              </w:rPr>
            </w:r>
            <w:r>
              <w:rPr>
                <w:color w:val="000000" w:themeColor="text1"/>
              </w:rPr>
            </w:r>
          </w:p>
        </w:tc>
        <w:tc>
          <w:tcPr>
            <w:shd w:val="clear" w:color="000000" w:fill="ffffff"/>
            <w:tcBorders/>
            <w:tcW w:w="1758" w:type="dxa"/>
            <w:vAlign w:val="center"/>
            <w:vMerge w:val="restart"/>
            <w:textDirection w:val="lrTb"/>
            <w:noWrap w:val="false"/>
          </w:tcPr>
          <w:p w14:paraId="6D36CEE6">
            <w:pPr>
              <w:pBdr/>
              <w:spacing w:after="0" w:before="0" w:line="240" w:lineRule="auto"/>
              <w:ind/>
              <w:jc w:val="right"/>
              <w:rPr/>
            </w:pPr>
            <w:r>
              <w:rPr>
                <w:rFonts w:ascii="Times New Roman" w:hAnsi="Times New Roman" w:eastAsia="Times New Roman" w:cs="Times New Roman"/>
                <w:b/>
                <w:color w:val="000000"/>
                <w:sz w:val="24"/>
              </w:rPr>
              <w:t xml:space="preserve">46.483.542.887</w:t>
            </w:r>
            <w:r/>
          </w:p>
        </w:tc>
      </w:tr>
      <w:tr>
        <w:trPr>
          <w:trHeight w:val="20"/>
        </w:trPr>
        <w:tc>
          <w:tcPr>
            <w:gridSpan w:val="6"/>
            <w:shd w:val="clear" w:color="000000" w:fill="ffffff"/>
            <w:tcBorders/>
            <w:tcW w:w="8105" w:type="dxa"/>
            <w:vAlign w:val="center"/>
            <w:vMerge w:val="restart"/>
            <w:textDirection w:val="lrTb"/>
            <w:noWrap w:val="false"/>
          </w:tcPr>
          <w:p w14:paraId="661538F0">
            <w:pPr>
              <w:pBdr/>
              <w:spacing/>
              <w:ind/>
              <w:jc w:val="center"/>
              <w:rPr>
                <w:color w:val="000000" w:themeColor="text1"/>
              </w:rPr>
            </w:pPr>
            <w:r>
              <w:rPr>
                <w:color w:val="000000" w:themeColor="text1"/>
              </w:rPr>
            </w:r>
            <w:r>
              <w:rPr>
                <w:b/>
                <w:bCs/>
                <w:color w:val="000000"/>
              </w:rPr>
              <w:t xml:space="preserve">LÀM TRÒN</w:t>
            </w:r>
            <w:r>
              <w:rPr>
                <w:color w:val="000000" w:themeColor="text1"/>
              </w:rPr>
            </w:r>
            <w:r>
              <w:rPr>
                <w:color w:val="000000" w:themeColor="text1"/>
              </w:rPr>
            </w:r>
          </w:p>
        </w:tc>
        <w:tc>
          <w:tcPr>
            <w:shd w:val="clear" w:color="000000" w:fill="ffffff"/>
            <w:tcBorders/>
            <w:tcW w:w="1758" w:type="dxa"/>
            <w:vAlign w:val="center"/>
            <w:vMerge w:val="restart"/>
            <w:textDirection w:val="lrTb"/>
            <w:noWrap w:val="false"/>
          </w:tcPr>
          <w:p w14:paraId="28E1577F">
            <w:pPr>
              <w:pBdr/>
              <w:spacing w:after="0" w:before="0" w:line="240" w:lineRule="auto"/>
              <w:ind/>
              <w:rPr/>
            </w:pPr>
            <w:r>
              <w:rPr>
                <w:rFonts w:ascii="Times New Roman" w:hAnsi="Times New Roman" w:eastAsia="Times New Roman" w:cs="Times New Roman"/>
                <w:b/>
                <w:color w:val="000000"/>
                <w:sz w:val="24"/>
              </w:rPr>
              <w:t xml:space="preserve">46.484.000.000 </w:t>
            </w:r>
            <w:r/>
          </w:p>
        </w:tc>
      </w:tr>
      <w:tr>
        <w:trPr>
          <w:trHeight w:val="20"/>
        </w:trPr>
        <w:tc>
          <w:tcPr>
            <w:gridSpan w:val="7"/>
            <w:tcBorders/>
            <w:tcW w:w="9864" w:type="dxa"/>
            <w:vAlign w:val="center"/>
            <w:textDirection w:val="lrTb"/>
            <w:noWrap w:val="false"/>
          </w:tcPr>
          <w:p w14:paraId="01A39F64">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mươi sáu tỷ bốn trăm tám mươi tư triệu đồng</w:t>
            </w:r>
            <w:r>
              <w:rPr>
                <w:b/>
                <w:bCs/>
                <w:i/>
                <w:iCs/>
                <w:color w:val="000000"/>
              </w:rPr>
              <w:t xml:space="preserve">./.)</w:t>
            </w:r>
            <w:r>
              <w:rPr>
                <w:b/>
                <w:bCs/>
                <w:i/>
                <w:iCs/>
                <w:color w:val="000000"/>
              </w:rPr>
            </w:r>
            <w:r>
              <w:rPr>
                <w:b/>
                <w:bCs/>
                <w:i/>
                <w:iCs/>
                <w:color w:val="000000"/>
              </w:rPr>
            </w:r>
          </w:p>
        </w:tc>
      </w:tr>
    </w:tbl>
    <w:p w14:paraId="187E2E91" w14:textId="56B58432">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275/2025/1800/VFI-CT.48.A</w:t>
      </w:r>
      <w:r>
        <w:rPr>
          <w:color w:val="ff0000"/>
          <w:lang w:val="vi-VN"/>
        </w:rPr>
        <w:t xml:space="preserve"> </w:t>
      </w:r>
      <w:r>
        <w:rPr>
          <w:color w:val="000000" w:themeColor="text1"/>
        </w:rPr>
        <w:t xml:space="preserve">ngày 13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275/2025/1800/VFI-BC.48.A</w:t>
      </w:r>
      <w:r>
        <w:rPr>
          <w:i/>
          <w:lang w:val="pt-BR"/>
        </w:rPr>
        <w:t xml:space="preserve"> </w:t>
      </w:r>
      <w:r>
        <w:rPr>
          <w:i/>
          <w:lang w:val="pt-BR"/>
        </w:rPr>
        <w:t xml:space="preserve">13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94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9.22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22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9.22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94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1434353"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2141695315" name="" descr=""/>
                              <pic:cNvPicPr/>
                              <pic:nvPr/>
                            </pic:nvPicPr>
                            <pic:blipFill rotWithShape="1">
                              <a:blip r:embed="rId22"/>
                              <a:stretch/>
                            </pic:blipFill>
                            <pic:spPr bwMode="auto">
                              <a:xfrm>
                                <a:off x="0" y="0"/>
                                <a:ext cx="1434352"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12.94pt;height:150.0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275/2025/1800/VFI-BC.48.A</w:t>
      </w:r>
      <w:r>
        <w:rPr>
          <w:i/>
          <w:lang w:val="pt-BR"/>
        </w:rPr>
        <w:t xml:space="preserve"> </w:t>
      </w:r>
      <w:r>
        <w:rPr>
          <w:i/>
          <w:lang w:val="pt-BR"/>
        </w:rPr>
        <w:t xml:space="preserve">13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https://batdongsan.com.vn/ban-nha-biet-thu-lien-ke-duong-bang-a-phuong-hoang-liet-prj-tay-nam-ho-linh-dam/chinh-chu-ban-gap-tho-tt5-6-mai-pr43922083</w:t>
            </w:r>
            <w:r>
              <w:rPr>
                <w:color w:val="000000" w:themeColor="text1"/>
                <w:sz w:val="22"/>
                <w:szCs w:val="22"/>
              </w:rPr>
              <w:br/>
              <w:t xml:space="preserve">0338866362</w:t>
            </w:r>
            <w:r>
              <w:rPr>
                <w:sz w:val="22"/>
                <w:szCs w:val="22"/>
              </w:rPr>
              <w:t xml:space="preserve"> </w:t>
            </w:r>
            <w:r>
              <w:rPr>
                <w:sz w:val="22"/>
                <w:szCs w:val="22"/>
              </w:rPr>
              <w:br/>
              <w:t xml:space="preserve">(Đức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48.000.000.000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45.600.000.000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(200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 Dự án Tây Nam Hồ Linh Đàm, Phường Hoàng Liệt, Quận Hoàng Mai,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6C4A7FDF"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084535" cy="1826042"/>
                      <wp:effectExtent l="0" t="0" r="0" b="0"/>
                      <wp:docPr id="12" name=""/>
                      <wp:cNvGraphicFramePr/>
                      <a:graphic xmlns:a="http://schemas.openxmlformats.org/drawingml/2006/main">
                        <a:graphicData uri="http://schemas.openxmlformats.org/drawingml/2006/picture">
                          <pic:pic xmlns:pic="http://schemas.openxmlformats.org/drawingml/2006/picture">
                            <pic:nvPicPr>
                              <pic:cNvPr id="177760491" name="" descr=""/>
                              <pic:cNvPicPr/>
                              <pic:nvPr/>
                            </pic:nvPicPr>
                            <pic:blipFill rotWithShape="1">
                              <a:blip r:embed="rId23"/>
                              <a:stretch/>
                            </pic:blipFill>
                            <pic:spPr bwMode="auto">
                              <a:xfrm flipH="0" flipV="0">
                                <a:off x="0" y="0"/>
                                <a:ext cx="3084534" cy="18260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2.88pt;height:143.78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1040" behindDoc="0" locked="0" layoutInCell="1" allowOverlap="1">
                      <wp:simplePos x="0" y="0"/>
                      <wp:positionH relativeFrom="column">
                        <wp:posOffset>3144852</wp:posOffset>
                      </wp:positionH>
                      <wp:positionV relativeFrom="paragraph">
                        <wp:posOffset>0</wp:posOffset>
                      </wp:positionV>
                      <wp:extent cx="2654308" cy="1778418"/>
                      <wp:effectExtent l="0" t="0" r="0" b="0"/>
                      <wp:wrapThrough wrapText="bothSides">
                        <wp:wrapPolygon edited="1">
                          <wp:start x="0" y="0"/>
                          <wp:lineTo x="21600" y="0"/>
                          <wp:lineTo x="21600" y="21600"/>
                          <wp:lineTo x="0" y="21600"/>
                        </wp:wrapPolygon>
                      </wp:wrapThrough>
                      <wp:docPr id="13" name=""/>
                      <wp:cNvGraphicFramePr/>
                      <a:graphic xmlns:a="http://schemas.openxmlformats.org/drawingml/2006/main">
                        <a:graphicData uri="http://schemas.openxmlformats.org/drawingml/2006/picture">
                          <pic:pic xmlns:pic="http://schemas.openxmlformats.org/drawingml/2006/picture">
                            <pic:nvPicPr>
                              <pic:cNvPr id="76244983" name="" descr=""/>
                              <pic:cNvPicPr/>
                              <pic:nvPr/>
                            </pic:nvPicPr>
                            <pic:blipFill rotWithShape="1">
                              <a:blip r:embed="rId24"/>
                              <a:stretch/>
                            </pic:blipFill>
                            <pic:spPr bwMode="auto">
                              <a:xfrm flipH="0" flipV="0">
                                <a:off x="0" y="0"/>
                                <a:ext cx="2654308" cy="1778417"/>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71040;o:allowoverlap:true;o:allowincell:true;mso-position-horizontal-relative:text;margin-left:247.63pt;mso-position-horizontal:absolute;mso-position-vertical-relative:text;margin-top:0.00pt;mso-position-vertical:absolute;width:209.00pt;height:140.03pt;mso-wrap-distance-left:9.07pt;mso-wrap-distance-top:0.00pt;mso-wrap-distance-right:9.07pt;mso-wrap-distance-bottom:0.00pt;z-index:1;" wrapcoords="0 0 100000 0 100000 100000 0 100000" stroked="false">
                      <w10:wrap type="through"/>
                      <v:imagedata r:id="rId24" o:title=""/>
                      <o:lock v:ext="edit" rotation="t"/>
                    </v:shape>
                  </w:pict>
                </mc:Fallback>
              </mc:AlternateContent>
            </w:r>
            <w:r>
              <w:rPr>
                <w:color w:val="000000"/>
                <w:sz w:val="22"/>
                <w:szCs w:val="22"/>
              </w:rPr>
            </w:r>
            <w:r>
              <w:rPr>
                <w:color w:val="000000"/>
                <w:sz w:val="22"/>
                <w:szCs w:val="22"/>
              </w:rPr>
            </w:r>
          </w:p>
        </w:tc>
      </w:tr>
    </w:tbl>
    <w:p w14:paraId="52FCCDEC" w14:textId="108B65E5">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bl>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https://batdongsan.com.vn/ban-nha-biet-thu-lien-ke-duong-bui-quoc-khai-phuong-hoang-liet-prj-tay-nam-ho-linh-dam/-xanh-210m2-so-huu-truc-ong-mai-sam-uat-co-hoi-vang-cho-dau-tu-pr42251755</w:t>
            </w:r>
            <w:r>
              <w:rPr>
                <w:color w:val="000000" w:themeColor="text1"/>
                <w:sz w:val="22"/>
                <w:szCs w:val="22"/>
              </w:rPr>
              <w:br/>
              <w:t xml:space="preserve">0338866362</w:t>
            </w:r>
            <w:r>
              <w:rPr>
                <w:sz w:val="22"/>
                <w:szCs w:val="22"/>
              </w:rPr>
              <w:t xml:space="preserve"> </w:t>
            </w:r>
            <w:r>
              <w:rPr>
                <w:sz w:val="22"/>
                <w:szCs w:val="22"/>
              </w:rPr>
              <w:br/>
              <w:t xml:space="preserve">(Đức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55.000.000.000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52.250.000.000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(210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Dự án Tây Nam Hồ Linh Đàm, Phường Hoàng Liệt, Quận Hoàng Mai,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7633C3A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51160" cy="1601303"/>
                      <wp:effectExtent l="0" t="0" r="0" b="0"/>
                      <wp:docPr id="14" name=""/>
                      <wp:cNvGraphicFramePr/>
                      <a:graphic xmlns:a="http://schemas.openxmlformats.org/drawingml/2006/main">
                        <a:graphicData uri="http://schemas.openxmlformats.org/drawingml/2006/picture">
                          <pic:pic xmlns:pic="http://schemas.openxmlformats.org/drawingml/2006/picture">
                            <pic:nvPicPr>
                              <pic:cNvPr id="1700343020" name="" descr=""/>
                              <pic:cNvPicPr/>
                              <pic:nvPr/>
                            </pic:nvPicPr>
                            <pic:blipFill rotWithShape="1">
                              <a:blip r:embed="rId25"/>
                              <a:stretch/>
                            </pic:blipFill>
                            <pic:spPr bwMode="auto">
                              <a:xfrm flipH="0" flipV="0">
                                <a:off x="0" y="0"/>
                                <a:ext cx="2751159" cy="16013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6.63pt;height:126.09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81313" cy="1707610"/>
                      <wp:effectExtent l="0" t="0" r="0" b="0"/>
                      <wp:docPr id="15" name=""/>
                      <wp:cNvGraphicFramePr/>
                      <a:graphic xmlns:a="http://schemas.openxmlformats.org/drawingml/2006/main">
                        <a:graphicData uri="http://schemas.openxmlformats.org/drawingml/2006/picture">
                          <pic:pic xmlns:pic="http://schemas.openxmlformats.org/drawingml/2006/picture">
                            <pic:nvPicPr>
                              <pic:cNvPr id="725868829" name="" descr=""/>
                              <pic:cNvPicPr/>
                              <pic:nvPr/>
                            </pic:nvPicPr>
                            <pic:blipFill rotWithShape="1">
                              <a:blip r:embed="rId26"/>
                              <a:stretch/>
                            </pic:blipFill>
                            <pic:spPr bwMode="auto">
                              <a:xfrm flipH="0" flipV="0">
                                <a:off x="0" y="0"/>
                                <a:ext cx="2681313" cy="17076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1.13pt;height:134.46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2FFCC431" w14:textId="77777777">
            <w:pPr>
              <w:pBdr/>
              <w:spacing/>
              <w:ind/>
              <w:jc w:val="center"/>
              <w:rPr/>
            </w:pPr>
            <w:r>
              <w:t xml:space="preserve">Phạm Thị Dung</w:t>
            </w:r>
            <w:r/>
          </w:p>
        </w:tc>
      </w:tr>
    </w:tbl>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https://www.facebook.com/groups/6836953346354728/posts/24552947597662030/</w:t>
            </w:r>
            <w:r>
              <w:rPr>
                <w:color w:val="000000" w:themeColor="text1"/>
                <w:sz w:val="22"/>
                <w:szCs w:val="22"/>
              </w:rPr>
              <w:br/>
            </w:r>
            <w:r>
              <w:rPr>
                <w:sz w:val="22"/>
                <w:szCs w:val="22"/>
              </w:rPr>
              <w:t xml:space="preserve">SĐT: </w:t>
            </w:r>
            <w:r>
              <w:rPr>
                <w:color w:val="000000" w:themeColor="text1"/>
                <w:sz w:val="22"/>
                <w:szCs w:val="22"/>
              </w:rPr>
              <w:t xml:space="preserve">0976290220</w:t>
            </w:r>
            <w:r>
              <w:rPr>
                <w:sz w:val="22"/>
                <w:szCs w:val="22"/>
              </w:rPr>
              <w:t xml:space="preserve"> </w:t>
            </w:r>
            <w:r>
              <w:rPr>
                <w:sz w:val="22"/>
                <w:szCs w:val="22"/>
              </w:rPr>
              <w:br/>
              <w:t xml:space="preserve">(Loan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57.000.000.000</w:t>
            </w:r>
            <w:r>
              <w:rPr>
                <w:sz w:val="22"/>
                <w:szCs w:val="22"/>
              </w:rPr>
            </w:r>
            <w:r>
              <w:rPr>
                <w:sz w:val="22"/>
                <w:szCs w:val="22"/>
              </w:rPr>
            </w:r>
          </w:p>
        </w:tc>
      </w:tr>
      <w:tr>
        <w:trPr>
          <w:trHeight w:val="38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54.150.000.000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(240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Dự án Tây Nam Hồ Linh Đàm, Phường Hoàng Liệt, Quận Hoàng Mai,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240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4F234DF6" w14:textId="77777777">
            <w:pPr>
              <w:pBdr/>
              <w:spacing w:line="276" w:lineRule="auto"/>
              <w:ind/>
              <w:rPr>
                <w:b/>
                <w:bCs/>
                <w:color w:val="000000"/>
                <w:sz w:val="22"/>
                <w:szCs w:val="22"/>
              </w:rPr>
            </w:pP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73311" cy="2335599"/>
                      <wp:effectExtent l="0" t="0" r="0" b="0"/>
                      <wp:docPr id="16" name=""/>
                      <wp:cNvGraphicFramePr/>
                      <a:graphic xmlns:a="http://schemas.openxmlformats.org/drawingml/2006/main">
                        <a:graphicData uri="http://schemas.openxmlformats.org/drawingml/2006/picture">
                          <pic:pic xmlns:pic="http://schemas.openxmlformats.org/drawingml/2006/picture">
                            <pic:nvPicPr>
                              <pic:cNvPr id="1663082012" name="" descr=""/>
                              <pic:cNvPicPr/>
                              <pic:nvPr/>
                            </pic:nvPicPr>
                            <pic:blipFill rotWithShape="1">
                              <a:blip r:embed="rId27"/>
                              <a:stretch/>
                            </pic:blipFill>
                            <pic:spPr bwMode="auto">
                              <a:xfrm flipH="0" flipV="0">
                                <a:off x="0" y="0"/>
                                <a:ext cx="2173311" cy="23355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1.13pt;height:183.9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51160" cy="1564735"/>
                      <wp:effectExtent l="0" t="0" r="0" b="0"/>
                      <wp:docPr id="17" name=""/>
                      <wp:cNvGraphicFramePr/>
                      <a:graphic xmlns:a="http://schemas.openxmlformats.org/drawingml/2006/main">
                        <a:graphicData uri="http://schemas.openxmlformats.org/drawingml/2006/picture">
                          <pic:pic xmlns:pic="http://schemas.openxmlformats.org/drawingml/2006/picture">
                            <pic:nvPicPr>
                              <pic:cNvPr id="398535646" name="" descr=""/>
                              <pic:cNvPicPr/>
                              <pic:nvPr/>
                            </pic:nvPicPr>
                            <pic:blipFill rotWithShape="1">
                              <a:blip r:embed="rId28"/>
                              <a:stretch/>
                            </pic:blipFill>
                            <pic:spPr bwMode="auto">
                              <a:xfrm flipH="0" flipV="0">
                                <a:off x="0" y="0"/>
                                <a:ext cx="2751159" cy="15647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6.63pt;height:123.21pt;mso-wrap-distance-left:0.00pt;mso-wrap-distance-top:0.00pt;mso-wrap-distance-right:0.00pt;mso-wrap-distance-bottom:0.00pt;z-index:1;" stroked="false">
                      <v:imagedata r:id="rId28" o:title=""/>
                      <o:lock v:ext="edit" rotation="t"/>
                    </v:shape>
                  </w:pict>
                </mc:Fallback>
              </mc:AlternateContent>
            </w:r>
            <w:r>
              <w:rPr>
                <w:b/>
                <w:bCs/>
                <w:color w:val="000000"/>
                <w:sz w:val="22"/>
                <w:szCs w:val="22"/>
              </w:rPr>
            </w:r>
            <w:r>
              <w:rPr>
                <w:b/>
                <w:bCs/>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t xml:space="preserve">Phạm Thị Dung</w:t>
            </w:r>
            <w:r>
              <w:rPr>
                <w:b/>
                <w:bCs/>
              </w:rPr>
            </w:r>
            <w:r>
              <w:rPr>
                <w:b/>
                <w:bCs/>
              </w:rPr>
            </w:r>
          </w:p>
        </w:tc>
      </w:tr>
    </w:tbl>
    <w:p w14:paraId="1EAD3878" w14:textId="77777777">
      <w:pPr>
        <w:pBdr/>
        <w:spacing w:after="200" w:line="276" w:lineRule="auto"/>
        <w:ind/>
        <w:jc w:val="center"/>
        <w:rPr>
          <w:b/>
          <w:bCs/>
          <w:iCs/>
          <w:highlight w:val="none"/>
          <w:lang w:val="pt-BR"/>
        </w:rPr>
      </w:pPr>
      <w:r>
        <w:rPr>
          <w:b/>
          <w:bCs/>
          <w:iCs/>
          <w:lang w:val="pt-BR"/>
        </w:rPr>
        <w:t xml:space="preserve">GIẤY CHỨNG NHẬN</w:t>
      </w:r>
      <w:r>
        <w:rPr>
          <w:b/>
          <w:bCs/>
          <w:iCs/>
          <w:highlight w:val="none"/>
          <w:lang w:val="pt-BR"/>
        </w:rPr>
      </w:r>
      <w:r>
        <w:rPr>
          <w:b/>
          <w:bCs/>
          <w:iCs/>
          <w:highlight w:val="none"/>
          <w:lang w:val="pt-BR"/>
        </w:rPr>
      </w:r>
    </w:p>
    <w:p w14:paraId="3A1CCDD0">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191179" cy="790052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46309" name=""/>
                        <pic:cNvPicPr>
                          <a:picLocks noChangeAspect="1"/>
                        </pic:cNvPicPr>
                        <pic:nvPr/>
                      </pic:nvPicPr>
                      <pic:blipFill rotWithShape="1">
                        <a:blip r:embed="rId29"/>
                        <a:stretch/>
                      </pic:blipFill>
                      <pic:spPr bwMode="auto">
                        <a:xfrm flipH="0" flipV="0">
                          <a:off x="0" y="0"/>
                          <a:ext cx="6191178" cy="79005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87.49pt;height:622.09pt;mso-wrap-distance-left:0.00pt;mso-wrap-distance-top:0.00pt;mso-wrap-distance-right:0.00pt;mso-wrap-distance-bottom:0.00pt;z-index:1;" stroked="false">
                <v:imagedata r:id="rId29" o:title=""/>
                <o:lock v:ext="edit" rotation="t"/>
              </v:shape>
            </w:pict>
          </mc:Fallback>
        </mc:AlternateContent>
      </w:r>
      <w:r>
        <w:rPr>
          <w:highlight w:val="none"/>
        </w:rPr>
      </w:r>
      <w:r>
        <w:rPr>
          <w:highlight w:val="none"/>
        </w:rPr>
      </w:r>
    </w:p>
    <w:p w14:paraId="7B23A64F">
      <w:pPr>
        <w:pBdr/>
        <w:spacing w:after="200" w:line="276" w:lineRule="auto"/>
        <w:ind/>
        <w:jc w:val="center"/>
        <w:rPr>
          <w:b/>
          <w:bCs/>
        </w:rPr>
      </w:pPr>
      <w:r>
        <w:rPr>
          <w:b/>
          <w:bCs/>
        </w:rPr>
      </w:r>
      <w:r>
        <w:rPr>
          <w:b/>
          <w:bCs/>
        </w:rPr>
      </w:r>
      <w:r>
        <w:rPr>
          <w:b/>
          <w:bCs/>
        </w:rPr>
      </w:r>
    </w:p>
    <w:p w14:paraId="767C7A5D">
      <w:pPr>
        <w:pBdr/>
        <w:spacing w:after="200" w:line="276" w:lineRule="auto"/>
        <w:ind/>
        <w:jc w:val="center"/>
        <w:rPr>
          <w:b/>
          <w:bCs/>
        </w:rPr>
      </w:pPr>
      <w:r>
        <w:rPr>
          <w:b/>
          <w:bCs/>
        </w:rPr>
      </w:r>
      <w:r>
        <w:rPr>
          <w:b/>
          <w:bCs/>
        </w:rPr>
      </w:r>
      <w:r>
        <w:rPr>
          <w:b/>
          <w:bCs/>
        </w:rPr>
      </w:r>
    </w:p>
    <w:p w14:paraId="6501E7D0">
      <w:pPr>
        <w:pBdr/>
        <w:spacing w:after="200" w:line="276" w:lineRule="auto"/>
        <w:ind/>
        <w:jc w:val="center"/>
        <w:rPr>
          <w:b/>
          <w:bCs/>
        </w:rPr>
      </w:pPr>
      <w:r>
        <w:rPr>
          <w:b/>
          <w:bCs/>
        </w:rPr>
      </w:r>
      <w:r>
        <w:rPr>
          <w:b/>
          <w:bCs/>
        </w:rPr>
      </w:r>
      <w:r>
        <w:rPr>
          <w:b/>
          <w:bCs/>
        </w:rPr>
      </w:r>
    </w:p>
    <w:p w14:paraId="23BA2037">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5972515" cy="801734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165954" name=""/>
                        <pic:cNvPicPr>
                          <a:picLocks noChangeAspect="1"/>
                        </pic:cNvPicPr>
                        <pic:nvPr/>
                      </pic:nvPicPr>
                      <pic:blipFill rotWithShape="1">
                        <a:blip r:embed="rId30"/>
                        <a:stretch/>
                      </pic:blipFill>
                      <pic:spPr bwMode="auto">
                        <a:xfrm flipH="0" flipV="0">
                          <a:off x="0" y="0"/>
                          <a:ext cx="5972514" cy="80173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0.28pt;height:631.29pt;mso-wrap-distance-left:0.00pt;mso-wrap-distance-top:0.00pt;mso-wrap-distance-right:0.00pt;mso-wrap-distance-bottom:0.00pt;z-index:1;" stroked="false">
                <v:imagedata r:id="rId30" o:title=""/>
                <o:lock v:ext="edit" rotation="t"/>
              </v:shape>
            </w:pict>
          </mc:Fallback>
        </mc:AlternateContent>
      </w:r>
      <w:r>
        <w:rPr>
          <w:highlight w:val="none"/>
        </w:rPr>
      </w:r>
      <w:r>
        <w:rPr>
          <w:highlight w:val="none"/>
        </w:rPr>
      </w:r>
    </w:p>
    <w:p w14:paraId="21692F47">
      <w:pPr>
        <w:pBdr/>
        <w:spacing w:after="200" w:line="276" w:lineRule="auto"/>
        <w:ind/>
        <w:jc w:val="center"/>
        <w:rPr>
          <w:b/>
          <w:bCs/>
        </w:rPr>
      </w:pPr>
      <w:r>
        <w:rPr>
          <w:b/>
          <w:bCs/>
        </w:rPr>
      </w:r>
      <w:r>
        <w:rPr>
          <w:b/>
          <w:bCs/>
        </w:rPr>
      </w:r>
      <w:r>
        <w:rPr>
          <w:b/>
          <w:bCs/>
        </w:rPr>
      </w:r>
    </w:p>
    <w:p w14:paraId="590D52BE">
      <w:pPr>
        <w:pBdr/>
        <w:spacing w:after="200" w:line="276" w:lineRule="auto"/>
        <w:ind/>
        <w:jc w:val="center"/>
        <w:rPr>
          <w:b/>
          <w:bCs/>
        </w:rPr>
      </w:pPr>
      <w:r>
        <w:rPr>
          <w:b/>
          <w:bCs/>
        </w:rPr>
      </w:r>
      <w:r>
        <w:rPr>
          <w:b/>
          <w:bCs/>
        </w:rPr>
      </w:r>
      <w:r>
        <w:rPr>
          <w:b/>
          <w:bCs/>
        </w:rPr>
      </w:r>
    </w:p>
    <w:p w14:paraId="12975ED5">
      <w:pPr>
        <w:pBdr/>
        <w:spacing w:after="200" w:line="276" w:lineRule="auto"/>
        <w:ind/>
        <w:jc w:val="center"/>
        <w:rPr>
          <w:b/>
          <w:bCs/>
        </w:rPr>
      </w:pPr>
      <w:r>
        <w:rPr>
          <w:b/>
          <w:bCs/>
        </w:rPr>
      </w:r>
      <w:r>
        <w:rPr>
          <w:b/>
          <w:bCs/>
        </w:rPr>
      </w:r>
      <w:r>
        <w:rPr>
          <w:b/>
          <w:bCs/>
        </w:rPr>
      </w:r>
    </w:p>
    <w:p w14:paraId="272F67EA">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29665" cy="796511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188697" name=""/>
                        <pic:cNvPicPr>
                          <a:picLocks noChangeAspect="1"/>
                        </pic:cNvPicPr>
                        <pic:nvPr/>
                      </pic:nvPicPr>
                      <pic:blipFill rotWithShape="1">
                        <a:blip r:embed="rId31"/>
                        <a:stretch/>
                      </pic:blipFill>
                      <pic:spPr bwMode="auto">
                        <a:xfrm flipH="0" flipV="0">
                          <a:off x="0" y="0"/>
                          <a:ext cx="6029664" cy="79651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4.78pt;height:627.17pt;mso-wrap-distance-left:0.00pt;mso-wrap-distance-top:0.00pt;mso-wrap-distance-right:0.00pt;mso-wrap-distance-bottom:0.00pt;z-index:1;" stroked="false">
                <v:imagedata r:id="rId31" o:title=""/>
                <o:lock v:ext="edit" rotation="t"/>
              </v:shape>
            </w:pict>
          </mc:Fallback>
        </mc:AlternateContent>
      </w:r>
      <w:r>
        <w:rPr>
          <w:highlight w:val="none"/>
        </w:rPr>
      </w:r>
      <w:r>
        <w:rPr>
          <w:highlight w:val="none"/>
        </w:rPr>
      </w:r>
    </w:p>
    <w:p w14:paraId="3351C6B5">
      <w:pPr>
        <w:pBdr/>
        <w:spacing w:after="200" w:line="276" w:lineRule="auto"/>
        <w:ind/>
        <w:jc w:val="center"/>
        <w:rPr>
          <w:b/>
          <w:bCs/>
        </w:rPr>
      </w:pPr>
      <w:r>
        <w:rPr>
          <w:b/>
          <w:bCs/>
        </w:rPr>
      </w:r>
      <w:r>
        <w:rPr>
          <w:b/>
          <w:bCs/>
        </w:rPr>
      </w:r>
      <w:r>
        <w:rPr>
          <w:b/>
          <w:bCs/>
        </w:rPr>
      </w:r>
    </w:p>
    <w:p w14:paraId="357D927C">
      <w:pPr>
        <w:pBdr/>
        <w:spacing w:after="200" w:line="276" w:lineRule="auto"/>
        <w:ind/>
        <w:jc w:val="center"/>
        <w:rPr>
          <w:b/>
          <w:bCs/>
        </w:rPr>
      </w:pPr>
      <w:r>
        <w:rPr>
          <w:b/>
          <w:bCs/>
        </w:rPr>
      </w:r>
      <w:r>
        <w:rPr>
          <w:b/>
          <w:bCs/>
        </w:rPr>
      </w:r>
      <w:r>
        <w:rPr>
          <w:b/>
          <w:bCs/>
        </w:rPr>
      </w:r>
    </w:p>
    <w:p w14:paraId="7AB004F9">
      <w:pPr>
        <w:pBdr/>
        <w:spacing w:after="200" w:line="276" w:lineRule="auto"/>
        <w:ind/>
        <w:jc w:val="center"/>
        <w:rPr>
          <w:b/>
          <w:bCs/>
        </w:rPr>
      </w:pPr>
      <w:r>
        <w:rPr>
          <w:b/>
          <w:bCs/>
        </w:rPr>
      </w:r>
      <w:r>
        <w:rPr>
          <w:b/>
          <w:bCs/>
        </w:rPr>
      </w:r>
      <w:r>
        <w:rPr>
          <w:b/>
          <w:bCs/>
        </w:rPr>
      </w:r>
    </w:p>
    <w:p w14:paraId="384947C6">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5982040" cy="8059896"/>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725193" name=""/>
                        <pic:cNvPicPr>
                          <a:picLocks noChangeAspect="1"/>
                        </pic:cNvPicPr>
                        <pic:nvPr/>
                      </pic:nvPicPr>
                      <pic:blipFill rotWithShape="1">
                        <a:blip r:embed="rId32"/>
                        <a:stretch/>
                      </pic:blipFill>
                      <pic:spPr bwMode="auto">
                        <a:xfrm flipH="0" flipV="0">
                          <a:off x="0" y="0"/>
                          <a:ext cx="5982039" cy="80598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1.03pt;height:634.64pt;mso-wrap-distance-left:0.00pt;mso-wrap-distance-top:0.00pt;mso-wrap-distance-right:0.00pt;mso-wrap-distance-bottom:0.00pt;z-index:1;" stroked="false">
                <v:imagedata r:id="rId32" o:title=""/>
                <o:lock v:ext="edit" rotation="t"/>
              </v:shape>
            </w:pict>
          </mc:Fallback>
        </mc:AlternateContent>
      </w:r>
      <w:r>
        <w:rPr>
          <w:highlight w:val="none"/>
        </w:rPr>
      </w:r>
      <w:r>
        <w:rPr>
          <w:highlight w:val="none"/>
        </w:rPr>
      </w:r>
    </w:p>
    <w:p w14:paraId="5F4431EA">
      <w:pPr>
        <w:pBdr/>
        <w:spacing w:after="200" w:line="276" w:lineRule="auto"/>
        <w:ind/>
        <w:jc w:val="center"/>
        <w:rPr>
          <w:b/>
          <w:bCs/>
        </w:rPr>
      </w:pPr>
      <w:r>
        <w:rPr>
          <w:b/>
          <w:bCs/>
        </w:rPr>
      </w:r>
      <w:r>
        <w:rPr>
          <w:b/>
          <w:bCs/>
        </w:rPr>
      </w:r>
      <w:r>
        <w:rPr>
          <w:b/>
          <w:bCs/>
        </w:rPr>
      </w:r>
    </w:p>
    <w:p w14:paraId="2F20D1AB">
      <w:pPr>
        <w:pBdr/>
        <w:spacing w:after="200" w:line="276" w:lineRule="auto"/>
        <w:ind/>
        <w:jc w:val="center"/>
        <w:rPr>
          <w:b/>
          <w:bCs/>
        </w:rPr>
      </w:pPr>
      <w:r>
        <w:rPr>
          <w:b/>
          <w:bCs/>
        </w:rPr>
      </w:r>
      <w:r>
        <w:rPr>
          <w:b/>
          <w:bCs/>
        </w:rPr>
      </w:r>
      <w:r>
        <w:rPr>
          <w:b/>
          <w:bCs/>
        </w:rPr>
      </w:r>
    </w:p>
    <w:p w14:paraId="6CE49C6A">
      <w:pPr>
        <w:pBdr/>
        <w:spacing w:after="200" w:line="276" w:lineRule="auto"/>
        <w:ind/>
        <w:jc w:val="left"/>
        <w:rPr>
          <w:highlight w:val="none"/>
        </w:rPr>
      </w:pPr>
      <w:r>
        <w:rPr>
          <w:highlight w:val="none"/>
        </w:rPr>
      </w:r>
      <w:r>
        <w:rPr>
          <w:highlight w:val="none"/>
        </w:rPr>
      </w:r>
      <w:r>
        <w:rPr>
          <w:highlight w:val="none"/>
        </w:rPr>
      </w:r>
    </w:p>
    <w:p w14:paraId="25A639B2">
      <w:pPr>
        <w:pBdr/>
        <w:spacing w:after="200" w:line="276" w:lineRule="auto"/>
        <w:ind/>
        <w:jc w:val="center"/>
        <w:rPr>
          <w:highlight w:val="none"/>
        </w:rPr>
      </w:pPr>
      <w:r>
        <mc:AlternateContent>
          <mc:Choice Requires="wpg">
            <w:drawing>
              <wp:inline xmlns:wp="http://schemas.openxmlformats.org/drawingml/2006/wordprocessingDrawing" distT="0" distB="0" distL="0" distR="0">
                <wp:extent cx="6201115" cy="8905727"/>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361358" name=""/>
                        <pic:cNvPicPr>
                          <a:picLocks noChangeAspect="1"/>
                        </pic:cNvPicPr>
                        <pic:nvPr/>
                      </pic:nvPicPr>
                      <pic:blipFill rotWithShape="1">
                        <a:blip r:embed="rId33"/>
                        <a:stretch/>
                      </pic:blipFill>
                      <pic:spPr bwMode="auto">
                        <a:xfrm flipH="0" flipV="0">
                          <a:off x="0" y="0"/>
                          <a:ext cx="6201114" cy="89057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88.28pt;height:701.24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14:paraId="09E0F5AC">
      <w:pPr>
        <w:pBdr/>
        <w:spacing w:after="200" w:line="276" w:lineRule="auto"/>
        <w:ind/>
        <w:jc w:val="center"/>
        <w:rPr>
          <w:highlight w:val="none"/>
        </w:rPr>
      </w:pPr>
      <w:r>
        <w:rPr>
          <w:highlight w:val="none"/>
        </w:rPr>
      </w:r>
      <w:r>
        <w:rPr>
          <w:highlight w:val="none"/>
        </w:rPr>
      </w:r>
      <w:r>
        <w:rPr>
          <w:highlight w:val="none"/>
        </w:rPr>
      </w:r>
    </w:p>
    <w:p w14:paraId="226B39F6">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5878774" cy="902481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25457" name=""/>
                        <pic:cNvPicPr>
                          <a:picLocks noChangeAspect="1"/>
                        </pic:cNvPicPr>
                        <pic:nvPr/>
                      </pic:nvPicPr>
                      <pic:blipFill rotWithShape="1">
                        <a:blip r:embed="rId34"/>
                        <a:srcRect l="0" t="13947" r="0" b="0"/>
                        <a:stretch/>
                      </pic:blipFill>
                      <pic:spPr bwMode="auto">
                        <a:xfrm flipH="0" flipV="0">
                          <a:off x="0" y="0"/>
                          <a:ext cx="5878774" cy="90248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62.90pt;height:710.61pt;mso-wrap-distance-left:0.00pt;mso-wrap-distance-top:0.00pt;mso-wrap-distance-right:0.00pt;mso-wrap-distance-bottom:0.00pt;z-index:1;" stroked="false">
                <v:imagedata r:id="rId34" o:title="" croptop="9140f" cropleft="0f" cropbottom="0f" cropright="0f"/>
                <o:lock v:ext="edit" rotation="t"/>
              </v:shape>
            </w:pict>
          </mc:Fallback>
        </mc:AlternateContent>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0606DE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796A667"/>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66D29CB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hyperlink" Target="https://batdongsan.com.vn/ban-nha-biet-thu-lien-ke-duong-bui-quoc-khai-phuong-hoang-liet-prj-tay-nam-ho-linh-dam/-xanh-210m2-so-huu-truc-ong-mai-sam-uat-co-hoi-vang-cho-dau-tu-pr42251755" TargetMode="External"/><Relationship Id="rId17" Type="http://schemas.openxmlformats.org/officeDocument/2006/relationships/image" Target="media/image4.jpg"/><Relationship Id="rId18" Type="http://schemas.openxmlformats.org/officeDocument/2006/relationships/image" Target="media/image5.jpg"/><Relationship Id="rId19" Type="http://schemas.openxmlformats.org/officeDocument/2006/relationships/image" Target="media/image6.jpg"/><Relationship Id="rId20" Type="http://schemas.openxmlformats.org/officeDocument/2006/relationships/image" Target="media/image7.jpg"/><Relationship Id="rId21" Type="http://schemas.openxmlformats.org/officeDocument/2006/relationships/image" Target="media/image8.jpg"/><Relationship Id="rId22" Type="http://schemas.openxmlformats.org/officeDocument/2006/relationships/image" Target="media/image9.jp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jp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274</cp:revision>
  <dcterms:created xsi:type="dcterms:W3CDTF">2025-09-15T09:58:00Z</dcterms:created>
  <dcterms:modified xsi:type="dcterms:W3CDTF">2025-12-17T08:04:52Z</dcterms:modified>
</cp:coreProperties>
</file>