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39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39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275/2026/0125/VFI-CT.51.A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09, số vào sổ cấp GCN: CH00397/Q88Đ/10380/QĐ-UBND do Uỷ Ban Nhân Dân Huyện Thạch Thất cấp ngày 30/12/2014; Chủ sử dụng đất là Ông Phùng Văn Tuấn và Bà Nguyễn Thị Thành Huế</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2.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275/2026/0125/VFI-CT.51.A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w:hAnsi="Times New Roman" w:eastAsia="Times New Roman" w:cs="Times New Roman"/>
                          <w:b/>
                          <w:color w:val="000000"/>
                          <w:sz w:val="24"/>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b/>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09, số vào sổ cấp GCN: CH00397/Q88Đ/10380/QĐ-UBND do Uỷ Ban Nhân Dân Huyện Thạch Thất cấp ngày 30/12/2014; Chủ sử dụng đất là Ông Phùng Văn Tuấn và Bà Nguyễn Thị Thành Huế</w:t>
                      </w:r>
                      <w:r/>
                    </w:p>
                    <w:p>
                      <w:pPr>
                        <w:pBdr/>
                        <w:spacing w:after="120" w:before="120" w:line="360" w:lineRule="auto"/>
                        <w:ind/>
                        <w:jc w:val="both"/>
                        <w:rPr>
                          <w:bCs/>
                          <w:i/>
                        </w:rPr>
                      </w:pPr>
                      <w:r>
                        <w:rPr>
                          <w:b/>
                        </w:rPr>
                      </w:r>
                      <w:r>
                        <w:rPr>
                          <w:bCs/>
                          <w:i/>
                        </w:rPr>
                      </w:r>
                      <w:r>
                        <w:rPr>
                          <w:bCs/>
                          <w:i/>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273" w:type="dxa"/>
        <w:tblBorders/>
        <w:tblLayout w:type="fixed"/>
        <w:tblLook w:val="04A0" w:firstRow="1" w:lastRow="0" w:firstColumn="1" w:lastColumn="0" w:noHBand="0" w:noVBand="1"/>
      </w:tblPr>
      <w:tblGrid>
        <w:gridCol w:w="216"/>
        <w:gridCol w:w="1939"/>
        <w:gridCol w:w="1843"/>
        <w:gridCol w:w="6276"/>
      </w:tblGrid>
      <w:tr>
        <w:trPr>
          <w:trHeight w:val="1984"/>
        </w:trPr>
        <w:tc>
          <w:tcPr>
            <w:gridSpan w:val="2"/>
            <w:tcBorders/>
            <w:tcW w:w="2155" w:type="dxa"/>
            <w:textDirection w:val="lrTb"/>
            <w:noWrap w:val="false"/>
          </w:tcPr>
          <w:p>
            <w:pPr>
              <w:pBdr/>
              <w:spacing w:line="360" w:lineRule="auto"/>
              <w:ind w:hanging="108"/>
              <w:rPr>
                <w:i/>
                <w:szCs w:val="26"/>
                <w:lang w:eastAsia="zh-CN"/>
              </w:rPr>
            </w:pPr>
            <w:r>
              <w:rPr>
                <w:i/>
                <w:szCs w:val="26"/>
              </w:rPr>
            </w: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49069" name="Picture 3" descr="Logo, company name&#10;&#10;Description automatically generated"/>
                              <pic:cNvPicPr>
                                <a:picLocks noChangeAspect="1"/>
                              </pic:cNvPicPr>
                              <pic:nvPr/>
                            </pic:nvPicPr>
                            <pic:blipFill rotWithShape="1">
                              <a:blip r:embed="rId14"/>
                              <a:stretch/>
                            </pic:blipFill>
                            <pic:spPr bwMode="auto">
                              <a:xfrm>
                                <a:off x="0" y="0"/>
                                <a:ext cx="1017904" cy="922019"/>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11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356"/>
        </w:trPr>
        <w:tc>
          <w:tcPr>
            <w:gridSpan w:val="2"/>
            <w:shd w:val="clear" w:color="auto" w:fill="auto"/>
            <w:tcBorders/>
            <w:tcMar>
              <w:left w:w="108" w:type="dxa"/>
              <w:top w:w="0" w:type="dxa"/>
              <w:right w:w="108" w:type="dxa"/>
              <w:bottom w:w="0" w:type="dxa"/>
            </w:tcMar>
            <w:tcW w:w="3781"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w:t>
            </w:r>
            <w:r>
              <w:rPr>
                <w:rStyle w:val="1033"/>
                <w:rFonts w:ascii="Times New Roman" w:hAnsi="Times New Roman"/>
                <w:color w:val="000000" w:themeColor="text1"/>
                <w:lang w:val="pt-BR"/>
              </w:rPr>
              <w:t xml:space="preserve">275/2026/0125/VFI-CT.51.A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27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w:hAnsi="Times New Roman" w:eastAsia="Times New Roman" w:cs="Times New Roman"/>
          <w:b/>
          <w:color w:val="000000"/>
          <w:sz w:val="24"/>
        </w:rPr>
        <w:t xml:space="preserve">NGÂN HÀNG NÔNG NGHIỆP VÀ PHÁT TRIỂN NÔNG THÔN VIỆT NAM (AGRIBANK) - CHI NHÁNH THẠCH THẤT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275/2026/0125/VFI-HĐTĐ.51.A</w:t>
      </w:r>
      <w:r>
        <w:rPr>
          <w:spacing w:val="-4"/>
          <w:lang w:val="vi-VN"/>
        </w:rPr>
        <w:t xml:space="preserve"> ký </w:t>
      </w:r>
      <w:r>
        <w:rPr>
          <w:spacing w:val="-4"/>
          <w:highlight w:val="white"/>
          <w:lang w:val="vi-VN"/>
        </w:rPr>
        <w:t xml:space="preserve">ngày </w:t>
      </w:r>
      <w:r>
        <w:rPr>
          <w:color w:val="000000" w:themeColor="text1"/>
          <w:spacing w:val="-4"/>
          <w:highlight w:val="white"/>
        </w:rPr>
        <w:t xml:space="preserve">16 tháng 1 năm 2026</w:t>
      </w:r>
      <w:r>
        <w:rPr>
          <w:spacing w:val="-4"/>
          <w:highlight w:val="white"/>
          <w:lang w:val="vi-VN"/>
        </w:rPr>
        <w:t xml:space="preserve"> </w:t>
      </w:r>
      <w:r>
        <w:rPr>
          <w:spacing w:val="-4"/>
          <w:lang w:val="vi-VN"/>
        </w:rPr>
        <w:t xml:space="preserve">giữa </w:t>
      </w:r>
      <w:r>
        <w:rPr>
          <w:color w:val="000000" w:themeColor="text1"/>
          <w:spacing w:val="-4"/>
        </w:rPr>
        <w:t xml:space="preserve">Ngân hàng nông nghiệp và phát triển nông thôn - Chi Nhánh Thạch Thất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275/2026/0125/VFI-BC.51.A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19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b/>
                <w:bCs/>
              </w:rPr>
            </w:pPr>
            <w:r>
              <w:rPr>
                <w:b/>
                <w:bCs/>
              </w:rPr>
            </w:r>
            <w:r>
              <w:rPr>
                <w:rFonts w:ascii="Times New Roman" w:hAnsi="Times New Roman" w:eastAsia="Times New Roman" w:cs="Times New Roman"/>
                <w:b/>
                <w:bCs/>
                <w:color w:val="000000"/>
                <w:sz w:val="24"/>
              </w:rPr>
              <w:t xml:space="preserve">NGÂN HÀNG NÔNG NGHIỆP VÀ PHÁT TRIỂN NÔNG THÔN VIỆT NAM (AGRIBANK) - CHI NHÁNH THẠCH THẤT</w:t>
            </w:r>
            <w:r>
              <w:rPr>
                <w:b/>
                <w:bCs/>
              </w:rPr>
            </w:r>
            <w:r>
              <w:rPr>
                <w:b/>
                <w:bCs/>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w:t>
            </w:r>
            <w:r>
              <w:t xml:space="preserve">100686174-385</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b w:val="0"/>
                <w:bCs w:val="0"/>
                <w:color w:val="ff0000"/>
              </w:rPr>
            </w:pPr>
            <w:r>
              <w:rPr>
                <w:b w:val="0"/>
                <w:bCs w:val="0"/>
                <w:color w:val="000000" w:themeColor="text1"/>
                <w:lang w:val="vi-VN"/>
              </w:rPr>
            </w:r>
            <w:r>
              <w:rPr>
                <w:rFonts w:ascii="Times New Roman" w:hAnsi="Times New Roman" w:eastAsia="Times New Roman" w:cs="Times New Roman"/>
                <w:b w:val="0"/>
                <w:bCs w:val="0"/>
                <w:color w:val="000000"/>
                <w:sz w:val="24"/>
              </w:rPr>
              <w:t xml:space="preserve">Bà Lưu Thu Phương         Chức vụ: Phó Giám Đốc (Uỷ quyền số 02)</w:t>
            </w:r>
            <w:r>
              <w:rPr>
                <w:b w:val="0"/>
                <w:bCs w:val="0"/>
                <w:color w:val="ff0000"/>
              </w:rPr>
            </w:r>
            <w:r>
              <w:rPr>
                <w:b w:val="0"/>
                <w:bCs w:val="0"/>
                <w:color w:val="ff0000"/>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Đường 419, xã Thạch Thất, thành phố Hà Nội, Việt Nam</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bCs/>
              </w:rPr>
              <w:t xml:space="preserve">Số</w:t>
            </w:r>
            <w:r>
              <w:rPr>
                <w:bCs/>
              </w:rPr>
              <w:t xml:space="preserve"> 1274/TB-BTC </w:t>
            </w:r>
            <w:r>
              <w:rPr>
                <w:bCs/>
              </w:rPr>
              <w:t xml:space="preserve">ngày</w:t>
            </w:r>
            <w:r>
              <w:rPr>
                <w:bCs/>
              </w:rPr>
              <w:t xml:space="preserve"> 31/12/2025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b w:val="0"/>
          <w:bCs w:val="0"/>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val="0"/>
          <w:bCs w:val="0"/>
          <w:color w:val="000000"/>
          <w:sz w:val="24"/>
        </w:rPr>
        <w:t xml:space="preserve">09, số vào sổ cấp GCN: CH00397/Q88Đ/10380/QĐ-UBND do Uỷ Ban Nhân Dân Huyện Thạch Thất cấp ngày 30/12/2014; Chủ sử dụng đất là Ông Phùng Văn Tuấn và Bà Nguyễn Thị Thành Huế</w:t>
      </w:r>
      <w:r>
        <w:rPr>
          <w:b w:val="0"/>
          <w:bCs w:val="0"/>
        </w:rPr>
        <w:t xml:space="preserve">.</w:t>
      </w:r>
      <w:r>
        <w:rPr>
          <w:sz w:val="24"/>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09, số vào sổ cấp GCN: CH00397/Q88Đ/10380/QĐ-UBND do Uỷ Ban Nhân Dân Huyện Thạch Thất cấp ngày 30/12/2014; Chủ sử dụng đất là Ông Phùng Văn Tuấn và Bà Nguyễn Thị Thành Huế</w:t>
            </w:r>
            <w:r>
              <w:rPr>
                <w:sz w:val="24"/>
              </w:rPr>
            </w: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248</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7.440.000.000</w:t>
            </w:r>
            <w:r/>
          </w:p>
        </w:tc>
      </w:tr>
      <w:tr>
        <w:trPr>
          <w:trHeight w:val="20"/>
        </w:trPr>
        <w:tc>
          <w:tcPr>
            <w:shd w:val="clear" w:color="000000" w:fill="ffffff"/>
            <w:tcBorders/>
            <w:tcW w:w="500" w:type="pct"/>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063" w:type="pct"/>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946" w:type="pct"/>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63</w:t>
            </w:r>
            <w:r>
              <w:rPr>
                <w:color w:val="000000" w:themeColor="text1"/>
              </w:rPr>
            </w:r>
            <w:r>
              <w:rPr>
                <w:color w:val="000000" w:themeColor="text1"/>
              </w:rPr>
            </w:r>
          </w:p>
        </w:tc>
        <w:tc>
          <w:tcPr>
            <w:shd w:val="clear" w:color="000000" w:fill="ffffff"/>
            <w:tcBorders/>
            <w:tcW w:w="1355"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182.000</w:t>
            </w:r>
            <w:r>
              <w:rPr>
                <w:color w:val="000000" w:themeColor="text1"/>
              </w:rPr>
            </w:r>
            <w:r>
              <w:rPr>
                <w:color w:val="000000" w:themeColor="text1"/>
              </w:rPr>
            </w:r>
          </w:p>
        </w:tc>
        <w:tc>
          <w:tcPr>
            <w:shd w:val="clear" w:color="000000" w:fill="ffffff"/>
            <w:tcBorders/>
            <w:tcW w:w="1136" w:type="pct"/>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11.466.000</w:t>
            </w:r>
            <w:r>
              <w:rPr>
                <w:color w:val="000000" w:themeColor="text1"/>
              </w:rPr>
            </w:r>
            <w:r>
              <w:rPr>
                <w:color w:val="000000" w:themeColor="text1"/>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7.451.466.000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bốn trăm năm</w:t>
            </w:r>
            <w:r>
              <w:rPr>
                <w:b/>
                <w:bCs/>
                <w:i/>
                <w:iCs/>
                <w:color w:val="000000"/>
              </w:rPr>
              <w:t xml:space="preserve"> mươi mốt triệu bốn trăm sáu mươi sáu nghìn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ascii="Times New Roman" w:hAnsi="Times New Roman" w:eastAsia="Times New Roman" w:cs="Times New Roman"/>
                <w:color w:val="000000"/>
                <w:sz w:val="24"/>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50"/>
        <w:gridCol w:w="1608"/>
        <w:gridCol w:w="2388"/>
        <w:gridCol w:w="5846"/>
        <w:gridCol w:w="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w:t>
            </w:r>
            <w:r>
              <w:rPr>
                <w:rStyle w:val="1033"/>
                <w:rFonts w:ascii="Times New Roman" w:hAnsi="Times New Roman"/>
                <w:color w:val="000000" w:themeColor="text1"/>
                <w:lang w:val="pt-BR"/>
              </w:rPr>
              <w:t xml:space="preserve">: </w:t>
            </w:r>
            <w:r>
              <w:rPr>
                <w:rStyle w:val="1033"/>
                <w:rFonts w:ascii="Times New Roman" w:hAnsi="Times New Roman"/>
                <w:color w:val="000000" w:themeColor="text1"/>
                <w:lang w:val="pt-BR"/>
              </w:rPr>
              <w:t xml:space="preserve">275/2026/0125/VFI-</w:t>
            </w:r>
            <w:r>
              <w:rPr>
                <w:rStyle w:val="1033"/>
                <w:rFonts w:ascii="Times New Roman" w:hAnsi="Times New Roman"/>
                <w:color w:val="000000" w:themeColor="text1"/>
                <w:lang w:val="pt-BR"/>
              </w:rPr>
              <w:t xml:space="preserve">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w:t>
            </w:r>
            <w:r>
              <w:rPr>
                <w:rStyle w:val="1033"/>
                <w:rFonts w:ascii="Times New Roman" w:hAnsi="Times New Roman"/>
                <w:i/>
                <w:color w:val="auto"/>
              </w:rPr>
              <w:t xml:space="preserve">Hà</w:t>
            </w:r>
            <w:r>
              <w:rPr>
                <w:rStyle w:val="1033"/>
                <w:rFonts w:ascii="Times New Roman" w:hAnsi="Times New Roman"/>
                <w:i/>
                <w:color w:val="auto"/>
              </w:rPr>
              <w:t xml:space="preserve"> </w:t>
            </w:r>
            <w:r>
              <w:rPr>
                <w:rStyle w:val="1033"/>
                <w:rFonts w:ascii="Times New Roman" w:hAnsi="Times New Roman"/>
                <w:i/>
                <w:color w:val="auto"/>
              </w:rPr>
              <w:t xml:space="preserve">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19 tháng 1 năm 2026</w:t>
            </w:r>
            <w:r>
              <w:rPr>
                <w:color w:val="000000" w:themeColor="text1"/>
                <w:sz w:val="24"/>
                <w:szCs w:val="24"/>
                <w:lang w:val="vi-VN"/>
              </w:rPr>
            </w:r>
            <w:r>
              <w:rPr>
                <w:color w:val="000000" w:themeColor="text1"/>
                <w:sz w:val="24"/>
                <w:szCs w:val="24"/>
                <w:lang w:val="vi-VN"/>
              </w:rPr>
            </w:r>
          </w:p>
        </w:tc>
      </w:tr>
    </w:tbl>
    <w:p>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275/2026/0125/VFI-CT.51.A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19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b/>
                <w:bCs/>
              </w:rPr>
            </w:pPr>
            <w:r>
              <w:rPr>
                <w:b/>
                <w:bCs/>
              </w:rPr>
            </w:r>
            <w:r>
              <w:rPr>
                <w:rFonts w:ascii="Times New Roman" w:hAnsi="Times New Roman" w:eastAsia="Times New Roman" w:cs="Times New Roman"/>
                <w:b/>
                <w:bCs/>
                <w:color w:val="000000"/>
                <w:sz w:val="24"/>
              </w:rPr>
              <w:t xml:space="preserve">NGÂN HÀNG NÔNG NGHIỆP VÀ PHÁT TRIỂN NÔNG THÔN VIỆT NAM (AGRIBANK) - CHI NHÁNH THẠCH THẤT</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Mã số thuế</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w:t>
            </w:r>
            <w:r>
              <w:t xml:space="preserve">100686174-385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Người đại diện</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b w:val="0"/>
                <w:bCs w:val="0"/>
                <w:color w:val="ff0000"/>
              </w:rPr>
            </w:pPr>
            <w:r>
              <w:rPr>
                <w:b w:val="0"/>
                <w:bCs w:val="0"/>
                <w:color w:val="000000" w:themeColor="text1"/>
                <w:lang w:val="vi-VN"/>
              </w:rPr>
            </w:r>
            <w:r>
              <w:rPr>
                <w:rFonts w:ascii="Times New Roman" w:hAnsi="Times New Roman" w:eastAsia="Times New Roman" w:cs="Times New Roman"/>
                <w:b w:val="0"/>
                <w:bCs w:val="0"/>
                <w:color w:val="000000"/>
                <w:sz w:val="24"/>
              </w:rPr>
              <w:t xml:space="preserve">Bà Lưu Thu Phương         Chức vụ: Phó Giám Đốc (Uỷ quyền số 02)</w:t>
            </w:r>
            <w:r>
              <w:rPr>
                <w:b w:val="0"/>
                <w:bCs w:val="0"/>
                <w:color w:val="ff0000"/>
              </w:rPr>
            </w:r>
            <w:r>
              <w:rPr>
                <w:b w:val="0"/>
                <w:bCs w:val="0"/>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Đường 419, xã Thạch Thất, thành phố Hà Nội, Việt Nam</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b w:val="0"/>
                <w:bCs w:val="0"/>
              </w:rPr>
            </w:pPr>
            <w:r>
              <w:rPr>
                <w:rFonts w:ascii="Times New Roman" w:hAnsi="Times New Roman" w:eastAsia="Times New Roman" w:cs="Times New Roman"/>
                <w:b w:val="0"/>
                <w:bCs w:val="0"/>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val="0"/>
                <w:bCs w:val="0"/>
                <w:color w:val="000000"/>
                <w:sz w:val="24"/>
              </w:rPr>
              <w:t xml:space="preserve">09, số vào sổ cấp GCN: CH00397/Q88Đ/10380/QĐ-UBND do Uỷ Ban Nhân Dân Huyện Thạch Thất cấp ngày 30/12/2014; Chủ sử dụng đất là Ông Phùng Văn Tuấn và Bà Nguyễn Thị Thành Huế</w:t>
            </w:r>
            <w:r>
              <w:rPr>
                <w:b w:val="0"/>
                <w:bCs w:val="0"/>
              </w:rPr>
            </w:r>
            <w:r>
              <w:rPr>
                <w:b w:val="0"/>
                <w:bCs w:val="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Thạch Xá, Huyện Thạch Thất,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35"/>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35"/>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35"/>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35"/>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35"/>
        <w:numPr>
          <w:ilvl w:val="0"/>
          <w:numId w:val="2"/>
        </w:numPr>
        <w:pBdr/>
        <w:tabs>
          <w:tab w:val="left" w:leader="none" w:pos="993"/>
        </w:tabs>
        <w:spacing w:after="120" w:before="120" w:line="276" w:lineRule="auto"/>
        <w:ind/>
        <w:jc w:val="both"/>
        <w:rPr>
          <w:b w:val="0"/>
          <w:bCs w:val="0"/>
          <w:i/>
          <w:iCs/>
        </w:rPr>
      </w:pPr>
      <w:r>
        <w:rPr>
          <w:rFonts w:ascii="Times New Roman" w:hAnsi="Times New Roman" w:eastAsia="Times New Roman" w:cs="Times New Roman"/>
          <w:b w:val="0"/>
          <w:bCs w:val="0"/>
          <w:color w:val="000000"/>
          <w:sz w:val="24"/>
        </w:rPr>
        <w:t xml:space="preserve">Giấy chứng nhận quyền sử dụng đất quyền sở hữu nhà ở và tài sản khác gắn liền với đất số: BB 487909, số vào sổ cấp GCN: CH00397/Q88Đ/10380/QĐ-UBND do Uỷ Ban Nhân Dân Huyện Thạch Thất cấp ngày 30/12/2014; Chủ sử dụng đất là Ông Phùng Văn Tuấn và Bà Nguyễn T</w:t>
      </w:r>
      <w:r>
        <w:rPr>
          <w:rFonts w:ascii="Times New Roman" w:hAnsi="Times New Roman" w:eastAsia="Times New Roman" w:cs="Times New Roman"/>
          <w:b w:val="0"/>
          <w:bCs w:val="0"/>
          <w:color w:val="000000"/>
          <w:sz w:val="24"/>
        </w:rPr>
        <w:t xml:space="preserve">hị Thành Huế</w:t>
      </w:r>
      <w:r>
        <w:rPr>
          <w:b w:val="0"/>
          <w:bCs w:val="0"/>
          <w:i/>
          <w:iCs/>
        </w:rPr>
      </w:r>
      <w:r>
        <w:rPr>
          <w:b w:val="0"/>
          <w:bCs w:val="0"/>
          <w:i/>
          <w:iCs/>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275/2026/0125/VFI-HĐTĐ.51.A ngà</w:t>
      </w:r>
      <w:r>
        <w:rPr>
          <w:color w:val="000000" w:themeColor="text1"/>
          <w:highlight w:val="none"/>
          <w:lang w:val="pt-BR"/>
        </w:rPr>
        <w:t xml:space="preserve">y 16/01/2026</w:t>
      </w:r>
      <w:r>
        <w:rPr>
          <w:color w:val="000000" w:themeColor="text1"/>
          <w:lang w:val="pt-BR"/>
        </w:rPr>
        <w:t xml:space="preserve"> giữa Ngân hàng nông nghiệp và phát triển nông thôn - Chi Nhánh Thạch Thất với Công ty Cổ phần Thẩm định và Đầu tư Tài chính Hoa Sen.</w:t>
      </w:r>
      <w:r>
        <w:rPr>
          <w:b/>
          <w:lang w:val="pt-BR"/>
        </w:rPr>
      </w:r>
      <w:r>
        <w:rPr>
          <w:b/>
          <w:lang w:val="pt-BR"/>
        </w:rPr>
      </w:r>
    </w:p>
    <w:p>
      <w:pPr>
        <w:pStyle w:val="1035"/>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425" w:left="0"/>
        <w:rPr>
          <w:rFonts w:ascii="Times New Roman" w:hAnsi="Times New Roman" w:cs="Times New Roman"/>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Thị trường bất động sản huyện Thạch Thất đang thu hút sự quan tâm lớn từ các nhà đầu tư nhờ vào việc mở rộng hạ tầng và phát triển các khu đô thị vệ tinh như Hòa Lạc. Các cơ hội mua bán nhà tại khu vực này ngày càng đa dạng, đáp ứng nhu cầu từ nhà ở thổ cư</w:t>
      </w:r>
      <w:r>
        <w:rPr>
          <w:rFonts w:ascii="Times New Roman" w:hAnsi="Times New Roman" w:eastAsia="Times New Roman" w:cs="Times New Roman"/>
          <w:color w:val="000000" w:themeColor="text1"/>
          <w:sz w:val="24"/>
          <w:szCs w:val="24"/>
        </w:rPr>
        <w:t xml:space="preserve">, biệt thự đến các dự án nhà ở thương mại hiện đại.</w:t>
      </w:r>
      <w:r>
        <w:rPr>
          <w:rFonts w:ascii="Times New Roman" w:hAnsi="Times New Roman" w:cs="Times New Roman"/>
          <w:iCs/>
          <w:color w:val="000000" w:themeColor="text1"/>
          <w:sz w:val="24"/>
          <w:szCs w:val="24"/>
          <w:highlight w:val="none"/>
        </w:rPr>
      </w:r>
      <w:r>
        <w:rPr>
          <w:rFonts w:ascii="Times New Roman" w:hAnsi="Times New Roman" w:cs="Times New Roman"/>
          <w:iCs/>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Với các tuyến giao thông chính như quốc lộ 21, quốc lộ 32, đại lộ Thăng Long và cao tốc Hòa Lạc - Hòa Bình, Thạch Thất đã thiết lập một mạng lưới giao thông kết nối nhanh chóng với trung tâm thành phố và các khu vực khác. Huyện cũng thu hút nhiều dự án lớn</w:t>
      </w:r>
      <w:r>
        <w:rPr>
          <w:rFonts w:ascii="Times New Roman" w:hAnsi="Times New Roman" w:eastAsia="Times New Roman" w:cs="Times New Roman"/>
          <w:color w:val="000000" w:themeColor="text1"/>
          <w:sz w:val="24"/>
          <w:szCs w:val="24"/>
        </w:rPr>
        <w:t xml:space="preserve"> như Khu công nghệ cao Hòa Lạc, Khu đô thị Bắc Phú Cát và Khu đô thị Đại học Quốc gia Hà Nội, thúc đẩy sự phát triển của đô thị và kinh tế.</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Phân khúc bất động sản thổ cư tại Thạch Thất vẫn là lĩnh vực được nhiều người quan tâm, đặc biệt là ở các xã như Bình Yên, Cần Kiệm và Thạch Hòa. Đây là những khu vực gần trung tâm công nghệ cao Hòa Lạc, các trường đại học và viện nghiên cứu, thu hút sự ch</w:t>
      </w:r>
      <w:r>
        <w:rPr>
          <w:rFonts w:ascii="Times New Roman" w:hAnsi="Times New Roman" w:eastAsia="Times New Roman" w:cs="Times New Roman"/>
          <w:color w:val="000000" w:themeColor="text1"/>
          <w:sz w:val="24"/>
          <w:szCs w:val="24"/>
        </w:rPr>
        <w:t xml:space="preserve">ú ý của các nhà đầu tư tìm kiếm cơ hội sinh lời từ việc tăng giá đất và phát triển cơ sở hạ tầng.</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right="0" w:firstLine="425" w:left="0"/>
        <w:rPr>
          <w:rFonts w:ascii="Times New Roman" w:hAnsi="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highlight w:val="none"/>
          <w:shd w:val="clear" w:color="auto" w:fill="ffffff"/>
          <w:lang w:val="pt-BR" w:bidi="pt-BR"/>
        </w:rPr>
      </w:r>
      <w:r>
        <w:rPr>
          <w:rFonts w:ascii="Times New Roman" w:hAnsi="Times New Roman" w:eastAsia="Times New Roman" w:cs="Times New Roman"/>
          <w:color w:val="000000" w:themeColor="text1"/>
          <w:sz w:val="24"/>
          <w:szCs w:val="24"/>
        </w:rPr>
        <w:t xml:space="preserve">Với sự đầu tư mạnh mẽ vào hạ tầng giao thông, khu công nghệ cao Hòa Lạc và các khu đô thị sinh thái, Thạch Thất đang trở thành một trong những khu vực có tiềm năng phát triển bất động sản bền vững. Quy hoạch đô thị và chính sách phát triển công nghiệp sạch</w:t>
      </w:r>
      <w:r>
        <w:rPr>
          <w:rFonts w:ascii="Times New Roman" w:hAnsi="Times New Roman" w:eastAsia="Times New Roman" w:cs="Times New Roman"/>
          <w:color w:val="000000" w:themeColor="text1"/>
          <w:sz w:val="24"/>
          <w:szCs w:val="24"/>
        </w:rPr>
        <w:t xml:space="preserve">, kết hợp với việc bảo tồn không gian sinh thái, sẽ tạo ra môi trường lý tưởng cho người dân và nhà đầu tư.</w:t>
      </w:r>
      <w:r>
        <w:rPr>
          <w:rFonts w:ascii="Times New Roman" w:hAnsi="Times New Roman" w:cs="Times New Roman"/>
          <w:color w:val="000000" w:themeColor="text1"/>
          <w:sz w:val="24"/>
          <w:szCs w:val="24"/>
          <w:highlight w:val="none"/>
        </w:rPr>
      </w:r>
      <w:r>
        <w:rPr>
          <w:rFonts w:ascii="Times New Roman" w:hAnsi="Times New Roman" w:cs="Times New Roman"/>
          <w:color w:val="000000" w:themeColor="text1"/>
          <w:sz w:val="24"/>
          <w:szCs w:val="24"/>
          <w:highlight w:val="none"/>
        </w:rPr>
      </w:r>
    </w:p>
    <w:p>
      <w:pPr>
        <w:pBdr/>
        <w:tabs>
          <w:tab w:val="left" w:leader="none" w:pos="426"/>
        </w:tabs>
        <w:spacing w:after="120" w:before="120" w:line="276" w:lineRule="auto"/>
        <w:ind/>
        <w:jc w:val="center"/>
        <w:rPr>
          <w:bCs/>
          <w:i/>
          <w:color w:val="000000" w:themeColor="text1"/>
          <w:u w:val="none"/>
        </w:rPr>
      </w:pPr>
      <w:r>
        <w:rPr>
          <w:color w:val="000000" w:themeColor="text1"/>
          <w:highlight w:val="none"/>
          <w:u w:val="none"/>
          <w:shd w:val="clear" w:color="auto" w:fill="ffffff"/>
          <w:lang w:val="pt-BR" w:bidi="pt-BR"/>
        </w:rPr>
        <w:t xml:space="preserve">(</w:t>
      </w:r>
      <w:hyperlink r:id="rId17" w:tooltip="https://onehousing.vn/blog/bat-dong-san-huyen-thach-that-tiem-nang-va-vi-tri-dep-n17t" w:history="1">
        <w:r>
          <w:rPr>
            <w:rStyle w:val="1025"/>
            <w:rFonts w:ascii="Times New Roman" w:hAnsi="Times New Roman" w:eastAsia="Times New Roman" w:cs="Times New Roman"/>
            <w:color w:val="000000" w:themeColor="text1"/>
            <w:sz w:val="24"/>
            <w:u w:val="none"/>
          </w:rPr>
          <w:t xml:space="preserve">Bất động sản huyện Thạch Thất: Tiềm năng và vị trí đẹp</w:t>
        </w:r>
      </w:hyperlink>
      <w:r>
        <w:rPr>
          <w:color w:val="000000" w:themeColor="text1"/>
          <w:highlight w:val="none"/>
          <w:u w:val="none"/>
          <w:shd w:val="clear" w:color="auto" w:fill="ffffff"/>
          <w:lang w:val="pt-BR" w:bidi="pt-BR"/>
        </w:rPr>
        <w:t xml:space="preserve">)</w:t>
      </w:r>
      <w:r>
        <w:rPr>
          <w:bCs/>
          <w:i/>
          <w:color w:val="000000" w:themeColor="text1"/>
          <w:u w:val="none"/>
        </w:rPr>
      </w:r>
      <w:r>
        <w:rPr>
          <w:bCs/>
          <w:i/>
          <w:color w:val="000000" w:themeColor="text1"/>
          <w:u w:val="none"/>
        </w:rPr>
      </w:r>
    </w:p>
    <w:p>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23"/>
        <w:gridCol w:w="2204"/>
        <w:gridCol w:w="1937"/>
        <w:gridCol w:w="2316"/>
        <w:gridCol w:w="2275"/>
      </w:tblGrid>
      <w:tr>
        <w:trPr>
          <w:trHeight w:val="1821"/>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09, số vào sổ cấp GCN: CH00397/Q88Đ/10380/QĐ-UBND do Uỷ Ban Nhân Dân Huyện Thạch Thất cấp ngày 30/12/2014; Chủ sử dụng đất là Ông Phùng Văn Tuấn và Bà Nguyễn Thị Thành Huế</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725</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w:t>
            </w:r>
            <w:r/>
          </w:p>
        </w:tc>
      </w:tr>
      <w:tr>
        <w:trPr>
          <w:trHeight w:val="696"/>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1, Xã Thạch Xá, huyện Thạch Thất, Hà Nội (nay là xã Tây Phương,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311,0</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Đất ở: 248m2 và đất trồng cây lâu năm: 63m2</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 Đất trồng cây lâu năm: 01/7/2064</w:t>
            </w:r>
            <w:r/>
          </w:p>
        </w:tc>
      </w:tr>
      <w:tr>
        <w:trPr>
          <w:trHeight w:val="804"/>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768"/>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Thôn 1, Xã Thạch Xá, huyện Thạch Thất, Hà Nội (nay là xã Tây Phương, thành phố Hà Nội)</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bê tông xây</w:t>
            </w:r>
            <w:r/>
          </w:p>
        </w:tc>
        <w:tc>
          <w:tcPr>
            <w:tcBorders>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1,7m</w:t>
            </w:r>
            <w:r/>
          </w:p>
        </w:tc>
      </w:tr>
      <w:tr>
        <w:trPr>
          <w:trHeight w:val="996"/>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nằm tại Thôn 1, Xã Thạch Xá, huyện Thạch Thất, Hà Nội (nay là xã Tây Phương, thành phố Hà Nội); cách đường trục chính Hữu Nghị khoảng 10m</w:t>
            </w:r>
            <w:r/>
          </w:p>
        </w:tc>
      </w:tr>
      <w:tr>
        <w:trPr>
          <w:trHeight w:val="636"/>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2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Hướng Tây Bắc: Tiếp giáp đường bê tông xây rộng khoảng 1,7m </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(21.033198, 105.609490)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823914" cy="318474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115671" name=""/>
                              <pic:cNvPicPr>
                                <a:picLocks noChangeAspect="1"/>
                              </pic:cNvPicPr>
                              <pic:nvPr/>
                            </pic:nvPicPr>
                            <pic:blipFill rotWithShape="1">
                              <a:blip r:embed="rId18"/>
                              <a:stretch/>
                            </pic:blipFill>
                            <pic:spPr bwMode="auto">
                              <a:xfrm flipH="0" flipV="0">
                                <a:off x="0" y="0"/>
                                <a:ext cx="5823914" cy="31847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58.58pt;height:250.77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996"/>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248m2 và đất trồng cây lâu năm: 63m2</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1,26</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highlight w:val="none"/>
              </w:rPr>
            </w:pPr>
            <w:r>
              <w:rPr>
                <w:rFonts w:ascii="Times New Roman" w:hAnsi="Times New Roman" w:eastAsia="Times New Roman" w:cs="Times New Roman"/>
                <w:color w:val="000000"/>
                <w:sz w:val="24"/>
                <w:highlight w:val="none"/>
              </w:rPr>
              <w:t xml:space="preserve">18,31</w:t>
            </w:r>
            <w:r>
              <w:rPr>
                <w:highlight w:val="none"/>
              </w:rPr>
            </w:r>
            <w:r>
              <w:rPr>
                <w:highlight w:val="none"/>
              </w:rP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Đa giác</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2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20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31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275"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732" w:type="dxa"/>
            <w:vAlign w:val="top"/>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cứ theo hiện trạng khảo sát thực tế dưới sự hướng dẫn của Khách hàng, có CTXD là nhà 1 tầng, không được ghi nhận GCN số BB 487909, xây hết đất, xây dựng năm 2020.</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3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5"/>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35"/>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5"/>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5"/>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w:t>
      </w:r>
      <w:r>
        <w:rPr>
          <w:rFonts w:ascii="Times New Roman" w:hAnsi="Times New Roman" w:eastAsia="Times New Roman" w:cs="Times New Roman"/>
          <w:color w:val="000000"/>
          <w:spacing w:val="-4"/>
          <w:sz w:val="24"/>
        </w:rPr>
        <w:t xml:space="preserve"> thẩm định sử dụng cách tiếp cận từ chi phí (phương pháp chi phí thay thế) để xác định giá trị công trình gắn liền trên đất của tài sản so sánh</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sz w:val="24"/>
        </w:rPr>
      </w:r>
      <w:r/>
    </w:p>
    <w:p>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5"/>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Bdr/>
        <w:spacing w:after="120" w:before="120" w:line="276" w:lineRule="auto"/>
        <w:ind w:firstLine="0" w:left="0"/>
        <w:jc w:val="both"/>
        <w:rPr>
          <w:b/>
          <w:bCs/>
          <w:lang w:val="pt-BR"/>
        </w:rPr>
      </w:pPr>
      <w:r>
        <w:rPr>
          <w:b/>
          <w:highlight w:val="none"/>
          <w:lang w:val="pt-BR" w:bidi="pt-BR"/>
        </w:rPr>
        <w:t xml:space="preserve">- </w:t>
      </w:r>
      <w:r>
        <w:rPr>
          <w:spacing w:val="-4"/>
          <w:lang w:val="pt-BR"/>
        </w:rPr>
        <w:t xml:space="preserve">Căn </w:t>
      </w:r>
      <w:r>
        <w:rPr>
          <w:rFonts w:ascii="Times New Roman" w:hAnsi="Times New Roman" w:eastAsia="Times New Roman" w:cs="Times New Roman"/>
          <w:color w:val="000000"/>
          <w:sz w:val="24"/>
        </w:rPr>
        <w:t xml:space="preserve">cứ theo hiện trạng khảo sát thực tế dưới sự hướng dẫn của Khách hàng, có CTXD là nhà 1 tầng, không được ghi nhận GCN số BB 487909, xây hết đất, xây dựng năm 2020</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xâ</w:t>
      </w:r>
      <w:r>
        <w:rPr>
          <w:rFonts w:ascii="Times New Roman" w:hAnsi="Times New Roman" w:eastAsia="Times New Roman" w:cs="Times New Roman"/>
          <w:color w:val="000000"/>
          <w:sz w:val="24"/>
        </w:rPr>
        <w:t xml:space="preserve">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b/>
          <w:bCs/>
          <w:lang w:val="pt-BR"/>
        </w:rPr>
      </w:r>
      <w:r>
        <w:rPr>
          <w:b/>
          <w:bCs/>
          <w:lang w:val="pt-BR"/>
        </w:rPr>
      </w:r>
    </w:p>
    <w:p>
      <w:pPr>
        <w:pStyle w:val="1035"/>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3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Phùng Xá,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Chàng Sơn,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Chàng Sơn, Huyện Thạch Thất,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Bình Phú, Huyện Thạch Thất, Thành phố Hà Nội</w:t>
            </w:r>
            <w:r>
              <w:rPr>
                <w:sz w:val="22"/>
                <w:szCs w:val="22"/>
              </w:rPr>
            </w:r>
            <w:r>
              <w:rPr>
                <w:sz w:val="22"/>
                <w:szCs w:val="22"/>
              </w:rPr>
            </w:r>
          </w:p>
        </w:tc>
      </w:tr>
      <w:tr>
        <w:trPr>
          <w:trHeight w:val="169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https://www.facebook.com/groups/1420410968313542/posts/2618214898533137/</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https://www.facebook.com/share/p/17tFFd18nx/</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https://batdongsan.com.vn/ban-dat-xa-binh-phu-9/chinh-chu-can-ban-lo-50m2-tai-phu-pr42085687</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Loan Can</w:t>
            </w:r>
            <w:r>
              <w:rPr>
                <w:sz w:val="22"/>
                <w:szCs w:val="22"/>
              </w:rPr>
              <w:t xml:space="preserve"> </w:t>
            </w:r>
            <w:r>
              <w:rPr>
                <w:sz w:val="22"/>
                <w:szCs w:val="22"/>
              </w:rPr>
              <w:br/>
              <w:t xml:space="preserve">(</w:t>
            </w:r>
            <w:r>
              <w:rPr>
                <w:sz w:val="22"/>
                <w:szCs w:val="22"/>
              </w:rPr>
              <w:t xml:space="preserve">0963607662</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0971 809 295</w:t>
            </w:r>
            <w:r>
              <w:rPr>
                <w:sz w:val="22"/>
                <w:szCs w:val="22"/>
              </w:rPr>
              <w:br/>
            </w:r>
            <w:r>
              <w:rPr>
                <w:sz w:val="22"/>
                <w:szCs w:val="22"/>
              </w:rPr>
              <w:t xml:space="preserve">(</w:t>
            </w:r>
            <w:r>
              <w:rPr>
                <w:sz w:val="22"/>
                <w:szCs w:val="22"/>
              </w:rPr>
              <w:t xml:space="preserve">Phường Nhi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0984770983</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yellow"/>
              </w:rPr>
            </w:pPr>
            <w:r>
              <w:rPr>
                <w:color w:val="000000"/>
                <w:sz w:val="22"/>
                <w:szCs w:val="22"/>
                <w:highlight w:val="yellow"/>
              </w:rPr>
            </w:r>
            <w:r>
              <w:rPr>
                <w:color w:val="000000" w:themeColor="text1"/>
                <w:sz w:val="22"/>
                <w:szCs w:val="22"/>
                <w:highlight w:val="none"/>
              </w:rPr>
              <w:t xml:space="preserve">Đang giao dịch</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sz w:val="22"/>
                <w:szCs w:val="22"/>
                <w:highlight w:val="none"/>
              </w:rPr>
              <w:t xml:space="preserve"> </w:t>
            </w:r>
            <w:r>
              <w:rPr>
                <w:color w:val="000000" w:themeColor="text1"/>
                <w:sz w:val="22"/>
                <w:szCs w:val="22"/>
                <w:highlight w:val="none"/>
              </w:rPr>
              <w:t xml:space="preserve">Đang giao dịch</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01/2026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Tháng 01/2026</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chính đường Hữu Nghị khoảng 10m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chính đường Hữu Nghị khoảng 30m</w:t>
            </w:r>
            <w:r>
              <w:rPr>
                <w:color w:val="000000"/>
                <w:sz w:val="22"/>
                <w:szCs w:val="22"/>
              </w:rPr>
            </w:r>
            <w:r>
              <w:rPr>
                <w:color w:val="000000"/>
                <w:sz w:val="22"/>
                <w:szCs w:val="22"/>
              </w:rPr>
            </w:r>
          </w:p>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trục chính Chàng Sơn khoảng 100m,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trục chính thôn khoảng 170m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1,7</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3,2</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248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15,81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7,22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Khá</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Khá</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Kém</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none"/>
              </w:rPr>
            </w:pPr>
            <w:r>
              <w:rPr>
                <w:color w:val="000000" w:themeColor="text1"/>
                <w:sz w:val="22"/>
                <w:szCs w:val="22"/>
                <w:highlight w:val="none"/>
              </w:rPr>
              <w:t xml:space="preserve">Khá</w:t>
            </w:r>
            <w:r>
              <w:rPr>
                <w:color w:val="000000"/>
                <w:sz w:val="22"/>
                <w:szCs w:val="22"/>
                <w:highlight w:val="none"/>
              </w:rPr>
            </w:r>
            <w:r>
              <w:rPr>
                <w:color w:val="000000"/>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Đất trống</w:t>
            </w:r>
            <w:r>
              <w:rPr>
                <w:color w:val="000000" w:themeColor="text1"/>
                <w:sz w:val="22"/>
                <w:szCs w:val="22"/>
              </w:rPr>
            </w:r>
            <w:r>
              <w:rPr>
                <w:color w:val="000000" w:themeColor="text1"/>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5.522.500.000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4.970.250.000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2.375.000.000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3.120.000.000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4.970.250.000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2.375.000.000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43.333.333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52.318.421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47.500.000</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Style w:val="103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32"/>
        <w:gridCol w:w="2057"/>
        <w:gridCol w:w="992"/>
        <w:gridCol w:w="1253"/>
        <w:gridCol w:w="1474"/>
        <w:gridCol w:w="1473"/>
        <w:gridCol w:w="1474"/>
      </w:tblGrid>
      <w:tr>
        <w:trPr>
          <w:trHeight w:val="63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3.120.000.000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4.970.250.000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2.375.000.000 </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43.333.333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52.318.421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47.500.000 </w:t>
            </w:r>
            <w:r>
              <w:rPr>
                <w:color w:val="000000" w:themeColor="text1"/>
              </w:rPr>
            </w:r>
            <w:r>
              <w:rPr>
                <w:color w:val="000000" w:themeColor="text1"/>
              </w:rPr>
            </w:r>
          </w:p>
        </w:tc>
      </w:tr>
      <w:tr>
        <w:trPr>
          <w:trHeight w:val="5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43.333.333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52.318.421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47.500.000 </w:t>
            </w:r>
            <w:r>
              <w:rPr>
                <w:color w:val="000000" w:themeColor="text1"/>
              </w:rPr>
            </w:r>
            <w:r>
              <w:rPr>
                <w:color w:val="000000" w:themeColor="text1"/>
              </w:rPr>
            </w:r>
          </w:p>
        </w:tc>
      </w:tr>
      <w:tr>
        <w:trPr>
          <w:trHeight w:val="82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43.333.333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52.318.421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47.500.000 </w:t>
            </w:r>
            <w:r>
              <w:rPr>
                <w:color w:val="000000" w:themeColor="text1"/>
              </w:rPr>
            </w:r>
            <w:r>
              <w:rPr>
                <w:color w:val="000000" w:themeColor="text1"/>
              </w:rPr>
            </w:r>
          </w:p>
        </w:tc>
      </w:tr>
      <w:tr>
        <w:trPr>
          <w:trHeight w:val="7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Mục đích sử dụng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Đất ở tại nông thôn</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43.333.333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52.318.421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47.500.000 </w:t>
            </w:r>
            <w:r>
              <w:rPr>
                <w:color w:val="000000" w:themeColor="text1"/>
              </w:rPr>
            </w:r>
            <w:r>
              <w:rPr>
                <w:color w:val="000000" w:themeColor="text1"/>
              </w:rPr>
            </w:r>
          </w:p>
        </w:tc>
      </w:tr>
      <w:tr>
        <w:trPr>
          <w:trHeight w:val="196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cách trục chính đường Hữu Nghị khoảng 10m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Xã Chàng Sơn, Huyện Thạch Thất, Thành phố Hà Nội, Cách trục chính Chàng Sơn khoảng 100m,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Xã Chàng Sơn, Huyện Thạch Thất, Thành phố Hà Nội, Cách trục chính Chàng Sơn khoảng 100m,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Tài sản tại: Xã Bình Phú, Huyện Thạch Thất, Thành phố Hà Nội, Cách trục chính khoảng 170m,</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43.333.333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52.318.421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47.500.000 </w:t>
            </w:r>
            <w:r>
              <w:rPr>
                <w:color w:val="000000" w:themeColor="text1"/>
              </w:rPr>
            </w:r>
            <w:r>
              <w:rPr>
                <w:color w:val="000000" w:themeColor="text1"/>
              </w:rPr>
            </w:r>
          </w:p>
        </w:tc>
      </w:tr>
      <w:tr>
        <w:trPr>
          <w:trHeight w:val="81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1,7m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2m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3.2m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3m</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-8,00%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-1.300.000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-5.231.842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-3.800.000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42.033.333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47.086.579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43.700.000 </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Diện tích đất</w:t>
              <w:br/>
              <w:t xml:space="preserve">  (m²)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248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72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95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50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-6.500.000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-9.417.316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-4.750.000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35.533.333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37.669.263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38.950.000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Mặt tiền (m)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1.7</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15.81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7.22</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-12,00%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-18,00%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-5.200.000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-9.417.316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-4.750.000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28.251.947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34.200.000 </w:t>
            </w:r>
            <w:r>
              <w:rPr>
                <w:color w:val="000000" w:themeColor="text1"/>
              </w:rPr>
            </w:r>
            <w:r>
              <w:rPr>
                <w:color w:val="000000" w:themeColor="text1"/>
              </w:rPr>
            </w:r>
          </w:p>
        </w:tc>
      </w:tr>
      <w:tr>
        <w:trPr>
          <w:trHeight w:val="63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 mặt tiền</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30.333.333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28.251.947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34.200.000 </w:t>
            </w:r>
            <w:r>
              <w:rPr>
                <w:color w:val="000000" w:themeColor="text1"/>
              </w:rPr>
            </w:r>
            <w:r>
              <w:rPr>
                <w:color w:val="000000" w:themeColor="text1"/>
              </w:rPr>
            </w:r>
          </w:p>
        </w:tc>
      </w:tr>
      <w:tr>
        <w:trPr>
          <w:trHeight w:val="37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Đa giác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Đa giác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Nở hậu</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-2.375.000 </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28.251.947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31.825.000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Kém</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Khá</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2.615.921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375"/>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30.867.868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31.825.000 </w:t>
            </w:r>
            <w:r>
              <w:rPr>
                <w:color w:val="000000" w:themeColor="text1"/>
              </w:rPr>
            </w:r>
            <w:r>
              <w:rPr>
                <w:color w:val="000000" w:themeColor="text1"/>
              </w:rPr>
            </w:r>
          </w:p>
        </w:tc>
      </w:tr>
      <w:tr>
        <w:trPr>
          <w:trHeight w:val="425"/>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Hạ tầng khu đô thị: Hệ thống cấp điện, cấp thoát nước đầy đủ</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64"/>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28.166.667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30.867.868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31.825.000 </w:t>
            </w:r>
            <w:r>
              <w:rPr>
                <w:color w:val="000000" w:themeColor="text1"/>
              </w:rPr>
            </w:r>
            <w:r>
              <w:rPr>
                <w:color w:val="000000" w:themeColor="text1"/>
              </w:rP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28.166.667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30.867.868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31.825.000 </w:t>
            </w:r>
            <w:r>
              <w:rPr>
                <w:color w:val="000000" w:themeColor="text1"/>
              </w:rPr>
            </w:r>
            <w:r>
              <w:rPr>
                <w:color w:val="000000" w:themeColor="text1"/>
              </w:rPr>
            </w:r>
          </w:p>
        </w:tc>
      </w:tr>
      <w:tr>
        <w:trPr>
          <w:trHeight w:val="26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7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94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30.286.512 </w:t>
            </w:r>
            <w:r>
              <w:rPr>
                <w:color w:val="000000" w:themeColor="text1"/>
              </w:rPr>
            </w:r>
            <w:r>
              <w:rPr>
                <w:color w:val="000000" w:themeColor="text1"/>
              </w:rP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-7,0%</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1,9%</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5,1%</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15.166.667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26.682.395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15.675.000 </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4</w:t>
            </w:r>
            <w:r>
              <w:rPr>
                <w:color w:val="000000" w:themeColor="text1"/>
              </w:rPr>
            </w:r>
            <w:r>
              <w:rPr>
                <w:color w:val="000000" w:themeColor="text1"/>
              </w:rPr>
            </w:r>
          </w:p>
        </w:tc>
      </w:tr>
      <w:tr>
        <w:trPr>
          <w:trHeight w:val="276"/>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- 15%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5% - 18%</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0% - 10%</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25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15.166.667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3"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21.450.553 </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47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color w:val="000000" w:themeColor="text1"/>
                <w:sz w:val="22"/>
              </w:rPr>
              <w:t xml:space="preserve">15.675.000 </w:t>
            </w:r>
            <w:r>
              <w:rPr>
                <w:color w:val="000000" w:themeColor="text1"/>
              </w:rPr>
            </w:r>
            <w:r>
              <w:rPr>
                <w:color w:val="000000" w:themeColor="text1"/>
              </w:rPr>
            </w:r>
          </w:p>
        </w:tc>
      </w:tr>
      <w:tr>
        <w:trPr>
          <w:trHeight w:val="55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3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0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72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2947"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color w:val="000000" w:themeColor="text1"/>
              </w:rPr>
            </w:pPr>
            <w:r>
              <w:rPr>
                <w:rFonts w:ascii="Times New Roman" w:hAnsi="Times New Roman" w:eastAsia="Times New Roman" w:cs="Times New Roman"/>
                <w:b/>
                <w:color w:val="000000" w:themeColor="text1"/>
                <w:sz w:val="22"/>
              </w:rPr>
              <w:t xml:space="preserve">30.000.000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-7,0</w:t>
      </w:r>
      <w:r>
        <w:t xml:space="preserve">% </w:t>
      </w:r>
      <w:r>
        <w:t xml:space="preserve">đến</w:t>
      </w:r>
      <w:r>
        <w:t xml:space="preserve"> </w:t>
      </w:r>
      <w:r>
        <w:t xml:space="preserve"> </w:t>
      </w:r>
      <w:r>
        <w:t xml:space="preserve">5,1%,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u w:val="single"/>
        </w:rPr>
        <w:t xml:space="preserve">Về thống nhất các mức giá chỉ dẫn:</w:t>
      </w:r>
      <w:r/>
    </w:p>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pacing w:val="-4"/>
          <w:sz w:val="24"/>
        </w:rPr>
        <w:t xml:space="preserve">Tổ thẩm định đánh giá chất lượng thông tin về các tài sản so sánh là tương đương  nhau; mức giá chỉ dẫn, tổng giá trị điều chỉnh gộp, tổng số lần điều chỉnh, biên độ điều chỉnh của các bất động sản chênh lệch không đáng kể. Do đó, Tổ thẩm định sử dụng mức </w:t>
      </w:r>
      <w:r>
        <w:rPr>
          <w:rFonts w:ascii="Times New Roman" w:hAnsi="Times New Roman" w:eastAsia="Times New Roman" w:cs="Times New Roman"/>
          <w:color w:val="000000"/>
          <w:spacing w:val="-4"/>
          <w:sz w:val="24"/>
        </w:rPr>
        <w:t xml:space="preserve">giá chỉ dẫn trung bình của 03 bất động sản so sánh làm mức giá của bất động sản thẩm định giá, tương ứng </w:t>
      </w:r>
      <w:r>
        <w:rPr>
          <w:rFonts w:ascii="Times New Roman" w:hAnsi="Times New Roman" w:eastAsia="Times New Roman" w:cs="Times New Roman"/>
          <w:color w:val="000000"/>
          <w:sz w:val="24"/>
        </w:rPr>
        <w:t xml:space="preserve">là:</w:t>
      </w:r>
      <w:r>
        <w:rPr>
          <w:rFonts w:ascii="Times New Roman" w:hAnsi="Times New Roman" w:eastAsia="Times New Roman" w:cs="Times New Roman"/>
          <w:b/>
          <w:color w:val="000000"/>
          <w:sz w:val="24"/>
        </w:rPr>
        <w:t xml:space="preserve"> 30.000.000 đồng/m²</w:t>
      </w:r>
      <w:r>
        <w:rPr>
          <w:rFonts w:ascii="Times New Roman" w:hAnsi="Times New Roman" w:eastAsia="Times New Roman" w:cs="Times New Roman"/>
          <w:color w:val="000000"/>
          <w:sz w:val="24"/>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2. Xác định đơn giá đất trồng cây lâu năm</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Khảo sát thông tin thị trường không có giao dịch đất trồng cây lâu năm riêng lẻ, do đó, Tổ thẩm định ước tính đơn giá quyền sử dụng đất trồng cây lâu năm theo đơn giá UBND Thành phố Hà Nội quy định.</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Vận dụng Nghị Quyết số 52/2025/NQ-HĐND của UBND Thành phố Hà Nội ngày 26 tháng 11 năm 2025</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về việc Quy định Bảng giá đất lần đầu để công bố và áp dụng từ ngày 01 tháng 01 năm 2026 trên địa bàn thành phố Hà Nội trên địa bàn thành phố Hà Nội đơn giá đất trồng cây lâu năm trên địa bàn </w:t>
      </w:r>
      <w:r>
        <w:rPr>
          <w:rFonts w:ascii="Times New Roman" w:hAnsi="Times New Roman" w:eastAsia="Times New Roman" w:cs="Times New Roman"/>
          <w:color w:val="000000"/>
          <w:sz w:val="24"/>
        </w:rPr>
        <w:t xml:space="preserve">Xã Thạch Xá, huyện Thạch Thất, Hà Nội (nay là xã Tây Phương, thành phố Hà Nội)</w:t>
      </w:r>
      <w:r>
        <w:rPr>
          <w:rFonts w:ascii="Times New Roman" w:hAnsi="Times New Roman" w:eastAsia="Times New Roman" w:cs="Times New Roman"/>
          <w:color w:val="000000"/>
          <w:sz w:val="24"/>
        </w:rPr>
        <w:t xml:space="preserve"> là: 182.000 đồng/m</w:t>
      </w:r>
      <w:r>
        <w:rPr>
          <w:rFonts w:ascii="Times New Roman" w:hAnsi="Times New Roman" w:eastAsia="Times New Roman" w:cs="Times New Roman"/>
          <w:b/>
          <w:color w:val="000000"/>
          <w:sz w:val="24"/>
        </w:rPr>
        <w:t xml:space="preserve">². </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b/>
          <w:i/>
          <w:color w:val="000000"/>
          <w:sz w:val="24"/>
        </w:rPr>
        <w:t xml:space="preserve">Do đó, tổ thẩm định xác định đơn giá đất trồng cây lâu năm là 182.000 đồng/m</w:t>
      </w:r>
      <w:r>
        <w:rPr>
          <w:rFonts w:ascii="Times New Roman" w:hAnsi="Times New Roman" w:eastAsia="Times New Roman" w:cs="Times New Roman"/>
          <w:b/>
          <w:i/>
          <w:color w:val="000000"/>
          <w:sz w:val="20"/>
          <w:vertAlign w:val="superscript"/>
        </w:rPr>
        <w:t xml:space="preserve">2</w:t>
      </w:r>
      <w:r>
        <w:rPr>
          <w:rFonts w:ascii="Times New Roman" w:hAnsi="Times New Roman" w:eastAsia="Times New Roman" w:cs="Times New Roman"/>
          <w:sz w:val="24"/>
        </w:rPr>
      </w:r>
      <w:r/>
    </w:p>
    <w:p>
      <w:pPr>
        <w:pBdr/>
        <w:spacing w:after="120" w:before="120" w:line="276" w:lineRule="auto"/>
        <w:ind w:firstLine="0" w:left="0"/>
        <w:jc w:val="both"/>
        <w:rPr>
          <w:b/>
          <w:lang w:val="pt-BR"/>
        </w:rPr>
      </w:pPr>
      <w:r>
        <w:rPr>
          <w:b/>
          <w:lang w:val="pt-BR"/>
        </w:rPr>
        <w:t xml:space="preserve">3. 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35"/>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56"/>
        <w:gridCol w:w="2390"/>
        <w:gridCol w:w="1701"/>
        <w:gridCol w:w="2268"/>
        <w:gridCol w:w="2410"/>
      </w:tblGrid>
      <w:tr>
        <w:trPr>
          <w:trHeight w:val="20"/>
        </w:trPr>
        <w:tc>
          <w:tcPr>
            <w:shd w:val="clear" w:color="000000" w:fill="ffffff"/>
            <w:tcBorders/>
            <w:tcW w:w="756"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3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701"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268"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410"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35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line="276" w:lineRule="auto"/>
              <w:ind w:right="0" w:firstLine="0" w:left="0"/>
              <w:jc w:val="both"/>
              <w:rPr/>
            </w:pPr>
            <w:r>
              <w:rPr>
                <w:rFonts w:ascii="Times New Roman" w:hAnsi="Times New Roman" w:eastAsia="Times New Roman" w:cs="Times New Roman"/>
                <w:b/>
                <w:color w:val="000000"/>
                <w:sz w:val="24"/>
              </w:rPr>
              <w:t xml:space="preserve">Quyền sử dụng đất tại thửa đất số: 725, tờ bản đồ số 5 có địa chỉ: Thôn 1, Xã Thạch Xá, huyện Thạch Thất, Hà Nội (nay là xã Tây Phương, thành phố Hà Nội) theo Giấy chứng nhận quyền sử dụng đất quyền sở hữu nhà ở và tài sản khác gắn liền với đất số: BB 4879</w:t>
            </w:r>
            <w:r>
              <w:rPr>
                <w:rFonts w:ascii="Times New Roman" w:hAnsi="Times New Roman" w:eastAsia="Times New Roman" w:cs="Times New Roman"/>
                <w:b/>
                <w:color w:val="000000"/>
                <w:sz w:val="24"/>
              </w:rPr>
              <w:t xml:space="preserve">09, số vào sổ cấp GCN: CH00397/Q88Đ/10380/QĐ-UBND do Uỷ Ban Nhân Dân Huyện Thạch Thất cấp ngày 30/12/2014; Chủ sử dụng đất là Ông Phùng Văn Tuấn và Bà Nguyễn Thị Thành Huế</w:t>
            </w:r>
            <w:r/>
          </w:p>
        </w:tc>
        <w:tc>
          <w:tcPr>
            <w:shd w:val="clear" w:color="000000" w:fill="ffffff"/>
            <w:tcBorders/>
            <w:tcW w:w="2410"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56"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390" w:type="dxa"/>
            <w:vAlign w:val="center"/>
            <w:textDirection w:val="lrTb"/>
            <w:noWrap w:val="false"/>
          </w:tcPr>
          <w:p>
            <w:pPr>
              <w:pBdr/>
              <w:spacing w:after="40" w:before="40" w:line="288" w:lineRule="auto"/>
              <w:ind/>
              <w:rPr>
                <w:b w:val="0"/>
                <w:bCs w:val="0"/>
              </w:rPr>
            </w:pPr>
            <w:r>
              <w:rPr>
                <w:b w:val="0"/>
                <w:bCs w:val="0"/>
              </w:rPr>
              <w:t xml:space="preserve">Đất ở</w:t>
            </w:r>
            <w:r>
              <w:rPr>
                <w:b w:val="0"/>
                <w:bCs w:val="0"/>
              </w:rPr>
            </w:r>
            <w:r>
              <w:rPr>
                <w:b w:val="0"/>
                <w:bCs w:val="0"/>
              </w:rPr>
            </w:r>
          </w:p>
        </w:tc>
        <w:tc>
          <w:tcPr>
            <w:tcBorders/>
            <w:tcW w:w="1701" w:type="dxa"/>
            <w:vAlign w:val="center"/>
            <w:textDirection w:val="lrTb"/>
            <w:noWrap/>
          </w:tcPr>
          <w:p>
            <w:pPr>
              <w:pBdr/>
              <w:spacing w:after="40" w:before="40" w:line="288" w:lineRule="auto"/>
              <w:ind/>
              <w:jc w:val="center"/>
              <w:rPr>
                <w:color w:val="000000"/>
              </w:rPr>
            </w:pPr>
            <w:r>
              <w:rPr>
                <w:color w:val="000000" w:themeColor="text1"/>
              </w:rPr>
              <w:t xml:space="preserve">248</w:t>
            </w:r>
            <w:r>
              <w:rPr>
                <w:color w:val="000000"/>
              </w:rPr>
            </w:r>
            <w:r>
              <w:rPr>
                <w:color w:val="000000"/>
              </w:rPr>
            </w:r>
          </w:p>
        </w:tc>
        <w:tc>
          <w:tcPr>
            <w:shd w:val="clear" w:color="000000" w:fill="ffffff"/>
            <w:tcBorders/>
            <w:tcW w:w="2268" w:type="dxa"/>
            <w:vAlign w:val="center"/>
            <w:textDirection w:val="lrTb"/>
            <w:noWrap w:val="false"/>
          </w:tcPr>
          <w:p>
            <w:pPr>
              <w:pBdr/>
              <w:spacing w:after="40" w:before="40" w:line="288" w:lineRule="auto"/>
              <w:ind/>
              <w:jc w:val="center"/>
              <w:rPr/>
            </w:pPr>
            <w:r>
              <w:rPr>
                <w:color w:val="000000" w:themeColor="text1"/>
              </w:rPr>
              <w:t xml:space="preserve">30.000.000</w:t>
            </w:r>
            <w:r/>
          </w:p>
        </w:tc>
        <w:tc>
          <w:tcPr>
            <w:shd w:val="clear" w:color="000000" w:fill="ffffff"/>
            <w:tcBorders/>
            <w:tcW w:w="2410" w:type="dxa"/>
            <w:vAlign w:val="center"/>
            <w:textDirection w:val="lrTb"/>
            <w:noWrap w:val="false"/>
          </w:tcPr>
          <w:p>
            <w:pPr>
              <w:pBdr/>
              <w:spacing w:after="40" w:before="40" w:line="288" w:lineRule="auto"/>
              <w:ind/>
              <w:jc w:val="center"/>
              <w:rPr/>
            </w:pPr>
            <w:r>
              <w:rPr>
                <w:color w:val="000000" w:themeColor="text1"/>
              </w:rPr>
              <w:t xml:space="preserve">7.440.000.000</w:t>
            </w:r>
            <w:r/>
          </w:p>
        </w:tc>
      </w:tr>
      <w:tr>
        <w:trPr>
          <w:trHeight w:val="20"/>
        </w:trPr>
        <w:tc>
          <w:tcPr>
            <w:shd w:val="clear" w:color="000000" w:fill="ffffff"/>
            <w:tcBorders/>
            <w:tcW w:w="756" w:type="dxa"/>
            <w:vAlign w:val="center"/>
            <w:vMerge w:val="restart"/>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390" w:type="dxa"/>
            <w:vAlign w:val="center"/>
            <w:vMerge w:val="restart"/>
            <w:textDirection w:val="lrTb"/>
            <w:noWrap w:val="false"/>
          </w:tcPr>
          <w:p>
            <w:pPr>
              <w:pBdr/>
              <w:spacing w:after="40" w:before="40" w:line="288" w:lineRule="auto"/>
              <w:ind/>
              <w:rPr>
                <w:b w:val="0"/>
                <w:bCs w:val="0"/>
              </w:rPr>
            </w:pPr>
            <w:r>
              <w:rPr>
                <w:b w:val="0"/>
                <w:bCs w:val="0"/>
              </w:rPr>
              <w:t xml:space="preserve">Đất trồng cây lâu năm</w:t>
            </w:r>
            <w:r>
              <w:rPr>
                <w:b w:val="0"/>
                <w:bCs w:val="0"/>
              </w:rPr>
            </w:r>
            <w:r>
              <w:rPr>
                <w:b w:val="0"/>
                <w:bCs w:val="0"/>
              </w:rPr>
            </w:r>
          </w:p>
        </w:tc>
        <w:tc>
          <w:tcPr>
            <w:tcBorders/>
            <w:tcW w:w="1701" w:type="dxa"/>
            <w:vAlign w:val="center"/>
            <w:vMerge w:val="restart"/>
            <w:textDirection w:val="lrTb"/>
            <w:noWrap/>
          </w:tcPr>
          <w:p>
            <w:pPr>
              <w:pBdr/>
              <w:spacing w:after="40" w:before="40" w:line="288" w:lineRule="auto"/>
              <w:ind/>
              <w:jc w:val="center"/>
              <w:rPr>
                <w:color w:val="000000" w:themeColor="text1"/>
              </w:rPr>
            </w:pPr>
            <w:r>
              <w:rPr>
                <w:color w:val="000000" w:themeColor="text1"/>
              </w:rPr>
              <w:t xml:space="preserve">63</w:t>
            </w:r>
            <w:r>
              <w:rPr>
                <w:color w:val="000000" w:themeColor="text1"/>
              </w:rPr>
            </w:r>
            <w:r>
              <w:rPr>
                <w:color w:val="000000" w:themeColor="text1"/>
              </w:rPr>
            </w:r>
          </w:p>
        </w:tc>
        <w:tc>
          <w:tcPr>
            <w:shd w:val="clear" w:color="000000" w:fill="ffffff"/>
            <w:tcBorders/>
            <w:tcW w:w="2268"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182.000</w:t>
            </w:r>
            <w:r>
              <w:rPr>
                <w:color w:val="000000" w:themeColor="text1"/>
              </w:rPr>
            </w:r>
            <w:r>
              <w:rPr>
                <w:color w:val="000000" w:themeColor="text1"/>
              </w:rPr>
            </w:r>
          </w:p>
        </w:tc>
        <w:tc>
          <w:tcPr>
            <w:shd w:val="clear" w:color="000000" w:fill="ffffff"/>
            <w:tcBorders/>
            <w:tcW w:w="2410" w:type="dxa"/>
            <w:vAlign w:val="center"/>
            <w:vMerge w:val="restart"/>
            <w:textDirection w:val="lrTb"/>
            <w:noWrap w:val="false"/>
          </w:tcPr>
          <w:p>
            <w:pPr>
              <w:pBdr/>
              <w:spacing w:after="40" w:before="40" w:line="288" w:lineRule="auto"/>
              <w:ind/>
              <w:jc w:val="center"/>
              <w:rPr>
                <w:color w:val="000000" w:themeColor="text1"/>
              </w:rPr>
            </w:pPr>
            <w:r>
              <w:rPr>
                <w:color w:val="000000" w:themeColor="text1"/>
              </w:rPr>
              <w:t xml:space="preserve">11.466.000</w:t>
            </w:r>
            <w:r>
              <w:rPr>
                <w:color w:val="000000" w:themeColor="text1"/>
              </w:rPr>
            </w:r>
            <w:r>
              <w:rPr>
                <w:color w:val="000000" w:themeColor="text1"/>
              </w:rPr>
            </w:r>
          </w:p>
        </w:tc>
      </w:tr>
      <w:tr>
        <w:trPr>
          <w:trHeight w:val="20"/>
        </w:trPr>
        <w:tc>
          <w:tcPr>
            <w:gridSpan w:val="4"/>
            <w:tcBorders/>
            <w:tcW w:w="711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410" w:type="dxa"/>
            <w:vAlign w:val="center"/>
            <w:textDirection w:val="lrTb"/>
            <w:noWrap/>
          </w:tcPr>
          <w:p>
            <w:pPr>
              <w:pBdr/>
              <w:spacing w:after="40" w:before="40" w:line="288" w:lineRule="auto"/>
              <w:ind/>
              <w:jc w:val="center"/>
              <w:rPr>
                <w:b/>
                <w:bCs/>
                <w:color w:val="000000"/>
              </w:rPr>
            </w:pPr>
            <w:r>
              <w:rPr>
                <w:b/>
                <w:bCs/>
              </w:rPr>
              <w:t xml:space="preserve">7.451.466.000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Bảy tỷ bốn trăm </w:t>
            </w:r>
            <w:r>
              <w:rPr>
                <w:b/>
                <w:bCs/>
                <w:i/>
                <w:iCs/>
                <w:color w:val="000000"/>
              </w:rPr>
              <w:t xml:space="preserve">năm</w:t>
            </w:r>
            <w:r>
              <w:rPr>
                <w:b/>
                <w:bCs/>
                <w:i/>
                <w:iCs/>
                <w:color w:val="000000"/>
              </w:rPr>
              <w:t xml:space="preserve"> mươi mốt triệu bốn trăm sáu mươi sáu nghìn đồng chẵn</w:t>
            </w:r>
            <w:r>
              <w:rPr>
                <w:b/>
                <w:bCs/>
                <w:i/>
                <w:iCs/>
                <w:color w:val="000000"/>
              </w:rPr>
              <w:t xml:space="preserve">./.)</w:t>
            </w:r>
            <w:r>
              <w:rPr>
                <w:b/>
                <w:bCs/>
                <w:i/>
                <w:iCs/>
                <w:color w:val="000000"/>
              </w:rPr>
            </w:r>
            <w:r>
              <w:rPr>
                <w:b/>
                <w:bCs/>
                <w:i/>
                <w:iCs/>
                <w:color w:val="000000"/>
              </w:rPr>
            </w:r>
          </w:p>
        </w:tc>
      </w:tr>
    </w:tbl>
    <w:p>
      <w:pPr>
        <w:pStyle w:val="103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5"/>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3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35"/>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3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35"/>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35"/>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35"/>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3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3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rFonts w:ascii="Times New Roman" w:hAnsi="Times New Roman" w:eastAsia="Times New Roman" w:cs="Times New Roman"/>
          <w:sz w:val="24"/>
        </w:rPr>
      </w:pPr>
      <w:r>
        <w:rPr>
          <w:bCs/>
          <w:spacing w:val="-2"/>
          <w:lang w:val="pt-BR"/>
        </w:rPr>
      </w:r>
      <w:r>
        <w:rPr>
          <w:spacing w:val="-4"/>
          <w:lang w:val="pt-BR"/>
        </w:rPr>
        <w:t xml:space="preserve">Căn </w:t>
      </w:r>
      <w:r>
        <w:rPr>
          <w:rFonts w:ascii="Times New Roman" w:hAnsi="Times New Roman" w:eastAsia="Times New Roman" w:cs="Times New Roman"/>
          <w:color w:val="000000"/>
          <w:sz w:val="24"/>
        </w:rPr>
        <w:t xml:space="preserve">cứ theo hiện trạng khảo sát thực tế dưới sự hướng dẫn của Khách hàng, có CTXD là nhà 1 tầng, không được ghi nhận GCN số BB 487909, xây hết đất, xây dựng năm 2020</w:t>
      </w:r>
      <w:r>
        <w:rPr>
          <w:rFonts w:ascii="Times New Roman" w:hAnsi="Times New Roman" w:eastAsia="Times New Roman" w:cs="Times New Roman"/>
          <w:color w:val="000000"/>
          <w:sz w:val="24"/>
        </w:rPr>
        <w:t xml:space="preserve">. Theo đề nghị của Ngân hàng/Khách hàng, Tổ thẩm định không xác định giá trị của công trình xâ</w:t>
      </w:r>
      <w:r>
        <w:rPr>
          <w:rFonts w:ascii="Times New Roman" w:hAnsi="Times New Roman" w:eastAsia="Times New Roman" w:cs="Times New Roman"/>
          <w:color w:val="000000"/>
          <w:sz w:val="24"/>
        </w:rPr>
        <w:t xml:space="preserve">y dựng vào tổng giá trị, nhưng vẫn coi đó là phần không thể tách rời của tài sản thẩm định. Kính đề nghị đơn </w:t>
      </w:r>
      <w:r>
        <w:rPr>
          <w:rFonts w:ascii="Times New Roman" w:hAnsi="Times New Roman" w:eastAsia="Times New Roman" w:cs="Times New Roman"/>
          <w:color w:val="000000"/>
          <w:sz w:val="24"/>
          <w:highlight w:val="white"/>
        </w:rPr>
        <w:t xml:space="preserve">vị sử dụng kết quả lưu ý.</w:t>
      </w:r>
      <w:r>
        <w:rPr>
          <w:rFonts w:ascii="Times New Roman" w:hAnsi="Times New Roman" w:eastAsia="Times New Roman" w:cs="Times New Roman"/>
          <w:sz w:val="24"/>
        </w:rPr>
      </w:r>
      <w:r>
        <w:rPr>
          <w:rFonts w:ascii="Times New Roman" w:hAnsi="Times New Roman" w:eastAsia="Times New Roman" w:cs="Times New Roman"/>
          <w:sz w:val="24"/>
        </w:rPr>
      </w:r>
    </w:p>
    <w:p>
      <w:pPr>
        <w:pStyle w:val="103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5"/>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3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5"/>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35"/>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3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275/2026/0125/VFI-CT.51.A</w:t>
      </w:r>
      <w:r>
        <w:rPr>
          <w:color w:val="ff0000"/>
          <w:lang w:val="vi-VN"/>
        </w:rPr>
        <w:t xml:space="preserve"> </w:t>
      </w:r>
      <w:r>
        <w:rPr>
          <w:color w:val="000000" w:themeColor="text1"/>
        </w:rPr>
        <w:t xml:space="preserve">ngày 19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jc w:val="center"/>
        <w:rPr>
          <w:b/>
          <w:bCs/>
          <w:u w:val="single"/>
          <w:lang w:val="vi-VN"/>
        </w:rPr>
      </w:pPr>
      <w:r>
        <w:rPr>
          <w:b/>
          <w:highlight w:val="none"/>
          <w:lang w:val="pt-BR"/>
        </w:rPr>
      </w:r>
      <w:r>
        <w:rPr>
          <w:b/>
          <w:highlight w:val="none"/>
          <w:lang w:val="pt-BR"/>
        </w:rPr>
      </w:r>
      <w:r>
        <w:rPr>
          <w:b/>
          <w:bCs/>
          <w:u w:val="single"/>
          <w:lang w:val="vi-VN"/>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w:t>
      </w:r>
      <w:r>
        <w:rPr>
          <w:b/>
        </w:rPr>
        <w:t xml:space="preserve">N</w:t>
      </w:r>
      <w:r>
        <w:rPr>
          <w:b/>
          <w:lang w:val="vi-VN"/>
        </w:rPr>
        <w:t xml:space="preserve"> HIỆN TRẠNG</w:t>
      </w:r>
      <w:r>
        <w:rPr>
          <w:b/>
          <w:lang w:val="pt-BR"/>
        </w:rPr>
        <w:t xml:space="preserve"> </w:t>
      </w:r>
      <w:r>
        <w:rPr>
          <w:b/>
          <w:lang w:val="pt-BR"/>
        </w:rPr>
        <w:t xml:space="preserve">VÀ PHÁP LÝ </w:t>
      </w:r>
      <w:r>
        <w:rPr>
          <w:b/>
          <w:lang w:val="pt-BR"/>
        </w:rPr>
        <w:t xml:space="preserve">CỦ</w:t>
      </w:r>
      <w:r>
        <w:rPr>
          <w:b/>
          <w:lang w:val="pt-BR"/>
        </w:rPr>
        <w:t xml:space="preserve">A TÀI SẢN</w:t>
      </w:r>
      <w:r>
        <w:rPr>
          <w:b/>
          <w:u w:val="single"/>
          <w:lang w:val="vi-VN"/>
        </w:rPr>
      </w:r>
      <w:r>
        <w:rPr>
          <w:b/>
          <w:bCs/>
          <w:highlight w:val="none"/>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275/2026/0125/VFI-BC.5</w:t>
      </w:r>
      <w:r>
        <w:rPr>
          <w:i/>
          <w:highlight w:val="white"/>
        </w:rPr>
        <w:t xml:space="preserve">1.A ngày</w:t>
      </w:r>
      <w:r>
        <w:rPr>
          <w:i/>
          <w:highlight w:val="white"/>
          <w:lang w:val="pt-BR"/>
        </w:rPr>
        <w:t xml:space="preserve"> </w:t>
      </w:r>
      <w:r>
        <w:rPr>
          <w:i/>
          <w:highlight w:val="white"/>
          <w:lang w:val="pt-BR"/>
        </w:rPr>
        <w:t xml:space="preserve">19</w:t>
      </w:r>
      <w:r>
        <w:rPr>
          <w:i/>
          <w:lang w:val="pt-BR"/>
        </w:rPr>
        <w:t xml:space="preserve"> tháng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20771" cy="245985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412350" name=""/>
                              <pic:cNvPicPr>
                                <a:picLocks noChangeAspect="1"/>
                              </pic:cNvPicPr>
                              <pic:nvPr/>
                            </pic:nvPicPr>
                            <pic:blipFill rotWithShape="1">
                              <a:blip r:embed="rId19"/>
                              <a:stretch/>
                            </pic:blipFill>
                            <pic:spPr bwMode="auto">
                              <a:xfrm flipH="0" flipV="0">
                                <a:off x="0" y="0"/>
                                <a:ext cx="2520771" cy="24598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98.49pt;height:193.69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5298" cy="216397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18745" name=""/>
                              <pic:cNvPicPr>
                                <a:picLocks noChangeAspect="1"/>
                              </pic:cNvPicPr>
                              <pic:nvPr/>
                            </pic:nvPicPr>
                            <pic:blipFill rotWithShape="1">
                              <a:blip r:embed="rId20"/>
                              <a:stretch/>
                            </pic:blipFill>
                            <pic:spPr bwMode="auto">
                              <a:xfrm flipH="0" flipV="0">
                                <a:off x="0" y="0"/>
                                <a:ext cx="2885298" cy="21639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7.19pt;height:170.39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60340" cy="192025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870140" name=""/>
                              <pic:cNvPicPr>
                                <a:picLocks noChangeAspect="1"/>
                              </pic:cNvPicPr>
                              <pic:nvPr/>
                            </pic:nvPicPr>
                            <pic:blipFill rotWithShape="1">
                              <a:blip r:embed="rId21"/>
                              <a:stretch/>
                            </pic:blipFill>
                            <pic:spPr bwMode="auto">
                              <a:xfrm flipH="0" flipV="0">
                                <a:off x="0" y="0"/>
                                <a:ext cx="2560339" cy="19202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1.60pt;height:151.2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52440" cy="213933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052122" name=""/>
                              <pic:cNvPicPr>
                                <a:picLocks noChangeAspect="1"/>
                              </pic:cNvPicPr>
                              <pic:nvPr/>
                            </pic:nvPicPr>
                            <pic:blipFill rotWithShape="1">
                              <a:blip r:embed="rId22"/>
                              <a:stretch/>
                            </pic:blipFill>
                            <pic:spPr bwMode="auto">
                              <a:xfrm flipH="0" flipV="0">
                                <a:off x="0" y="0"/>
                                <a:ext cx="2852439" cy="21393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4.60pt;height:168.45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32085" cy="18990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20023" name=""/>
                              <pic:cNvPicPr>
                                <a:picLocks noChangeAspect="1"/>
                              </pic:cNvPicPr>
                              <pic:nvPr/>
                            </pic:nvPicPr>
                            <pic:blipFill rotWithShape="1">
                              <a:blip r:embed="rId23"/>
                              <a:stretch/>
                            </pic:blipFill>
                            <pic:spPr bwMode="auto">
                              <a:xfrm flipH="0" flipV="0">
                                <a:off x="0" y="0"/>
                                <a:ext cx="2532084" cy="189906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99.38pt;height:149.53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31380" cy="212353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14806" name=""/>
                              <pic:cNvPicPr>
                                <a:picLocks noChangeAspect="1"/>
                              </pic:cNvPicPr>
                              <pic:nvPr/>
                            </pic:nvPicPr>
                            <pic:blipFill rotWithShape="1">
                              <a:blip r:embed="rId24"/>
                              <a:stretch/>
                            </pic:blipFill>
                            <pic:spPr bwMode="auto">
                              <a:xfrm flipH="0" flipV="0">
                                <a:off x="0" y="0"/>
                                <a:ext cx="2831379" cy="21235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2.94pt;height:167.21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b/>
          <w:bCs/>
          <w:highlight w:val="none"/>
        </w:rPr>
      </w:pPr>
      <w:r>
        <w:rPr>
          <w:b/>
          <w:highlight w:val="none"/>
        </w:rPr>
        <w:t xml:space="preserve">GIẤY CHỨNG NHẬN QUYỀN SỬ DỤNG ĐẤT</w:t>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3795253"/>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06535" name=""/>
                        <pic:cNvPicPr>
                          <a:picLocks noChangeAspect="1"/>
                        </pic:cNvPicPr>
                        <pic:nvPr/>
                      </pic:nvPicPr>
                      <pic:blipFill rotWithShape="1">
                        <a:blip r:embed="rId25"/>
                        <a:stretch/>
                      </pic:blipFill>
                      <pic:spPr bwMode="auto">
                        <a:xfrm flipH="0" flipV="0">
                          <a:off x="0" y="0"/>
                          <a:ext cx="6048374" cy="3795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76.25pt;height:298.84pt;mso-wrap-distance-left:0.00pt;mso-wrap-distance-top:0.00pt;mso-wrap-distance-right:0.00pt;mso-wrap-distance-bottom:0.00pt;z-index:1;" stroked="false">
                <v:imagedata r:id="rId25"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28731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05039" name=""/>
                        <pic:cNvPicPr>
                          <a:picLocks noChangeAspect="1"/>
                        </pic:cNvPicPr>
                        <pic:nvPr/>
                      </pic:nvPicPr>
                      <pic:blipFill rotWithShape="1">
                        <a:blip r:embed="rId26"/>
                        <a:stretch/>
                      </pic:blipFill>
                      <pic:spPr bwMode="auto">
                        <a:xfrm>
                          <a:off x="0" y="0"/>
                          <a:ext cx="6048374" cy="42873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337.58pt;mso-wrap-distance-left:0.00pt;mso-wrap-distance-top:0.00pt;mso-wrap-distance-right:0.00pt;mso-wrap-distance-bottom:0.00pt;z-index:1;" stroked="false">
                <v:imagedata r:id="rId26"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highlight w:val="none"/>
        </w:rPr>
      </w:r>
      <w:r>
        <mc:AlternateContent>
          <mc:Choice Requires="wpg">
            <w:drawing>
              <wp:inline xmlns:wp="http://schemas.openxmlformats.org/drawingml/2006/wordprocessingDrawing" distT="0" distB="0" distL="0" distR="0">
                <wp:extent cx="6048375" cy="429072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519779" name=""/>
                        <pic:cNvPicPr>
                          <a:picLocks noChangeAspect="1"/>
                        </pic:cNvPicPr>
                        <pic:nvPr/>
                      </pic:nvPicPr>
                      <pic:blipFill rotWithShape="1">
                        <a:blip r:embed="rId27"/>
                        <a:stretch/>
                      </pic:blipFill>
                      <pic:spPr bwMode="auto">
                        <a:xfrm>
                          <a:off x="0" y="0"/>
                          <a:ext cx="6048374" cy="429072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337.85pt;mso-wrap-distance-left:0.00pt;mso-wrap-distance-top:0.00pt;mso-wrap-distance-right:0.00pt;mso-wrap-distance-bottom:0.00pt;z-index:1;" stroked="false">
                <v:imagedata r:id="rId27"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highlight w:val="none"/>
          <w:lang w:val="pt-BR" w:bidi="pt-BR"/>
        </w:rPr>
        <w:t xml:space="preserve">BIÊN BẢN KHẢO SÁT</w:t>
      </w:r>
      <w:r>
        <w:rPr>
          <w:b/>
          <w:bCs/>
          <w:highlight w:val="none"/>
          <w:lang w:val="pt-BR" w:bidi="pt-BR"/>
        </w:rPr>
      </w:r>
      <w:r>
        <w:rPr>
          <w:b/>
          <w:bCs/>
          <w:highlight w:val="none"/>
          <w:lang w:val="pt-BR" w:bidi="pt-BR"/>
        </w:rPr>
      </w:r>
    </w:p>
    <w:p>
      <w:pPr>
        <w:pBdr/>
        <w:spacing w:after="200" w:line="276" w:lineRule="auto"/>
        <w:ind/>
        <w:jc w:val="center"/>
        <w:rPr>
          <w:bCs/>
          <w:i/>
          <w:lang w:val="pt-BR"/>
        </w:rPr>
      </w:pPr>
      <w:r>
        <w:rPr>
          <w:b/>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289296" name=""/>
                        <pic:cNvPicPr>
                          <a:picLocks noChangeAspect="1"/>
                        </pic:cNvPicPr>
                        <pic:nvPr/>
                      </pic:nvPicPr>
                      <pic:blipFill rotWithShape="1">
                        <a:blip r:embed="rId28"/>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635.00pt;mso-wrap-distance-left:0.00pt;mso-wrap-distance-top:0.00pt;mso-wrap-distance-right:0.00pt;mso-wrap-distance-bottom:0.00pt;z-index:1;" stroked="false">
                <v:imagedata r:id="rId28" o:title=""/>
                <o:lock v:ext="edit" rotation="t"/>
              </v:shape>
            </w:pict>
          </mc:Fallback>
        </mc:AlternateContent>
      </w:r>
      <w:r>
        <w:rPr>
          <w:bCs/>
          <w:i/>
          <w:lang w:val="pt-BR"/>
        </w:rPr>
      </w:r>
      <w:r>
        <w:rPr>
          <w:bCs/>
          <w:i/>
          <w:lang w:val="pt-BR"/>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highlight w:val="none"/>
        </w:rPr>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w:t>
      </w:r>
      <w:r>
        <w:rPr>
          <w:b/>
          <w:lang w:val="vi-VN"/>
        </w:rPr>
        <w:t xml:space="preserve"> TIN THU THẬP THỊ TRƯ</w:t>
      </w:r>
      <w:r>
        <w:rPr>
          <w:b/>
          <w:lang w:val="vi-VN"/>
        </w:rPr>
        <w:t xml:space="preserve">ỜN</w:t>
      </w:r>
      <w:r>
        <w:rPr>
          <w:b/>
        </w:rPr>
        <w:t xml:space="preserve">G</w:t>
      </w:r>
      <w:r>
        <w:rPr>
          <w:b/>
          <w:bCs/>
          <w:highlight w:val="none"/>
        </w:rPr>
      </w:r>
      <w:r>
        <w:rPr>
          <w:b/>
          <w:bCs/>
          <w:highlight w:val="none"/>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275/2026/0125/VFI-BC.5</w:t>
      </w:r>
      <w:r>
        <w:rPr>
          <w:i/>
          <w:highlight w:val="none"/>
        </w:rPr>
        <w:t xml:space="preserve">1.A ngày</w:t>
      </w:r>
      <w:r>
        <w:rPr>
          <w:i/>
          <w:highlight w:val="none"/>
          <w:lang w:val="pt-BR"/>
        </w:rPr>
        <w:t xml:space="preserve"> </w:t>
      </w:r>
      <w:r>
        <w:rPr>
          <w:i/>
          <w:highlight w:val="none"/>
          <w:lang w:val="pt-BR"/>
        </w:rPr>
        <w:t xml:space="preserve">19 thán</w:t>
      </w:r>
      <w:r>
        <w:rPr>
          <w:i/>
          <w:lang w:val="pt-BR"/>
        </w:rPr>
        <w:t xml:space="preserve">g 1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https://www.facebook.com/groups/1420410968313542/posts/2618214898533137/</w:t>
            </w:r>
            <w:r>
              <w:rPr>
                <w:color w:val="000000" w:themeColor="text1"/>
                <w:sz w:val="22"/>
                <w:szCs w:val="22"/>
              </w:rPr>
              <w:br/>
              <w:t xml:space="preserve">Loan Can</w:t>
            </w:r>
            <w:r>
              <w:rPr>
                <w:sz w:val="22"/>
                <w:szCs w:val="22"/>
              </w:rPr>
              <w:t xml:space="preserve"> </w:t>
            </w:r>
            <w:r>
              <w:rPr>
                <w:sz w:val="22"/>
                <w:szCs w:val="22"/>
              </w:rPr>
              <w:t xml:space="preserve">(0963607662</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3.900.000.000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Tình</w:t>
            </w:r>
            <w:r>
              <w:rPr>
                <w:color w:val="000000"/>
                <w:sz w:val="22"/>
                <w:szCs w:val="22"/>
                <w:highlight w:val="none"/>
              </w:rPr>
              <w:t xml:space="preserve"> </w:t>
            </w:r>
            <w:r>
              <w:rPr>
                <w:color w:val="000000"/>
                <w:sz w:val="22"/>
                <w:szCs w:val="22"/>
                <w:highlight w:val="none"/>
              </w:rPr>
              <w:t xml:space="preserve">trạng</w:t>
            </w:r>
            <w:r>
              <w:rPr>
                <w:color w:val="000000"/>
                <w:sz w:val="22"/>
                <w:szCs w:val="22"/>
                <w:highlight w:val="none"/>
              </w:rPr>
              <w:t xml:space="preserve"> </w:t>
            </w:r>
            <w:r>
              <w:rPr>
                <w:color w:val="000000"/>
                <w:sz w:val="22"/>
                <w:szCs w:val="22"/>
                <w:highlight w:val="none"/>
              </w:rPr>
              <w:t xml:space="preserve">giao</w:t>
            </w:r>
            <w:r>
              <w:rPr>
                <w:color w:val="000000"/>
                <w:sz w:val="22"/>
                <w:szCs w:val="22"/>
                <w:highlight w:val="none"/>
              </w:rPr>
              <w:t xml:space="preserve"> </w:t>
            </w:r>
            <w:r>
              <w:rPr>
                <w:color w:val="000000"/>
                <w:sz w:val="22"/>
                <w:szCs w:val="22"/>
                <w:highlight w:val="none"/>
              </w:rPr>
              <w:t xml:space="preserve">dịch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yellow"/>
              </w:rPr>
            </w:pPr>
            <w:r>
              <w:rPr>
                <w:sz w:val="22"/>
                <w:szCs w:val="22"/>
                <w:highlight w:val="none"/>
              </w:rPr>
              <w:t xml:space="preserve">Đang giao dịch</w:t>
            </w:r>
            <w:r>
              <w:rPr>
                <w:sz w:val="22"/>
                <w:szCs w:val="22"/>
                <w:highlight w:val="yellow"/>
              </w:rPr>
            </w:r>
            <w:r>
              <w:rPr>
                <w:sz w:val="22"/>
                <w:szCs w:val="22"/>
                <w:highlight w:val="yellow"/>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Tháng 01/2026</w:t>
            </w:r>
            <w:r>
              <w:rPr>
                <w:sz w:val="22"/>
                <w:szCs w:val="22"/>
                <w:highlight w:val="none"/>
              </w:rPr>
            </w:r>
            <w:r>
              <w:rPr>
                <w:sz w:val="22"/>
                <w:szCs w:val="22"/>
                <w:highlight w:val="none"/>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Chàng Sơn, Huyện Thạch Thất,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Lợi</w:t>
            </w:r>
            <w:r>
              <w:rPr>
                <w:color w:val="000000"/>
                <w:sz w:val="22"/>
                <w:szCs w:val="22"/>
                <w:highlight w:val="none"/>
              </w:rPr>
              <w:t xml:space="preserve"> </w:t>
            </w:r>
            <w:r>
              <w:rPr>
                <w:color w:val="000000"/>
                <w:sz w:val="22"/>
                <w:szCs w:val="22"/>
                <w:highlight w:val="none"/>
              </w:rPr>
              <w:t xml:space="preserve">thế</w:t>
            </w:r>
            <w:r>
              <w:rPr>
                <w:color w:val="000000"/>
                <w:sz w:val="22"/>
                <w:szCs w:val="22"/>
                <w:highlight w:val="none"/>
              </w:rPr>
              <w:t xml:space="preserve"> </w:t>
            </w:r>
            <w:r>
              <w:rPr>
                <w:color w:val="000000"/>
                <w:sz w:val="22"/>
                <w:szCs w:val="22"/>
                <w:highlight w:val="none"/>
              </w:rPr>
              <w:t xml:space="preserve">kinh</w:t>
            </w:r>
            <w:r>
              <w:rPr>
                <w:color w:val="000000"/>
                <w:sz w:val="22"/>
                <w:szCs w:val="22"/>
                <w:highlight w:val="none"/>
              </w:rPr>
              <w:t xml:space="preserve"> </w:t>
            </w:r>
            <w:r>
              <w:rPr>
                <w:color w:val="000000"/>
                <w:sz w:val="22"/>
                <w:szCs w:val="22"/>
                <w:highlight w:val="none"/>
              </w:rPr>
              <w:t xml:space="preserve">doanh</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Khá</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gần khu vực tâm linh (Miếu thờ cúng tâm linh, đình, đền, chùa…) [30m:&lt;=100m]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21265" cy="17266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707254165" name="" descr=""/>
                              <pic:cNvPicPr/>
                              <pic:nvPr/>
                            </pic:nvPicPr>
                            <pic:blipFill rotWithShape="1">
                              <a:blip r:embed="rId29"/>
                              <a:stretch/>
                            </pic:blipFill>
                            <pic:spPr bwMode="auto">
                              <a:xfrm flipH="0" flipV="0">
                                <a:off x="0" y="0"/>
                                <a:ext cx="2321264" cy="17266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2.78pt;height:135.96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Đăng Hiếu</w:t>
            </w:r>
            <w:r/>
          </w:p>
        </w:tc>
      </w:tr>
    </w:tbl>
    <w:p>
      <w:pPr>
        <w:pBdr/>
        <w:spacing w:after="200" w:line="276" w:lineRule="auto"/>
        <w:ind/>
        <w:jc w:val="left"/>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https://www.facebook.com/share/p/17tFFd18nx/</w:t>
            </w:r>
            <w:r>
              <w:rPr>
                <w:color w:val="000000" w:themeColor="text1"/>
                <w:sz w:val="22"/>
                <w:szCs w:val="22"/>
              </w:rPr>
              <w:br/>
            </w:r>
            <w:r>
              <w:rPr>
                <w:color w:val="000000" w:themeColor="text1"/>
                <w:sz w:val="22"/>
                <w:szCs w:val="22"/>
              </w:rPr>
              <w:t xml:space="preserve"> </w:t>
            </w:r>
            <w:r>
              <w:rPr>
                <w:color w:val="000000" w:themeColor="text1"/>
                <w:sz w:val="22"/>
                <w:szCs w:val="22"/>
              </w:rPr>
              <w:t xml:space="preserve">0971 809 295</w:t>
            </w:r>
            <w:r>
              <w:rPr>
                <w:sz w:val="22"/>
                <w:szCs w:val="22"/>
              </w:rPr>
              <w:t xml:space="preserve"> </w:t>
            </w:r>
            <w:r>
              <w:rPr>
                <w:sz w:val="22"/>
                <w:szCs w:val="22"/>
              </w:rPr>
              <w:br/>
              <w:t xml:space="preserve">(Phường Nhi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5.522.500.000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4.970.250.000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Chàng Sơn, Huyện Thạch Thất, Thành phố Hà Nội, Cách trục chính Chàng Sơn khoảng 100m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15,81</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highlight w:val="yellow"/>
              </w:rPr>
            </w:pPr>
            <w:r>
              <w:rPr>
                <w:color w:val="000000"/>
                <w:sz w:val="22"/>
                <w:szCs w:val="22"/>
                <w:highlight w:val="yellow"/>
              </w:rPr>
            </w:r>
            <w:r>
              <mc:AlternateContent>
                <mc:Choice Requires="wpg">
                  <w:drawing>
                    <wp:inline xmlns:wp="http://schemas.openxmlformats.org/drawingml/2006/wordprocessingDrawing" distT="0" distB="0" distL="0" distR="0">
                      <wp:extent cx="2454615" cy="193201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365647" name=""/>
                              <pic:cNvPicPr>
                                <a:picLocks noChangeAspect="1"/>
                              </pic:cNvPicPr>
                              <pic:nvPr/>
                            </pic:nvPicPr>
                            <pic:blipFill rotWithShape="1">
                              <a:blip r:embed="rId30"/>
                              <a:stretch/>
                            </pic:blipFill>
                            <pic:spPr bwMode="auto">
                              <a:xfrm flipH="0" flipV="0">
                                <a:off x="0" y="0"/>
                                <a:ext cx="2454615" cy="19320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93.28pt;height:152.13pt;mso-wrap-distance-left:0.00pt;mso-wrap-distance-top:0.00pt;mso-wrap-distance-right:0.00pt;mso-wrap-distance-bottom:0.00pt;z-index:1;" stroked="false">
                      <v:imagedata r:id="rId30" o:title=""/>
                      <o:lock v:ext="edit" rotation="t"/>
                    </v:shape>
                  </w:pict>
                </mc:Fallback>
              </mc:AlternateContent>
            </w:r>
            <w:r>
              <w:rPr>
                <w:color w:val="000000"/>
                <w:sz w:val="22"/>
                <w:szCs w:val="22"/>
                <w:highlight w:val="yellow"/>
              </w:rPr>
              <w:t xml:space="preserve"> </w:t>
            </w:r>
            <w:r>
              <w:rPr>
                <w:color w:val="000000"/>
                <w:sz w:val="22"/>
                <w:szCs w:val="22"/>
                <w:highlight w:val="yellow"/>
              </w:rPr>
              <w:t xml:space="preserve"> </w:t>
            </w:r>
            <w:r>
              <w:rPr>
                <w:color w:val="000000"/>
                <w:sz w:val="22"/>
                <w:szCs w:val="22"/>
                <w:highlight w:val="yellow"/>
              </w:rPr>
              <w:t xml:space="preserve"> </w:t>
            </w:r>
            <w:r>
              <w:rPr>
                <w:color w:val="000000"/>
                <w:sz w:val="22"/>
                <w:szCs w:val="22"/>
                <w:highlight w:val="yellow"/>
              </w:rPr>
              <w:t xml:space="preserve"> </w:t>
            </w:r>
            <w:r>
              <w:rPr>
                <w:color w:val="000000"/>
                <w:sz w:val="22"/>
                <w:szCs w:val="22"/>
                <w:highlight w:val="yellow"/>
              </w:rPr>
              <w:t xml:space="preserve"> </w:t>
            </w:r>
            <w:r>
              <mc:AlternateContent>
                <mc:Choice Requires="wpg">
                  <w:drawing>
                    <wp:inline xmlns:wp="http://schemas.openxmlformats.org/drawingml/2006/wordprocessingDrawing" distT="0" distB="0" distL="0" distR="0">
                      <wp:extent cx="2768608" cy="193201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95426" name=""/>
                              <pic:cNvPicPr>
                                <a:picLocks noChangeAspect="1"/>
                              </pic:cNvPicPr>
                              <pic:nvPr/>
                            </pic:nvPicPr>
                            <pic:blipFill rotWithShape="1">
                              <a:blip r:embed="rId31"/>
                              <a:stretch/>
                            </pic:blipFill>
                            <pic:spPr bwMode="auto">
                              <a:xfrm flipH="0" flipV="0">
                                <a:off x="0" y="0"/>
                                <a:ext cx="2768608" cy="19320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8.00pt;height:152.13pt;mso-wrap-distance-left:0.00pt;mso-wrap-distance-top:0.00pt;mso-wrap-distance-right:0.00pt;mso-wrap-distance-bottom:0.00pt;z-index:1;" stroked="false">
                      <v:imagedata r:id="rId31" o:title=""/>
                      <o:lock v:ext="edit" rotation="t"/>
                    </v:shape>
                  </w:pict>
                </mc:Fallback>
              </mc:AlternateContent>
            </w:r>
            <w:r>
              <w:rPr>
                <w:color w:val="000000"/>
                <w:sz w:val="22"/>
                <w:szCs w:val="22"/>
                <w:highlight w:val="yellow"/>
              </w:rPr>
            </w:r>
            <w:r>
              <w:rPr>
                <w:color w:val="000000"/>
                <w:sz w:val="22"/>
                <w:szCs w:val="22"/>
                <w:highlight w:val="yellow"/>
              </w:rPr>
            </w:r>
          </w:p>
          <w:p>
            <w:pPr>
              <w:pBdr/>
              <w:spacing w:line="276" w:lineRule="auto"/>
              <w:ind/>
              <w:rPr>
                <w:b/>
                <w:bCs/>
                <w:sz w:val="22"/>
                <w:szCs w:val="22"/>
                <w:highlight w:val="yellow"/>
              </w:rPr>
            </w:pPr>
            <w:r>
              <w:rPr>
                <w:color w:val="000000"/>
                <w:sz w:val="22"/>
                <w:szCs w:val="22"/>
                <w:highlight w:val="yellow"/>
              </w:rPr>
            </w:r>
            <w:r>
              <w:rPr>
                <w:color w:val="000000"/>
                <w:sz w:val="22"/>
                <w:szCs w:val="22"/>
                <w:highlight w:val="yellow"/>
              </w:rPr>
              <w:t xml:space="preserve"> </w:t>
            </w:r>
            <w:r>
              <w:rPr>
                <w:color w:val="000000"/>
                <w:sz w:val="22"/>
                <w:szCs w:val="22"/>
                <w:highlight w:val="yellow"/>
              </w:rPr>
              <w:t xml:space="preserve"> </w:t>
            </w:r>
            <w:r>
              <w:rPr>
                <w:b/>
                <w:bCs/>
                <w:sz w:val="22"/>
                <w:szCs w:val="22"/>
                <w:highlight w:val="yellow"/>
              </w:rPr>
            </w:r>
            <w:r>
              <w:rPr>
                <w:b/>
                <w:bCs/>
                <w:sz w:val="22"/>
                <w:szCs w:val="22"/>
                <w:highlight w:val="yellow"/>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https://batdongsan.com.vn/ban-dat-xa-binh-phu-9/chinh-chu-can-ban-lo-50m2-tai-phu-pr42085687</w:t>
            </w:r>
            <w:r>
              <w:rPr>
                <w:color w:val="000000" w:themeColor="text1"/>
                <w:sz w:val="22"/>
                <w:szCs w:val="22"/>
              </w:rPr>
              <w:br/>
            </w:r>
            <w:r>
              <w:rPr>
                <w:sz w:val="22"/>
                <w:szCs w:val="22"/>
              </w:rPr>
              <w:t xml:space="preserve">SĐT: </w:t>
            </w:r>
            <w:r>
              <w:rPr>
                <w:color w:val="000000" w:themeColor="text1"/>
                <w:sz w:val="22"/>
                <w:szCs w:val="22"/>
              </w:rPr>
              <w:t xml:space="preserve">0984770983</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01/2026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Bình Phú, Huyện Thạch Thất, Thành phố Hà Nội,Tài sản cách đường trục chính thôn khoảng 170m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highlight w:val="none"/>
              </w:rPr>
            </w:pPr>
            <w:r>
              <w:rPr>
                <w:color w:val="000000" w:themeColor="text1"/>
                <w:sz w:val="22"/>
                <w:szCs w:val="22"/>
                <w:highlight w:val="none"/>
              </w:rPr>
              <w:t xml:space="preserve">7,22</w:t>
            </w:r>
            <w:r>
              <w:rPr>
                <w:sz w:val="22"/>
                <w:szCs w:val="22"/>
                <w:highlight w:val="none"/>
              </w:rPr>
            </w:r>
            <w:r>
              <w:rPr>
                <w:sz w:val="22"/>
                <w:szCs w:val="22"/>
                <w:highlight w:val="non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Ngõ cụt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highlight w:val="none"/>
              </w:rPr>
            </w:pPr>
            <w:r>
              <w:rPr>
                <w:color w:val="000000"/>
                <w:sz w:val="22"/>
                <w:szCs w:val="22"/>
                <w:highlight w:val="none"/>
              </w:rPr>
              <w:t xml:space="preserve">Bằng</w:t>
            </w:r>
            <w:r>
              <w:rPr>
                <w:color w:val="000000"/>
                <w:sz w:val="22"/>
                <w:szCs w:val="22"/>
                <w:highlight w:val="none"/>
              </w:rPr>
              <w:t xml:space="preserve"> </w:t>
            </w:r>
            <w:r>
              <w:rPr>
                <w:color w:val="000000"/>
                <w:sz w:val="22"/>
                <w:szCs w:val="22"/>
                <w:highlight w:val="none"/>
              </w:rPr>
              <w:t xml:space="preserve">chứng</w:t>
            </w:r>
            <w:r>
              <w:rPr>
                <w:color w:val="000000"/>
                <w:sz w:val="22"/>
                <w:szCs w:val="22"/>
                <w:highlight w:val="none"/>
              </w:rPr>
              <w:t xml:space="preserve"> </w:t>
            </w:r>
            <w:r>
              <w:rPr>
                <w:color w:val="000000"/>
                <w:sz w:val="22"/>
                <w:szCs w:val="22"/>
                <w:highlight w:val="none"/>
              </w:rPr>
              <w:t xml:space="preserve">thu</w:t>
            </w:r>
            <w:r>
              <w:rPr>
                <w:color w:val="000000"/>
                <w:sz w:val="22"/>
                <w:szCs w:val="22"/>
                <w:highlight w:val="none"/>
              </w:rPr>
              <w:t xml:space="preserve"> </w:t>
            </w:r>
            <w:r>
              <w:rPr>
                <w:color w:val="000000"/>
                <w:sz w:val="22"/>
                <w:szCs w:val="22"/>
                <w:highlight w:val="none"/>
              </w:rPr>
              <w:t xml:space="preserve">thập</w:t>
            </w:r>
            <w:r>
              <w:rPr>
                <w:color w:val="000000"/>
                <w:sz w:val="22"/>
                <w:szCs w:val="22"/>
                <w:highlight w:val="none"/>
              </w:rPr>
            </w:r>
            <w:r>
              <w:rPr>
                <w:color w:val="000000"/>
                <w:sz w:val="22"/>
                <w:szCs w:val="22"/>
                <w:highlight w:val="none"/>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216490" cy="1638815"/>
                      <wp:effectExtent l="0" t="0" r="0" b="0"/>
                      <wp:docPr id="19" name=""/>
                      <wp:cNvGraphicFramePr/>
                      <a:graphic xmlns:a="http://schemas.openxmlformats.org/drawingml/2006/main">
                        <a:graphicData uri="http://schemas.openxmlformats.org/drawingml/2006/picture">
                          <pic:pic xmlns:pic="http://schemas.openxmlformats.org/drawingml/2006/picture">
                            <pic:nvPicPr>
                              <pic:cNvPr id="535640163" name="" descr=""/>
                              <pic:cNvPicPr/>
                              <pic:nvPr/>
                            </pic:nvPicPr>
                            <pic:blipFill rotWithShape="1">
                              <a:blip r:embed="rId32"/>
                              <a:stretch/>
                            </pic:blipFill>
                            <pic:spPr bwMode="auto">
                              <a:xfrm flipH="0" flipV="0">
                                <a:off x="0" y="0"/>
                                <a:ext cx="2216488" cy="163881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74.53pt;height:129.0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5065" cy="1602835"/>
                      <wp:effectExtent l="0" t="0" r="0" b="0"/>
                      <wp:docPr id="20" name=""/>
                      <wp:cNvGraphicFramePr/>
                      <a:graphic xmlns:a="http://schemas.openxmlformats.org/drawingml/2006/main">
                        <a:graphicData uri="http://schemas.openxmlformats.org/drawingml/2006/picture">
                          <pic:pic xmlns:pic="http://schemas.openxmlformats.org/drawingml/2006/picture">
                            <pic:nvPicPr>
                              <pic:cNvPr id="1055774886" name="" descr=""/>
                              <pic:cNvPicPr/>
                              <pic:nvPr/>
                            </pic:nvPicPr>
                            <pic:blipFill rotWithShape="1">
                              <a:blip r:embed="rId33"/>
                              <a:stretch/>
                            </pic:blipFill>
                            <pic:spPr bwMode="auto">
                              <a:xfrm flipH="0" flipV="0">
                                <a:off x="0" y="0"/>
                                <a:ext cx="2245063" cy="160283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76.78pt;height:126.21pt;mso-wrap-distance-left:0.00pt;mso-wrap-distance-top:0.00pt;mso-wrap-distance-right:0.00pt;mso-wrap-distance-bottom:0.00pt;z-index:1;" stroked="false">
                      <v:imagedata r:id="rId33" o:title=""/>
                      <o:lock v:ext="edit" rotation="t"/>
                    </v:shape>
                  </w:pict>
                </mc:Fallback>
              </mc:AlternateConten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Đăng Hiếu</w:t>
            </w: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D90B59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8">
    <w:nsid w:val="3D90B59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39">
    <w:nsid w:val="16EB9D75"/>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0">
    <w:nsid w:val="3D90B59B"/>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name w:val="Unresolved Mention"/>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onehousing.vn/blog/bat-dong-san-huyen-thach-that-tiem-nang-va-vi-tri-dep-n17t" TargetMode="External"/><Relationship Id="rId18" Type="http://schemas.openxmlformats.org/officeDocument/2006/relationships/image" Target="media/image3.png"/><Relationship Id="rId19" Type="http://schemas.openxmlformats.org/officeDocument/2006/relationships/image" Target="media/image4.jp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279</cp:revision>
  <dcterms:created xsi:type="dcterms:W3CDTF">2025-09-15T09:58:00Z</dcterms:created>
  <dcterms:modified xsi:type="dcterms:W3CDTF">2026-01-23T09:21:23Z</dcterms:modified>
</cp:coreProperties>
</file>