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25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254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275/2026/0017/VFI-CT.65.A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Huyền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rFonts w:ascii="Times New Roman" w:hAnsi="Times New Roman" w:eastAsia="Times New Roman" w:cs="Times New Roman"/>
                                <w:color w:val="000000"/>
                                <w:sz w:val="24"/>
                              </w:rPr>
                              <w:t xml:space="preserve">Quyền sử dụng đất tại thửa đất số: 244, tờ bản đồ số: 14 có địa chỉ: Thôn Thượng Thanh, xã Thanh Cao,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DE 647096, số vào sổ cấp GCN: CS-TO 10894 do Sở tài nguyên và môi trường thành phố Hà Nội cấp ngày 01/07/2022; chủ sử dụng đất là Ông Ngô Văn Tuân và Bà Nguyễn Thị Huyền.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3.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275/2026/0017/VFI-CT.65.A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Huyền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rFonts w:ascii="Times New Roman" w:hAnsi="Times New Roman" w:eastAsia="Times New Roman" w:cs="Times New Roman"/>
                          <w:color w:val="000000"/>
                          <w:sz w:val="24"/>
                        </w:rPr>
                        <w:t xml:space="preserve">Quyền sử dụng đất tại thửa đất số: 244, tờ bản đồ số: 14 có địa chỉ: Thôn Thượng Thanh, xã Thanh Cao,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DE 647096, số vào sổ cấp GCN: CS-TO 10894 do Sở tài nguyên và môi trường thành phố Hà Nội cấp ngày 01/07/2022; chủ sử dụng đất là Ông Ngô Văn Tuân và Bà Nguyễn Thị Huyền.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23-28</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0"/>
        <w:gridCol w:w="1276"/>
        <w:gridCol w:w="3118"/>
        <w:gridCol w:w="5244"/>
      </w:tblGrid>
      <w:tr>
        <w:trPr>
          <w:trHeight w:val="1559"/>
        </w:trPr>
        <w:tc>
          <w:tcPr>
            <w:gridSpan w:val="2"/>
            <w:tcBorders/>
            <w:tcW w:w="1446"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52"/>
        </w:trPr>
        <w:tc>
          <w:tcPr>
            <w:gridSpan w:val="2"/>
            <w:shd w:val="clear" w:color="auto" w:fill="auto"/>
            <w:tcBorders/>
            <w:tcMar>
              <w:left w:w="108" w:type="dxa"/>
              <w:top w:w="0" w:type="dxa"/>
              <w:right w:w="108" w:type="dxa"/>
              <w:bottom w:w="0" w:type="dxa"/>
            </w:tcMar>
            <w:tcW w:w="4394"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275/2026/0017/VFI-CT.65.A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44"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Bà </w:t>
      </w:r>
      <w:r>
        <w:rPr>
          <w:rFonts w:ascii="Times New Roman Bold" w:hAnsi="Times New Roman Bold"/>
          <w:b/>
          <w:color w:val="000000" w:themeColor="text1"/>
          <w:lang w:val="pt-BR"/>
        </w:rPr>
        <w:t xml:space="preserve">Nguyễn Thị Huyền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275/2026/0017/VFI-HĐTĐ.65.A</w:t>
      </w:r>
      <w:r>
        <w:rPr>
          <w:spacing w:val="-4"/>
          <w:lang w:val="vi-VN"/>
        </w:rPr>
        <w:t xml:space="preserve"> ký ngày </w:t>
      </w:r>
      <w:r>
        <w:rPr>
          <w:color w:val="000000" w:themeColor="text1"/>
          <w:spacing w:val="-4"/>
        </w:rPr>
        <w:t xml:space="preserve">6 tháng 1 năm 2026</w:t>
      </w:r>
      <w:r>
        <w:rPr>
          <w:spacing w:val="-4"/>
          <w:lang w:val="vi-VN"/>
        </w:rPr>
        <w:t xml:space="preserve"> </w:t>
      </w:r>
      <w:r>
        <w:rPr>
          <w:spacing w:val="-4"/>
          <w:lang w:val="vi-VN"/>
        </w:rPr>
        <w:t xml:space="preserve">gi</w:t>
      </w:r>
      <w:r>
        <w:rPr>
          <w:color w:val="000000" w:themeColor="text1"/>
          <w:spacing w:val="-4"/>
          <w:lang w:val="vi-VN"/>
        </w:rPr>
        <w:t xml:space="preserve">ữa </w:t>
      </w:r>
      <w:r>
        <w:rPr>
          <w:color w:val="000000" w:themeColor="text1"/>
          <w:spacing w:val="-4"/>
          <w:lang w:val="vi-VN"/>
        </w:rPr>
        <w:t xml:space="preserve">bà </w:t>
      </w:r>
      <w:r>
        <w:rPr>
          <w:color w:val="000000" w:themeColor="text1"/>
          <w:spacing w:val="-4"/>
        </w:rPr>
        <w:t xml:space="preserve">Nguyễn Thị Huyền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275/2026/0017/VFI-BC.65.A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70"/>
        <w:gridCol w:w="452"/>
        <w:gridCol w:w="6832"/>
      </w:tblGrid>
      <w:tr>
        <w:trPr>
          <w:trHeight w:val="20"/>
        </w:trPr>
        <w:tc>
          <w:tcPr>
            <w:tcBorders/>
            <w:tcMar>
              <w:left w:w="108" w:type="dxa"/>
              <w:top w:w="0" w:type="dxa"/>
              <w:right w:w="108" w:type="dxa"/>
              <w:bottom w:w="0" w:type="dxa"/>
            </w:tcMar>
            <w:tcW w:w="2070" w:type="dxa"/>
            <w:vAlign w:val="center"/>
            <w:textDirection w:val="lrTb"/>
            <w:noWrap w:val="false"/>
          </w:tcPr>
          <w:p w14:paraId="39C156D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52" w:type="dxa"/>
            <w:vAlign w:val="center"/>
            <w:textDirection w:val="lrTb"/>
            <w:noWrap w:val="false"/>
          </w:tcPr>
          <w:p w14:paraId="1CAFA88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36F320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Nguyễn Thị Huyền</w:t>
            </w:r>
            <w:r/>
          </w:p>
        </w:tc>
      </w:tr>
      <w:tr>
        <w:trPr>
          <w:trHeight w:val="20"/>
        </w:trPr>
        <w:tc>
          <w:tcPr>
            <w:tcBorders/>
            <w:tcMar>
              <w:left w:w="108" w:type="dxa"/>
              <w:top w:w="0" w:type="dxa"/>
              <w:right w:w="108" w:type="dxa"/>
              <w:bottom w:w="0" w:type="dxa"/>
            </w:tcMar>
            <w:tcW w:w="2070" w:type="dxa"/>
            <w:vAlign w:val="center"/>
            <w:textDirection w:val="lrTb"/>
            <w:noWrap w:val="false"/>
          </w:tcPr>
          <w:p w14:paraId="7D718B6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452" w:type="dxa"/>
            <w:vAlign w:val="center"/>
            <w:textDirection w:val="lrTb"/>
            <w:noWrap w:val="false"/>
          </w:tcPr>
          <w:p w14:paraId="17D48BDD">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0F20D5B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001189029165</w:t>
            </w:r>
            <w:r/>
          </w:p>
        </w:tc>
      </w:tr>
      <w:tr>
        <w:trPr>
          <w:trHeight w:val="20"/>
        </w:trPr>
        <w:tc>
          <w:tcPr>
            <w:tcBorders/>
            <w:tcMar>
              <w:left w:w="108" w:type="dxa"/>
              <w:top w:w="0" w:type="dxa"/>
              <w:right w:w="108" w:type="dxa"/>
              <w:bottom w:w="0" w:type="dxa"/>
            </w:tcMar>
            <w:tcW w:w="2070" w:type="dxa"/>
            <w:vAlign w:val="center"/>
            <w:textDirection w:val="lrTb"/>
            <w:noWrap w:val="false"/>
          </w:tcPr>
          <w:p w14:paraId="1D87F78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452" w:type="dxa"/>
            <w:vAlign w:val="center"/>
            <w:textDirection w:val="lrTb"/>
            <w:noWrap w:val="false"/>
          </w:tcPr>
          <w:p w14:paraId="22E8BCC5">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76F72D6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1989</w:t>
            </w:r>
            <w:r/>
          </w:p>
        </w:tc>
      </w:tr>
      <w:tr>
        <w:trPr>
          <w:trHeight w:val="20"/>
        </w:trPr>
        <w:tc>
          <w:tcPr>
            <w:tcBorders/>
            <w:tcMar>
              <w:left w:w="108" w:type="dxa"/>
              <w:top w:w="0" w:type="dxa"/>
              <w:right w:w="108" w:type="dxa"/>
              <w:bottom w:w="0" w:type="dxa"/>
            </w:tcMar>
            <w:tcW w:w="2070" w:type="dxa"/>
            <w:vAlign w:val="center"/>
            <w:textDirection w:val="lrTb"/>
            <w:noWrap w:val="false"/>
          </w:tcPr>
          <w:p w14:paraId="31FD374C">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452" w:type="dxa"/>
            <w:vAlign w:val="center"/>
            <w:textDirection w:val="lrTb"/>
            <w:noWrap w:val="false"/>
          </w:tcPr>
          <w:p w14:paraId="3C8BE74D">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3E2E9C7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Đản Viên, xã Thanh Cao, huyện Thanh Oai (nay là xã Bình Minh,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244, tờ bản đồ số: 14 có địa chỉ: Thôn Thượng Thanh, xã Thanh Cao,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DE 647096, số vào sổ cấp GCN: CS-TO 10894 do Sở tài nguyên và môi trường thành phố Hà Nội cấp ngày 01/07/2022; chủ sử dụng đất là Ông Ngô Văn Tuân và Bà Nguyễn Thị Huyền.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8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15"/>
        <w:gridCol w:w="1802"/>
        <w:gridCol w:w="2448"/>
        <w:gridCol w:w="1980"/>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31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448"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80"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65" w:type="dxa"/>
            <w:vAlign w:val="center"/>
            <w:textDirection w:val="lrTb"/>
            <w:noWrap w:val="false"/>
          </w:tcPr>
          <w:p w14:paraId="72715A6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tại thửa đất số: 244, tờ bản đồ số: 14 có địa chỉ: Thôn Thượng Thanh, xã Thanh Cao,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DE 647096, số vào sổ cấp GCN: CS-TO 10894 do Sở tài nguyên và môi trường thành phố Hà Nội cấp ngày 01/07/2022; chủ sử dụng đất là Ông Ngô Văn Tuân và Bà Nguyễn Thị Huyền.</w:t>
            </w:r>
            <w:r>
              <w:rPr>
                <w:rFonts w:ascii="Times New Roman" w:hAnsi="Times New Roman" w:eastAsia="Times New Roman" w:cs="Times New Roman"/>
                <w:sz w:val="24"/>
              </w:rPr>
            </w:r>
            <w:r/>
          </w:p>
        </w:tc>
        <w:tc>
          <w:tcPr>
            <w:shd w:val="clear" w:color="000000" w:fill="ffffff"/>
            <w:tcBorders/>
            <w:tcW w:w="1980"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315"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65</w:t>
            </w:r>
            <w:r>
              <w:rPr>
                <w:color w:val="000000"/>
              </w:rPr>
            </w:r>
            <w:r>
              <w:rPr>
                <w:color w:val="000000"/>
              </w:rPr>
            </w:r>
          </w:p>
        </w:tc>
        <w:tc>
          <w:tcPr>
            <w:shd w:val="clear" w:color="000000" w:fill="ffffff"/>
            <w:tcBorders/>
            <w:tcW w:w="2448" w:type="dxa"/>
            <w:vAlign w:val="center"/>
            <w:textDirection w:val="lrTb"/>
            <w:noWrap w:val="false"/>
          </w:tcPr>
          <w:p w14:paraId="17452EA0" w14:textId="137C4E73">
            <w:pPr>
              <w:pBdr/>
              <w:spacing w:after="40" w:before="40" w:line="288" w:lineRule="auto"/>
              <w:ind/>
              <w:jc w:val="center"/>
              <w:rPr/>
            </w:pPr>
            <w:r>
              <w:rPr>
                <w:color w:val="000000" w:themeColor="text1"/>
              </w:rPr>
              <w:t xml:space="preserve">88.000.000</w:t>
            </w:r>
            <w:r/>
          </w:p>
        </w:tc>
        <w:tc>
          <w:tcPr>
            <w:shd w:val="clear" w:color="000000" w:fill="ffffff"/>
            <w:tcBorders/>
            <w:tcW w:w="1980" w:type="dxa"/>
            <w:vAlign w:val="center"/>
            <w:textDirection w:val="lrTb"/>
            <w:noWrap w:val="false"/>
          </w:tcPr>
          <w:p w14:paraId="541A62B3" w14:textId="4458BA38">
            <w:pPr>
              <w:pBdr/>
              <w:spacing w:after="40" w:before="40" w:line="288" w:lineRule="auto"/>
              <w:ind/>
              <w:jc w:val="center"/>
              <w:rPr/>
            </w:pPr>
            <w:r>
              <w:rPr>
                <w:color w:val="000000" w:themeColor="text1"/>
              </w:rPr>
              <w:t xml:space="preserve">5.720.000.000</w:t>
            </w:r>
            <w:r/>
          </w:p>
        </w:tc>
      </w:tr>
      <w:tr>
        <w:trPr>
          <w:trHeight w:val="20"/>
        </w:trPr>
        <w:tc>
          <w:tcPr>
            <w:gridSpan w:val="4"/>
            <w:tcBorders/>
            <w:tcW w:w="7518"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0" w:type="dxa"/>
            <w:vAlign w:val="center"/>
            <w:textDirection w:val="lrTb"/>
            <w:noWrap/>
          </w:tcPr>
          <w:p w14:paraId="7A87A4E8" w14:textId="3B02AB71">
            <w:pPr>
              <w:pBdr/>
              <w:spacing w:after="40" w:before="40" w:line="288" w:lineRule="auto"/>
              <w:ind/>
              <w:jc w:val="center"/>
              <w:rPr>
                <w:b/>
                <w:bCs/>
                <w:color w:val="000000"/>
              </w:rPr>
            </w:pPr>
            <w:r>
              <w:t xml:space="preserve">5.720.000.000</w:t>
            </w:r>
            <w:r>
              <w:rPr>
                <w:b/>
                <w:bCs/>
                <w:color w:val="000000"/>
              </w:rPr>
            </w:r>
            <w:r>
              <w:rPr>
                <w:b/>
                <w:bCs/>
                <w:color w:val="000000"/>
              </w:rPr>
            </w:r>
          </w:p>
        </w:tc>
      </w:tr>
      <w:tr>
        <w:trPr>
          <w:trHeight w:val="20"/>
        </w:trPr>
        <w:tc>
          <w:tcPr>
            <w:gridSpan w:val="4"/>
            <w:tcBorders/>
            <w:tcW w:w="7518"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0"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5.720.000.000</w:t>
            </w:r>
            <w:r>
              <w:rPr>
                <w:b/>
                <w:bCs/>
                <w:color w:val="000000"/>
              </w:rPr>
            </w:r>
            <w:r>
              <w:rPr>
                <w:b/>
                <w:bCs/>
                <w:color w:val="000000"/>
              </w:rPr>
            </w:r>
          </w:p>
        </w:tc>
      </w:tr>
      <w:tr>
        <w:trPr>
          <w:trHeight w:val="20"/>
        </w:trPr>
        <w:tc>
          <w:tcPr>
            <w:gridSpan w:val="5"/>
            <w:tcBorders/>
            <w:tcW w:w="9498"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bảy trăm hai mươi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9808" w:type="dxa"/>
        <w:tblBorders/>
        <w:tblLayout w:type="fixed"/>
        <w:tblLook w:val="04A0" w:firstRow="1" w:lastRow="0" w:firstColumn="1" w:lastColumn="0" w:noHBand="0" w:noVBand="1"/>
      </w:tblPr>
      <w:tblGrid>
        <w:gridCol w:w="170"/>
        <w:gridCol w:w="1276"/>
        <w:gridCol w:w="3118"/>
        <w:gridCol w:w="5244"/>
      </w:tblGrid>
      <w:tr>
        <w:trPr>
          <w:trHeight w:val="1559"/>
        </w:trPr>
        <w:tc>
          <w:tcPr>
            <w:gridSpan w:val="2"/>
            <w:tcBorders/>
            <w:tcW w:w="1446" w:type="dxa"/>
            <w:textDirection w:val="lrTb"/>
            <w:noWrap w:val="false"/>
          </w:tcPr>
          <w:p w14:paraId="07E0033D">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5812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14:paraId="37739B6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6248B079">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3120CAC8">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B93F7B1">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52"/>
        </w:trPr>
        <w:tc>
          <w:tcPr>
            <w:gridSpan w:val="2"/>
            <w:shd w:val="clear" w:color="ffffff" w:fill="ffffff"/>
            <w:tcBorders/>
            <w:tcMar>
              <w:left w:w="108" w:type="dxa"/>
              <w:top w:w="0" w:type="dxa"/>
              <w:right w:w="108" w:type="dxa"/>
              <w:bottom w:w="0" w:type="dxa"/>
            </w:tcMar>
            <w:tcW w:w="4394" w:type="dxa"/>
            <w:textDirection w:val="lrTb"/>
            <w:noWrap w:val="false"/>
          </w:tcPr>
          <w:p w14:paraId="0F4244C6">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275/2026/0017/VFI-CT.65.A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244" w:type="dxa"/>
            <w:textDirection w:val="lrTb"/>
            <w:noWrap w:val="false"/>
          </w:tcPr>
          <w:p w14:paraId="44E12D00">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275/2026/0017/VFI-CT.65.A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highlight w:val="none"/>
          <w:lang w:val="pt-BR"/>
        </w:rPr>
      </w:r>
      <w:r>
        <w:rPr>
          <w:b/>
          <w:bCs/>
          <w:highlight w:val="non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7ED0C676">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6BE8DFA8">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3EEF6D1C">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Nguyễn Thị Huyền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6002D886">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2A9C506D">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5F6ACBB4">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001189029165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5903A71C">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331820A">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3BAF450E">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1989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4E85E0C7">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21950A3">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0298B8A5">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Đản Viên, xã Thanh Cao, huyện Thanh Oai (nay là xã Bình Minh,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5C96AE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tại thửa đất số: 244, tờ bản đồ số: 14 có địa chỉ: Thôn Thượng Thanh, xã Thanh Cao,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DE 647096, số vào sổ cấp GCN: CS-TO 10894 do Sở tài nguyên và môi trường thành phố Hà Nội cấp ngày 01/07/2022; chủ sử dụng đất là Ông Ngô Văn Tuân và Bà Nguyễn Thị Huyền.</w:t>
            </w:r>
            <w:r>
              <w:rPr>
                <w:rFonts w:ascii="Times New Roman" w:hAnsi="Times New Roman" w:eastAsia="Times New Roman" w:cs="Times New Roman"/>
                <w:sz w:val="24"/>
              </w:rPr>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Thượng Thanh, xã Thanh Cao, huyện Thanh Oai, Thành phố Hà Nội (nay là 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20.892505, 105.755660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DE 647096, số vào sổ cấp GCN: CS-TO 10894 do Sở tài nguyên và môi trường thành phố Hà Nội cấp ngày 01/07/2022; chủ sử dụng đất là Ông Ngô Văn Tuân và Bà Nguyễn Thị Hu</w:t>
      </w:r>
      <w:r>
        <w:rPr>
          <w:rFonts w:ascii="Times New Roman" w:hAnsi="Times New Roman" w:eastAsia="Times New Roman" w:cs="Times New Roman"/>
          <w:color w:val="000000"/>
          <w:sz w:val="24"/>
        </w:rPr>
        <w:t xml:space="preserve">yền.</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275/2026/0017/VFI-HĐTĐ.65.A ngày 06/01/2026 giữa bà Nguyễn Thị Huyền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b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b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b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b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b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br/>
        <w:t xml:space="preserve">(https://thoibaotaichinhvietnam.vn/phac-hoa-quy-dao-bat-dong-san-ha-noi-2026-188581.html)</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67C18F4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tại thửa đất số: 244, tờ bản đồ số: 14 có địa chỉ: Thôn Thượng Thanh, xã Thanh Cao,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DE 647096, số vào sổ cấp GCN: CS-TO 10894 do Sở tài nguyên và môi trường thành phố Hà Nội cấp ngày 01/07/2022; chủ sử dụng đất là Ông Ngô Văn Tuân và Bà Nguyễn Thị Huyền.</w:t>
            </w:r>
            <w:r>
              <w:rPr>
                <w:rFonts w:ascii="Times New Roman" w:hAnsi="Times New Roman" w:eastAsia="Times New Roman" w:cs="Times New Roman"/>
                <w:sz w:val="24"/>
              </w:rPr>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244</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14</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Thượng Thanh, xã Thanh Cao, huyện Thanh Oai,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65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t xml:space="preserve">Nhận chuyển nhượng đất được công nhận QSD đất như giao đất có thu tiền sử dụng đất</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rPr>
              <w:t xml:space="preserve">Tài sản nằm tiếp giáp trục đường liên thôn cách QL21B khoảng 1 km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6292666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Nam: Tiếp giáp đường nhựa</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20.892505</w:t>
            </w:r>
            <w:r>
              <w:rPr>
                <w:color w:val="000000"/>
              </w:rPr>
              <w:t xml:space="preserve">, </w:t>
            </w:r>
            <w:r>
              <w:rPr>
                <w:color w:val="000000"/>
              </w:rPr>
              <w:t xml:space="preserve">105.755660</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65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16,25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t xml:space="preserve">T</w:t>
            </w:r>
            <w:r>
              <w:rPr>
                <w:color w:val="000000"/>
              </w:rPr>
              <w:t xml:space="preserve">ại thời điểm khảo sát, CTXD gắn liền với đất là Nhà 5,5 tầng xây hết đất, CTXD được xây dựng năm 2024. CTXD tại thời điểm khảo sát chưa  được chứng nhận trên Giấy chứng nhận quyền sử dụng đất quyền sở hữu nhà ở và tài sản khác gắn liền với đất số: DE 647096</w:t>
            </w:r>
            <w:r>
              <w:rPr>
                <w:color w:val="000000"/>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Thanh Cao, Huyện Thanh Oai, Thành phố Hà Nội (nay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Cao Viên, Huyện Thanh Oai, Thành phố Hà Nội </w:t>
            </w:r>
            <w:r>
              <w:rPr>
                <w:color w:val="000000" w:themeColor="text1"/>
                <w:sz w:val="22"/>
                <w:szCs w:val="22"/>
              </w:rPr>
              <w:t xml:space="preserve">(nay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Bình Minh, Huyện Thanh Oai, Thành phố Hà Nội </w:t>
            </w:r>
            <w:r>
              <w:rPr>
                <w:color w:val="000000" w:themeColor="text1"/>
                <w:sz w:val="22"/>
                <w:szCs w:val="22"/>
              </w:rPr>
              <w:t xml:space="preserve">(nay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Thanh Cao, Huyện Thanh Oai, Thành phố Hà Nội </w:t>
            </w:r>
            <w:r>
              <w:rPr>
                <w:color w:val="000000" w:themeColor="text1"/>
                <w:sz w:val="22"/>
                <w:szCs w:val="22"/>
              </w:rPr>
              <w:t xml:space="preserve">(nay là xã Bình Minh, thành phố Hà Nội)</w:t>
            </w:r>
            <w:r>
              <w:rPr>
                <w:sz w:val="22"/>
                <w:szCs w:val="22"/>
              </w:rPr>
            </w:r>
            <w:r>
              <w:rPr>
                <w:sz w:val="22"/>
                <w:szCs w:val="22"/>
              </w:rPr>
            </w:r>
          </w:p>
        </w:tc>
      </w:tr>
      <w:tr>
        <w:trPr>
          <w:trHeight w:val="19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https://alonhadat.com.vn/ban-dat-cao-vien-o-to-tranh-kinh-doanh-dinh-trong-de-16991136.html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Zalo_Nguyen Ba Thuong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0988391766</w:t>
            </w:r>
            <w:r>
              <w:rPr>
                <w:sz w:val="22"/>
                <w:szCs w:val="22"/>
              </w:rPr>
              <w:t xml:space="preserve"> </w:t>
            </w:r>
            <w:r>
              <w:rPr>
                <w:sz w:val="22"/>
                <w:szCs w:val="22"/>
              </w:rPr>
              <w:br/>
              <w:t xml:space="preserve">(anh </w:t>
            </w:r>
            <w:r>
              <w:rPr>
                <w:sz w:val="22"/>
                <w:szCs w:val="22"/>
              </w:rPr>
              <w:t xml:space="preserve">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0975622689</w:t>
            </w:r>
            <w:r>
              <w:rPr>
                <w:sz w:val="22"/>
                <w:szCs w:val="22"/>
              </w:rPr>
              <w:br/>
            </w:r>
            <w:r>
              <w:rPr>
                <w:sz w:val="22"/>
                <w:szCs w:val="22"/>
              </w:rPr>
              <w:t xml:space="preserve">(anh </w:t>
            </w:r>
            <w:r>
              <w:rPr>
                <w:sz w:val="22"/>
                <w:szCs w:val="22"/>
              </w:rPr>
              <w:t xml:space="preserve">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0989.535.239</w:t>
            </w:r>
            <w:r>
              <w:rPr>
                <w:sz w:val="22"/>
                <w:szCs w:val="22"/>
              </w:rPr>
              <w:br/>
            </w:r>
            <w:r>
              <w:rPr>
                <w:sz w:val="22"/>
                <w:szCs w:val="22"/>
              </w:rPr>
              <w:t xml:space="preserve">(</w:t>
            </w:r>
            <w:r>
              <w:rPr>
                <w:sz w:val="22"/>
                <w:szCs w:val="22"/>
              </w:rPr>
              <w:t xml:space="preserve">anh Giáp</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48847D">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Giấy chứng nhận quyền sử dụng đất</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T</w:t>
            </w:r>
            <w:r>
              <w:rPr>
                <w:color w:val="000000" w:themeColor="text1"/>
                <w:sz w:val="22"/>
                <w:szCs w:val="22"/>
              </w:rPr>
              <w:t xml:space="preserve">hanh Cao, Huyện Thanh Oai, Thành phố Hà Nội </w:t>
            </w:r>
            <w:r>
              <w:rPr>
                <w:color w:val="000000" w:themeColor="text1"/>
                <w:sz w:val="22"/>
                <w:szCs w:val="22"/>
              </w:rPr>
              <w:t xml:space="preserve"> (nay là xã Bình Minh, thành phố Hà Nội)</w:t>
            </w:r>
            <w:r>
              <w:rPr>
                <w:color w:val="000000" w:themeColor="text1"/>
                <w:sz w:val="22"/>
                <w:szCs w:val="22"/>
              </w:rPr>
              <w:t xml:space="preserve">, tài sản tiếp giáp mặt đường liên thôn, cách QL 21B khoảng 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Cao Viên, Huyện Thanh Oai, Thành phố Hà Nội </w:t>
            </w:r>
            <w:r>
              <w:rPr>
                <w:color w:val="000000" w:themeColor="text1"/>
                <w:sz w:val="22"/>
                <w:szCs w:val="22"/>
              </w:rPr>
              <w:t xml:space="preserve"> (nay là xã Bình Minh, thành phố Hà Nội)</w:t>
            </w:r>
            <w:r>
              <w:rPr>
                <w:color w:val="000000" w:themeColor="text1"/>
                <w:sz w:val="22"/>
                <w:szCs w:val="22"/>
              </w:rPr>
              <w:t xml:space="preserve">, Cách QL 21B khoảng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Bình Minh, Huyện Thanh Oai, Thà</w:t>
            </w:r>
            <w:r>
              <w:rPr>
                <w:color w:val="000000" w:themeColor="text1"/>
                <w:sz w:val="22"/>
                <w:szCs w:val="22"/>
              </w:rPr>
              <w:t xml:space="preserve">nh phố Hà Nội </w:t>
            </w:r>
            <w:r>
              <w:rPr>
                <w:color w:val="000000" w:themeColor="text1"/>
                <w:sz w:val="22"/>
                <w:szCs w:val="22"/>
              </w:rPr>
              <w:t xml:space="preserve"> (nay là xã Bình Minh, thành phố Hà Nội)</w:t>
            </w:r>
            <w:r>
              <w:rPr>
                <w:color w:val="000000" w:themeColor="text1"/>
                <w:sz w:val="22"/>
                <w:szCs w:val="22"/>
              </w:rPr>
              <w:t xml:space="preserve">, tài sản tiếp giáp đường Bình Minh-Thanh Cao cách QL21B khoảng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ài sản tại: Xã Thanh Cao, Huyện Thanh Oai, Thành phố Hà Nội </w:t>
            </w:r>
            <w:r>
              <w:rPr>
                <w:color w:val="000000" w:themeColor="text1"/>
                <w:sz w:val="22"/>
                <w:szCs w:val="22"/>
              </w:rPr>
              <w:t xml:space="preserve">(nay là xã Bình Minh, thành phố Hà Nội)</w:t>
            </w:r>
            <w:r>
              <w:rPr>
                <w:color w:val="000000" w:themeColor="text1"/>
                <w:sz w:val="22"/>
                <w:szCs w:val="22"/>
              </w:rPr>
              <w:t xml:space="preserve">, cách đường </w:t>
            </w:r>
            <w:r>
              <w:rPr>
                <w:color w:val="000000" w:themeColor="text1"/>
                <w:sz w:val="22"/>
                <w:szCs w:val="22"/>
              </w:rPr>
              <w:t xml:space="preserve">Bình Minh-Thanh Cao</w:t>
            </w:r>
            <w:r>
              <w:rPr>
                <w:color w:val="000000" w:themeColor="text1"/>
                <w:sz w:val="22"/>
                <w:szCs w:val="22"/>
              </w:rPr>
              <w:t xml:space="preserve"> khoảng 300m, cách QL21B khoảng 3km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4FF3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4FF3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5E6BC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5E6BC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5E6BC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554AE0">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554AE0">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554AE0">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1D8EB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1D8EB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1D8EB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0375CD5">
            <w:pPr>
              <w:pBdr/>
              <w:spacing/>
              <w:ind/>
              <w:jc w:val="center"/>
              <w:rPr>
                <w:color w:val="000000"/>
                <w:sz w:val="22"/>
                <w:szCs w:val="22"/>
                <w:highlight w:val="white"/>
              </w:rPr>
            </w:pPr>
            <w:r>
              <w:rPr>
                <w:color w:val="000000"/>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3A8A07F">
            <w:pPr>
              <w:pBdr/>
              <w:spacing/>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7C838E8">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1DC2AEB">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1CBDD70">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1CBDD70">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highlight w:val="white"/>
              </w:rPr>
            </w:pPr>
            <w:r>
              <w:rPr>
                <w:color w:val="000000"/>
                <w:sz w:val="22"/>
                <w:szCs w:val="22"/>
                <w:highlight w:val="white"/>
              </w:rPr>
              <w:t xml:space="preserve">21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highlight w:val="white"/>
              </w:rPr>
            </w:pPr>
            <w:r>
              <w:rPr>
                <w:color w:val="000000" w:themeColor="text1"/>
                <w:sz w:val="22"/>
                <w:szCs w:val="22"/>
                <w:highlight w:val="white"/>
              </w:rPr>
              <w:t xml:space="preserve">3.600.000.000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highlight w:val="white"/>
              </w:rPr>
            </w:pPr>
            <w:r>
              <w:rPr>
                <w:color w:val="000000" w:themeColor="text1"/>
                <w:sz w:val="22"/>
                <w:szCs w:val="22"/>
                <w:highlight w:val="white"/>
              </w:rPr>
              <w:t xml:space="preserve">10.200.000.000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highlight w:val="white"/>
              </w:rPr>
            </w:pPr>
            <w:r>
              <w:rPr>
                <w:color w:val="000000" w:themeColor="text1"/>
                <w:sz w:val="22"/>
                <w:szCs w:val="22"/>
                <w:highlight w:val="white"/>
              </w:rPr>
              <w:t xml:space="preserve">3.750.000.000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highlight w:val="white"/>
              </w:rPr>
            </w:pPr>
            <w:r>
              <w:rPr>
                <w:color w:val="000000"/>
                <w:sz w:val="22"/>
                <w:szCs w:val="22"/>
                <w:highlight w:val="white"/>
              </w:rPr>
              <w:t xml:space="preserve">22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highlight w:val="white"/>
              </w:rPr>
            </w:pPr>
            <w:r>
              <w:rPr>
                <w:color w:val="000000" w:themeColor="text1"/>
                <w:sz w:val="22"/>
                <w:szCs w:val="22"/>
                <w:highlight w:val="white"/>
              </w:rPr>
              <w:t xml:space="preserve">3.240.000.000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highlight w:val="white"/>
              </w:rPr>
            </w:pPr>
            <w:r>
              <w:rPr>
                <w:color w:val="000000" w:themeColor="text1"/>
                <w:sz w:val="22"/>
                <w:szCs w:val="22"/>
                <w:highlight w:val="white"/>
              </w:rPr>
              <w:t xml:space="preserve">9.180.000.000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highlight w:val="white"/>
              </w:rPr>
            </w:pPr>
            <w:r>
              <w:rPr>
                <w:color w:val="000000" w:themeColor="text1"/>
                <w:sz w:val="22"/>
                <w:szCs w:val="22"/>
                <w:highlight w:val="white"/>
              </w:rPr>
              <w:t xml:space="preserve">3.375.000.000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9.180.000.000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108.000.000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r>
            <w:commentRangeStart w:id="0"/>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commentRangeEnd w:id="0"/>
            <w:r>
              <w:commentReference w:id="0"/>
            </w: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2768E6">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themeColor="text1"/>
                <w:sz w:val="22"/>
                <w:szCs w:val="22"/>
              </w:rPr>
              <w:t xml:space="preserve">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2768E6">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2768E6">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themeColor="text1"/>
                <w:sz w:val="22"/>
                <w:szCs w:val="22"/>
              </w:rPr>
              <w:t xml:space="preserve">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2768E6">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themeColor="text1"/>
                <w:sz w:val="22"/>
                <w:szCs w:val="22"/>
              </w:rPr>
              <w:t xml:space="preserve">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9869D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9869D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3.240.000.000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9.180.000.000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3.375.000.000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108.000.000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0F7945">
            <w:pPr>
              <w:pBdr/>
              <w:spacing/>
              <w:ind/>
              <w:jc w:val="center"/>
              <w:rPr>
                <w:color w:val="000000"/>
                <w:sz w:val="22"/>
                <w:szCs w:val="22"/>
              </w:rPr>
            </w:pPr>
            <w:r>
              <w:rPr>
                <w:color w:val="000000" w:themeColor="text1"/>
                <w:sz w:val="22"/>
                <w:szCs w:val="22"/>
              </w:rPr>
              <w:t xml:space="preserve">Tài sản tại: Xã T</w:t>
            </w:r>
            <w:r>
              <w:rPr>
                <w:color w:val="000000" w:themeColor="text1"/>
                <w:sz w:val="22"/>
                <w:szCs w:val="22"/>
              </w:rPr>
              <w:t xml:space="preserve">hanh Cao, Huyện Thanh Oai, Thành phố Hà Nội </w:t>
            </w:r>
            <w:r>
              <w:rPr>
                <w:color w:val="000000" w:themeColor="text1"/>
                <w:sz w:val="22"/>
                <w:szCs w:val="22"/>
              </w:rPr>
              <w:t xml:space="preserve"> (nay là xã Bình Minh, thành phố Hà Nội)</w:t>
            </w:r>
            <w:r>
              <w:rPr>
                <w:color w:val="000000" w:themeColor="text1"/>
                <w:sz w:val="22"/>
                <w:szCs w:val="22"/>
              </w:rPr>
              <w:t xml:space="preserve">, tài sản tiếp giáp mặt đường liên thôn, cách QL 21B khoảng 1.3km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3AA213">
            <w:pPr>
              <w:pBdr/>
              <w:spacing/>
              <w:ind/>
              <w:jc w:val="center"/>
              <w:rPr>
                <w:color w:val="000000"/>
                <w:sz w:val="22"/>
                <w:szCs w:val="22"/>
              </w:rPr>
            </w:pPr>
            <w:r>
              <w:rPr>
                <w:color w:val="000000" w:themeColor="text1"/>
                <w:sz w:val="22"/>
                <w:szCs w:val="22"/>
              </w:rPr>
              <w:t xml:space="preserve">Tài sản tại: Xã Cao Viên, Huyện Thanh Oai, Thành phố Hà Nội </w:t>
            </w:r>
            <w:r>
              <w:rPr>
                <w:color w:val="000000" w:themeColor="text1"/>
                <w:sz w:val="22"/>
                <w:szCs w:val="22"/>
              </w:rPr>
              <w:t xml:space="preserve"> (nay là xã Bình Minh, thành phố Hà Nội)</w:t>
            </w:r>
            <w:r>
              <w:rPr>
                <w:color w:val="000000" w:themeColor="text1"/>
                <w:sz w:val="22"/>
                <w:szCs w:val="22"/>
              </w:rPr>
              <w:t xml:space="preserve">, Cách QL 21B khoảng 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81997E">
            <w:pPr>
              <w:pBdr/>
              <w:spacing/>
              <w:ind/>
              <w:jc w:val="center"/>
              <w:rPr>
                <w:color w:val="000000"/>
                <w:sz w:val="22"/>
                <w:szCs w:val="22"/>
              </w:rPr>
            </w:pPr>
            <w:r>
              <w:rPr>
                <w:color w:val="000000" w:themeColor="text1"/>
                <w:sz w:val="22"/>
                <w:szCs w:val="22"/>
              </w:rPr>
              <w:t xml:space="preserve">Tài sản tại: Xã Bình Minh, Huyện Thanh Oai, Thà</w:t>
            </w:r>
            <w:r>
              <w:rPr>
                <w:color w:val="000000" w:themeColor="text1"/>
                <w:sz w:val="22"/>
                <w:szCs w:val="22"/>
              </w:rPr>
              <w:t xml:space="preserve">nh phố Hà Nội </w:t>
            </w:r>
            <w:r>
              <w:rPr>
                <w:color w:val="000000" w:themeColor="text1"/>
                <w:sz w:val="22"/>
                <w:szCs w:val="22"/>
              </w:rPr>
              <w:t xml:space="preserve"> (nay là xã Bình Minh, thành phố Hà Nội)</w:t>
            </w:r>
            <w:r>
              <w:rPr>
                <w:color w:val="000000" w:themeColor="text1"/>
                <w:sz w:val="22"/>
                <w:szCs w:val="22"/>
              </w:rPr>
              <w:t xml:space="preserve">, tài sản tiếp giáp đường Bình Minh-Thanh Cao cách QL21B khoảng 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813A6A">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ài sản tại: Xã Thanh Cao, Huyện Thanh Oai, Thành phố Hà Nội </w:t>
            </w:r>
            <w:r>
              <w:rPr>
                <w:color w:val="000000" w:themeColor="text1"/>
                <w:sz w:val="22"/>
                <w:szCs w:val="22"/>
              </w:rPr>
              <w:t xml:space="preserve">(nay là xã Bình Minh, thành phố Hà Nội)</w:t>
            </w:r>
            <w:r>
              <w:rPr>
                <w:color w:val="000000" w:themeColor="text1"/>
                <w:sz w:val="22"/>
                <w:szCs w:val="22"/>
              </w:rPr>
              <w:t xml:space="preserve">, cách đường </w:t>
            </w:r>
            <w:r>
              <w:rPr>
                <w:color w:val="000000" w:themeColor="text1"/>
                <w:sz w:val="22"/>
                <w:szCs w:val="22"/>
              </w:rPr>
              <w:t xml:space="preserve">Bình Minh-Thanh Cao</w:t>
            </w:r>
            <w:r>
              <w:rPr>
                <w:color w:val="000000" w:themeColor="text1"/>
                <w:sz w:val="22"/>
                <w:szCs w:val="22"/>
              </w:rPr>
              <w:t xml:space="preserve"> khoảng 300m, cách QL21B khoảng 3km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6.204.044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112.320.000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68.244.485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9.257.143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6.204.044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101.828.572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106.920.000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74.448.529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-8.640.000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101.828.572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74.448.529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C1BB2C">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C1BB2C">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101.828.572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92.880.000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74.448.529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B0FE4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B0FE4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B0FE4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101.828.572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92.880.000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74.448.529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54,4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-9.257.143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-1.861.213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72.587.316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92.880.000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72.587.316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92.880.000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72.587.316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92.880.000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72.587.316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6.204.044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92.880.000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78.791.360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92.571.429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92.880.000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78.791.360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88.080.930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5,45%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-10,55%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18.514.286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34.560.000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20.473.345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15.120.000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16.750.919</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-10,55</w:t>
      </w:r>
      <w:r>
        <w:t xml:space="preserve">% </w:t>
      </w:r>
      <w:r>
        <w:t xml:space="preserve">đến</w:t>
      </w:r>
      <w:r>
        <w:t xml:space="preserve"> </w:t>
      </w:r>
      <w:r>
        <w:t xml:space="preserve"> </w:t>
      </w:r>
      <w:r>
        <w:t xml:space="preserve">5,1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92.571.429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30.863.314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92.880.000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30.956.904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78.791.360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26.261.160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88.081.378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88.000.000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244, tờ bản đồ số: 14 có địa chỉ: Thôn Thượng Thanh, xã Thanh Cao,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DE 647096, số vào sổ cấp GCN: CS-TO 10894 do Sở tài nguyên và môi trường thành phố Hà Nội cấp ngày 01/07/2022; chủ sử dụng đất là Ông Ngô Văn Tuân và Bà Nguyễn Thị Huyền.</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65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88.000.000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5.720.000.000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5.720.000.000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5.720.000.000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bảy trăm hai mươi triệu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highlight w:val="yellow"/>
        </w:rPr>
      </w:pPr>
      <w:r>
        <w:rPr>
          <w:bCs/>
          <w:spacing w:val="-2"/>
          <w:highlight w:val="yellow"/>
          <w:lang w:val="pt-BR"/>
        </w:rPr>
      </w:r>
      <w:r>
        <w:rPr>
          <w:bCs/>
          <w:spacing w:val="-2"/>
          <w:highlight w:val="white"/>
          <w:lang w:val="pt-BR"/>
        </w:rPr>
      </w:r>
      <w:r>
        <w:rPr>
          <w:bCs/>
          <w:spacing w:val="-2"/>
          <w:highlight w:val="white"/>
          <w:lang w:val="pt-BR"/>
        </w:rPr>
        <w:t xml:space="preserve">T</w:t>
      </w:r>
      <w:r>
        <w:rPr>
          <w:bCs/>
          <w:spacing w:val="-2"/>
          <w:highlight w:val="white"/>
          <w:lang w:val="pt-BR"/>
        </w:rPr>
        <w:t xml:space="preserve">ại</w:t>
      </w:r>
      <w:r>
        <w:rPr>
          <w:bCs/>
          <w:spacing w:val="-2"/>
          <w:highlight w:val="white"/>
          <w:lang w:val="pt-BR"/>
        </w:rPr>
        <w:t xml:space="preserve"> </w:t>
      </w:r>
      <w:r>
        <w:rPr>
          <w:bCs/>
          <w:spacing w:val="-2"/>
          <w:highlight w:val="white"/>
          <w:lang w:val="pt-BR"/>
        </w:rPr>
        <w:t xml:space="preserve">ngày</w:t>
      </w:r>
      <w:r>
        <w:rPr>
          <w:bCs/>
          <w:spacing w:val="-2"/>
          <w:highlight w:val="white"/>
          <w:lang w:val="pt-BR"/>
        </w:rPr>
        <w:t xml:space="preserve"> </w:t>
      </w:r>
      <w:r>
        <w:rPr>
          <w:bCs/>
          <w:spacing w:val="-2"/>
          <w:highlight w:val="white"/>
          <w:lang w:val="pt-BR"/>
        </w:rPr>
        <w:t xml:space="preserve">phát</w:t>
      </w:r>
      <w:r>
        <w:rPr>
          <w:bCs/>
          <w:spacing w:val="-2"/>
          <w:highlight w:val="white"/>
          <w:lang w:val="pt-BR"/>
        </w:rPr>
        <w:t xml:space="preserve"> </w:t>
      </w:r>
      <w:r>
        <w:rPr>
          <w:bCs/>
          <w:spacing w:val="-2"/>
          <w:highlight w:val="white"/>
          <w:lang w:val="pt-BR"/>
        </w:rPr>
        <w:t xml:space="preserve">hành</w:t>
      </w:r>
      <w:r>
        <w:rPr>
          <w:bCs/>
          <w:spacing w:val="-2"/>
          <w:highlight w:val="white"/>
          <w:lang w:val="pt-BR"/>
        </w:rPr>
        <w:t xml:space="preserve"> </w:t>
      </w:r>
      <w:r>
        <w:rPr>
          <w:bCs/>
          <w:spacing w:val="-2"/>
          <w:highlight w:val="white"/>
          <w:lang w:val="pt-BR"/>
        </w:rPr>
        <w:t xml:space="preserve">chứng</w:t>
      </w:r>
      <w:r>
        <w:rPr>
          <w:bCs/>
          <w:spacing w:val="-2"/>
          <w:highlight w:val="white"/>
          <w:lang w:val="pt-BR"/>
        </w:rPr>
        <w:t xml:space="preserve"> </w:t>
      </w:r>
      <w:r>
        <w:rPr>
          <w:bCs/>
          <w:spacing w:val="-2"/>
          <w:highlight w:val="white"/>
          <w:lang w:val="pt-BR"/>
        </w:rPr>
        <w:t xml:space="preserve">thư</w:t>
      </w:r>
      <w:r>
        <w:rPr>
          <w:bCs/>
          <w:spacing w:val="-2"/>
          <w:highlight w:val="white"/>
          <w:lang w:val="pt-BR"/>
        </w:rPr>
        <w:t xml:space="preserve"> </w:t>
      </w:r>
      <w:r>
        <w:rPr>
          <w:bCs/>
          <w:spacing w:val="-2"/>
          <w:highlight w:val="white"/>
          <w:lang w:val="pt-BR"/>
        </w:rPr>
        <w:t xml:space="preserve">thẩm</w:t>
      </w:r>
      <w:r>
        <w:rPr>
          <w:bCs/>
          <w:spacing w:val="-2"/>
          <w:highlight w:val="white"/>
          <w:lang w:val="pt-BR"/>
        </w:rPr>
        <w:t xml:space="preserve"> </w:t>
      </w:r>
      <w:r>
        <w:rPr>
          <w:bCs/>
          <w:spacing w:val="-2"/>
          <w:highlight w:val="white"/>
          <w:lang w:val="pt-BR"/>
        </w:rPr>
        <w:t xml:space="preserve">định</w:t>
      </w:r>
      <w:r>
        <w:rPr>
          <w:bCs/>
          <w:spacing w:val="-2"/>
          <w:highlight w:val="white"/>
          <w:lang w:val="pt-BR"/>
        </w:rPr>
        <w:t xml:space="preserve"> </w:t>
      </w:r>
      <w:r>
        <w:rPr>
          <w:bCs/>
          <w:spacing w:val="-2"/>
          <w:highlight w:val="white"/>
          <w:lang w:val="pt-BR"/>
        </w:rPr>
        <w:t xml:space="preserve">giá</w:t>
      </w:r>
      <w:r>
        <w:rPr>
          <w:bCs/>
          <w:spacing w:val="-2"/>
          <w:highlight w:val="white"/>
          <w:lang w:val="pt-BR"/>
        </w:rPr>
        <w:t xml:space="preserve">,</w:t>
      </w:r>
      <w:r>
        <w:rPr>
          <w:color w:val="000000"/>
          <w:highlight w:val="white"/>
        </w:rPr>
        <w:t xml:space="preserve"> </w:t>
      </w:r>
      <w:r>
        <w:rPr>
          <w:color w:val="000000"/>
        </w:rPr>
        <w:t xml:space="preserve">CTXD gắn liền với đất là nhà 5,5 tầng xây hết đất, CTXD được xây dựng năm 2024. CTXD tại thời điểm khảo sát chưa  được chứng nhận trên Giấy chứng nhận quyền sử dụng đất quyền sở hữu nhà ở và tài sản khác gắn liền với đất số: DE 647096</w:t>
      </w:r>
      <w:r>
        <w:rPr>
          <w:color w:val="000000"/>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highlight w:val="none"/>
          <w:lang w:val="pt-BR"/>
        </w:rPr>
        <w:t xml:space="preserve"> </w:t>
      </w:r>
      <w:r>
        <w:rPr>
          <w:bCs/>
          <w:spacing w:val="-2"/>
          <w:highlight w:val="yellow"/>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584CC189">
      <w:pPr>
        <w:pBdr/>
        <w:shd w:val="nil" w:color="auto"/>
        <w:spacing/>
        <w:ind/>
        <w:rPr>
          <w:lang w:val="vi-VN"/>
        </w:rPr>
      </w:pPr>
      <w:r>
        <w:rPr>
          <w:highlight w:val="none"/>
          <w:lang w:val="vi-VN"/>
        </w:rPr>
        <w:br w:type="page" w:clear="all"/>
      </w:r>
      <w:r>
        <w:rPr>
          <w:lang w:val="vi-VN"/>
        </w:rPr>
      </w:r>
      <w:r>
        <w:rPr>
          <w:lang w:val="vi-VN"/>
        </w:rPr>
      </w:r>
    </w:p>
    <w:p w14:paraId="699F9D9D" w14:textId="4418D349">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275/2026/0017/VFI-CT.65.A</w:t>
      </w:r>
      <w:r>
        <w:rPr>
          <w:color w:val="ff0000"/>
          <w:lang w:val="vi-VN"/>
        </w:rPr>
        <w:t xml:space="preserve"> </w:t>
      </w:r>
      <w:r>
        <w:rPr>
          <w:color w:val="000000" w:themeColor="text1"/>
        </w:rPr>
        <w:t xml:space="preserve">ngày 7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275/2026/0017/VFI-BC.65.A</w:t>
      </w:r>
      <w:r>
        <w:rPr>
          <w:i/>
          <w:lang w:val="pt-BR"/>
        </w:rPr>
        <w:t xml:space="preserve"> </w:t>
      </w:r>
      <w:r>
        <w:rPr>
          <w:i/>
          <w:lang w:val="pt-BR"/>
        </w:rPr>
        <w:t xml:space="preserve">7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816708" cy="2433147"/>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1816707" cy="24331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3.05pt;height:191.5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220229" cy="2375558"/>
                      <wp:effectExtent l="0" t="0" r="0" b="0"/>
                      <wp:docPr id="7" name=""/>
                      <wp:cNvGraphicFramePr/>
                      <a:graphic xmlns:a="http://schemas.openxmlformats.org/drawingml/2006/main">
                        <a:graphicData uri="http://schemas.openxmlformats.org/drawingml/2006/picture">
                          <pic:pic xmlns:pic="http://schemas.openxmlformats.org/drawingml/2006/picture">
                            <pic:nvPicPr>
                              <pic:cNvPr id="98865730" name="" descr=""/>
                              <pic:cNvPicPr/>
                              <pic:nvPr/>
                            </pic:nvPicPr>
                            <pic:blipFill rotWithShape="1">
                              <a:blip r:embed="rId19"/>
                              <a:stretch/>
                            </pic:blipFill>
                            <pic:spPr bwMode="auto">
                              <a:xfrm rot="0" flipH="0" flipV="0">
                                <a:off x="0" y="0"/>
                                <a:ext cx="3220228" cy="23755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3.56pt;height:187.05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823499" cy="2420553"/>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1823498" cy="24205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3.58pt;height:190.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32896" cy="242467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25320" name=""/>
                              <pic:cNvPicPr>
                                <a:picLocks noChangeAspect="1"/>
                              </pic:cNvPicPr>
                              <pic:nvPr/>
                            </pic:nvPicPr>
                            <pic:blipFill rotWithShape="1">
                              <a:blip r:embed="rId21"/>
                              <a:stretch/>
                            </pic:blipFill>
                            <pic:spPr bwMode="auto">
                              <a:xfrm flipH="0" flipV="0">
                                <a:off x="0" y="0"/>
                                <a:ext cx="3232896" cy="24246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4.56pt;height:190.9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737774" cy="2366742"/>
                      <wp:effectExtent l="0" t="0" r="0" b="0"/>
                      <wp:docPr id="10" name=""/>
                      <wp:cNvGraphicFramePr/>
                      <a:graphic xmlns:a="http://schemas.openxmlformats.org/drawingml/2006/main">
                        <a:graphicData uri="http://schemas.openxmlformats.org/drawingml/2006/picture">
                          <pic:pic xmlns:pic="http://schemas.openxmlformats.org/drawingml/2006/picture">
                            <pic:nvPicPr>
                              <pic:cNvPr id="192629951" name="" descr=""/>
                              <pic:cNvPicPr/>
                              <pic:nvPr/>
                            </pic:nvPicPr>
                            <pic:blipFill rotWithShape="1">
                              <a:blip r:embed="rId22"/>
                              <a:stretch/>
                            </pic:blipFill>
                            <pic:spPr bwMode="auto">
                              <a:xfrm rot="0" flipH="0" flipV="0">
                                <a:off x="0" y="0"/>
                                <a:ext cx="1737773" cy="2366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36.83pt;height:186.36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74280" cy="23807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67129" name=""/>
                              <pic:cNvPicPr>
                                <a:picLocks noChangeAspect="1"/>
                              </pic:cNvPicPr>
                              <pic:nvPr/>
                            </pic:nvPicPr>
                            <pic:blipFill rotWithShape="1">
                              <a:blip r:embed="rId23"/>
                              <a:stretch/>
                            </pic:blipFill>
                            <pic:spPr bwMode="auto">
                              <a:xfrm flipH="0" flipV="0">
                                <a:off x="0" y="0"/>
                                <a:ext cx="3174279" cy="2380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9.94pt;height:187.4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275/2026/0017/VFI-BC.65.A</w:t>
      </w:r>
      <w:r>
        <w:rPr>
          <w:i/>
          <w:lang w:val="pt-BR"/>
        </w:rPr>
        <w:t xml:space="preserve"> </w:t>
      </w:r>
      <w:r>
        <w:rPr>
          <w:i/>
          <w:lang w:val="pt-BR"/>
        </w:rPr>
        <w:t xml:space="preserve">7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https://alonhadat.com.vn/ban-dat-cao-vien-o-to-tranh-kinh-doanh-dinh-trong-de-16991136.html</w:t>
            </w:r>
            <w:r>
              <w:rPr>
                <w:color w:val="000000" w:themeColor="text1"/>
                <w:sz w:val="22"/>
                <w:szCs w:val="22"/>
              </w:rPr>
              <w:br/>
              <w:t xml:space="preserve">0988391766</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 (35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Cao Viên, Huyện Thanh Oai, Thành phố Hà Nội (nay là xã Bình Minh, thành phố Hà Nội), Cách QL 21B khoảng 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17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C1831E">
            <w:pPr>
              <w:pBdr/>
              <w:spacing w:after="0" w:before="0" w:line="240" w:lineRule="auto"/>
              <w:ind/>
              <w:jc w:val="center"/>
              <w:rPr/>
            </w:pPr>
            <w:r>
              <w:rPr>
                <w:rFonts w:ascii="Times New Roman" w:hAnsi="Times New Roman" w:eastAsia="Times New Roman" w:cs="Times New Roman"/>
                <w:color w:val="000000"/>
                <w:sz w:val="24"/>
              </w:rPr>
              <w:t xml:space="preserve">Hạ tầng khu dân cư thông thường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02265" cy="161236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702264" cy="1612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2.78pt;height:126.9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92403" cy="1645675"/>
                      <wp:effectExtent l="0" t="0" r="0" b="0"/>
                      <wp:docPr id="13" name=""/>
                      <wp:cNvGraphicFramePr/>
                      <a:graphic xmlns:a="http://schemas.openxmlformats.org/drawingml/2006/main">
                        <a:graphicData uri="http://schemas.openxmlformats.org/drawingml/2006/picture">
                          <pic:pic xmlns:pic="http://schemas.openxmlformats.org/drawingml/2006/picture">
                            <pic:nvPicPr>
                              <pic:cNvPr id="321748721" name="" descr=""/>
                              <pic:cNvPicPr/>
                              <pic:nvPr/>
                            </pic:nvPicPr>
                            <pic:blipFill rotWithShape="1">
                              <a:blip r:embed="rId25"/>
                              <a:stretch/>
                            </pic:blipFill>
                            <pic:spPr bwMode="auto">
                              <a:xfrm rot="0" flipH="0" flipV="0">
                                <a:off x="0" y="0"/>
                                <a:ext cx="2692403" cy="16456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2.00pt;height:129.58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6415" cy="38412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426414" cy="3841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7.28pt;height:302.4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Hồng Phúc</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Zalo_Nguyen Ba Thuong</w:t>
            </w:r>
            <w:r>
              <w:rPr>
                <w:color w:val="000000" w:themeColor="text1"/>
                <w:sz w:val="22"/>
                <w:szCs w:val="22"/>
              </w:rPr>
              <w:br/>
              <w:t xml:space="preserve">0975622689</w:t>
            </w:r>
            <w:r>
              <w:rPr>
                <w:sz w:val="22"/>
                <w:szCs w:val="22"/>
              </w:rPr>
              <w:t xml:space="preserve"> </w:t>
            </w:r>
            <w:r>
              <w:rPr>
                <w:sz w:val="22"/>
                <w:szCs w:val="22"/>
              </w:rPr>
              <w:br/>
              <w:t xml:space="preserve">(Thưởng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10.200.000.000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9.180.000.000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nông thôn (85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Bình Minh, Huyện Thanh Oai, Thành phố Hà Nội (nay là xã Bình Minh, thành phố Hà Nội), tài sản tiếp giáp đường Bình Minh-Thanh Cao cách QL21B khoảng 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CBB1CB">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2FBA2F3">
            <w:pPr>
              <w:pBdr/>
              <w:spacing w:line="276" w:lineRule="auto"/>
              <w:ind/>
              <w:jc w:val="center"/>
              <w:rPr>
                <w:sz w:val="22"/>
                <w:szCs w:val="22"/>
              </w:rPr>
            </w:pPr>
            <w:r>
              <w:rPr>
                <w:color w:val="000000" w:themeColor="text1"/>
                <w:sz w:val="22"/>
                <w:szCs w:val="22"/>
              </w:rPr>
            </w: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8636" cy="22886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448636" cy="2288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9.03pt;height:180.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48636" cy="24505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448636" cy="2450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9.03pt;height:192.9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48286" cy="182780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2672025" name="" descr=""/>
                              <pic:cNvPicPr/>
                              <pic:nvPr/>
                            </pic:nvPicPr>
                            <pic:blipFill rotWithShape="1">
                              <a:blip r:embed="rId29"/>
                              <a:stretch/>
                            </pic:blipFill>
                            <pic:spPr bwMode="auto">
                              <a:xfrm flipH="0" flipV="0">
                                <a:off x="0" y="0"/>
                                <a:ext cx="2648286" cy="18278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8.53pt;height:143.9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730503" cy="18409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730503" cy="1840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5.00pt;height:144.9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Hồng Phúc</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0989.535.239</w:t>
            </w:r>
            <w:r>
              <w:rPr>
                <w:sz w:val="22"/>
                <w:szCs w:val="22"/>
              </w:rPr>
              <w:t xml:space="preserve"> </w:t>
            </w:r>
            <w:r>
              <w:rPr>
                <w:sz w:val="22"/>
                <w:szCs w:val="22"/>
              </w:rPr>
              <w:br/>
              <w:t xml:space="preserve">(anh Giáp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nông thôn (54.4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Thanh Cao, Huyện Thanh Oai, Thành phố Hà Nội (nay là xã Bình Minh, thành phố Hà Nội), cách đường Bình Minh-Thanh Cao khoảng 300m, cách QL21B khoảng 3km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CBB1CB">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2FBA2F3">
            <w:pPr>
              <w:pBdr/>
              <w:spacing w:line="276" w:lineRule="auto"/>
              <w:ind/>
              <w:jc w:val="center"/>
              <w:rPr>
                <w:sz w:val="22"/>
                <w:szCs w:val="22"/>
              </w:rPr>
            </w:pPr>
            <w:r>
              <w:rPr>
                <w:color w:val="000000" w:themeColor="text1"/>
                <w:sz w:val="22"/>
                <w:szCs w:val="22"/>
              </w:rPr>
            </w: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673748" cy="268539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13656" name=""/>
                              <pic:cNvPicPr>
                                <a:picLocks noChangeAspect="1"/>
                              </pic:cNvPicPr>
                              <pic:nvPr/>
                            </pic:nvPicPr>
                            <pic:blipFill rotWithShape="1">
                              <a:blip r:embed="rId31"/>
                              <a:stretch/>
                            </pic:blipFill>
                            <pic:spPr bwMode="auto">
                              <a:xfrm flipH="0" flipV="0">
                                <a:off x="0" y="0"/>
                                <a:ext cx="2673748" cy="26853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0.53pt;height:211.45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749495" cy="268539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749494" cy="26853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50pt;height:211.45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14:paraId="39C67B83">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4D053490">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r>
            <w:r>
              <w:rPr>
                <w:color w:val="000000"/>
                <w:sz w:val="22"/>
                <w:szCs w:val="22"/>
                <w:highlight w:val="none"/>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302340" cy="2589672"/>
                      <wp:effectExtent l="0" t="0" r="0" b="0"/>
                      <wp:docPr id="21" name=""/>
                      <wp:cNvGraphicFramePr/>
                      <a:graphic xmlns:a="http://schemas.openxmlformats.org/drawingml/2006/main">
                        <a:graphicData uri="http://schemas.openxmlformats.org/drawingml/2006/picture">
                          <pic:pic xmlns:pic="http://schemas.openxmlformats.org/drawingml/2006/picture">
                            <pic:nvPicPr>
                              <pic:cNvPr id="1907003507" name="" descr=""/>
                              <pic:cNvPicPr/>
                              <pic:nvPr/>
                            </pic:nvPicPr>
                            <pic:blipFill rotWithShape="1">
                              <a:blip r:embed="rId33"/>
                              <a:stretch/>
                            </pic:blipFill>
                            <pic:spPr bwMode="auto">
                              <a:xfrm flipH="0" flipV="0">
                                <a:off x="0" y="0"/>
                                <a:ext cx="3302339" cy="25896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60.03pt;height:203.9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936814" cy="258967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64368" name=""/>
                              <pic:cNvPicPr>
                                <a:picLocks noChangeAspect="1"/>
                              </pic:cNvPicPr>
                              <pic:nvPr/>
                            </pic:nvPicPr>
                            <pic:blipFill rotWithShape="1">
                              <a:blip r:embed="rId34"/>
                              <a:stretch/>
                            </pic:blipFill>
                            <pic:spPr bwMode="auto">
                              <a:xfrm flipH="0" flipV="0">
                                <a:off x="0" y="0"/>
                                <a:ext cx="1936813" cy="25896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52.51pt;height:203.91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Nguyễn Thị Hồng Phúc</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08T08:33:30Z" w:initials="NTTD">
    <w:p w14:paraId="00000001" w14:textId="00000001">
      <w:pPr>
        <w:spacing w:line="240" w:after="0" w:lineRule="auto" w:before="0"/>
        <w:ind w:firstLine="0" w:left="0" w:right="0"/>
        <w:jc w:val="left"/>
      </w:pPr>
      <w:r>
        <w:rPr>
          <w:rFonts w:eastAsia="Arial" w:ascii="Arial" w:hAnsi="Arial" w:cs="Arial"/>
          <w:sz w:val="22"/>
        </w:rPr>
        <w:t xml:space="preserve">Thống nhất các yêu stoos điều chỉnh ở dưới.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970BFD4" w16cex:dateUtc="2026-01-08T01:33:3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970B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highlight w:val="white"/>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275</cp:revision>
  <dcterms:created xsi:type="dcterms:W3CDTF">2025-09-15T09:58:00Z</dcterms:created>
  <dcterms:modified xsi:type="dcterms:W3CDTF">2026-01-08T02:00:31Z</dcterms:modified>
</cp:coreProperties>
</file>